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E3702">
      <w:pPr>
        <w:pStyle w:val="75"/>
        <w:framePr w:hSpace="0" w:vSpace="0" w:wrap="auto" w:vAnchor="margin" w:hAnchor="text" w:yAlign="inline"/>
      </w:pPr>
      <w:r>
        <mc:AlternateContent>
          <mc:Choice Requires="wps">
            <w:drawing>
              <wp:anchor distT="0" distB="0" distL="114300" distR="114300" simplePos="0" relativeHeight="251661312" behindDoc="0" locked="0" layoutInCell="1" allowOverlap="1">
                <wp:simplePos x="0" y="0"/>
                <wp:positionH relativeFrom="column">
                  <wp:posOffset>4933950</wp:posOffset>
                </wp:positionH>
                <wp:positionV relativeFrom="paragraph">
                  <wp:posOffset>-7620</wp:posOffset>
                </wp:positionV>
                <wp:extent cx="523875" cy="583565"/>
                <wp:effectExtent l="0" t="0" r="0" b="0"/>
                <wp:wrapNone/>
                <wp:docPr id="4" name="文本框 4"/>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23875" cy="583565"/>
                        </a:xfrm>
                        <a:prstGeom prst="rect">
                          <a:avLst/>
                        </a:prstGeom>
                      </wps:spPr>
                      <wps:txbx>
                        <w:txbxContent>
                          <w:p w14:paraId="2AC2DE2E">
                            <w:pPr>
                              <w:pStyle w:val="27"/>
                              <w:spacing w:before="0" w:beforeAutospacing="0" w:after="0" w:afterAutospacing="0"/>
                              <w:jc w:val="center"/>
                            </w:pPr>
                            <w:r>
                              <w:rPr>
                                <w:outline/>
                                <w:color w:val="000000"/>
                                <w:sz w:val="80"/>
                                <w:szCs w:val="80"/>
                                <w14:textOutline w14:w="9525" w14:cap="flat" w14:cmpd="sng" w14:algn="ctr">
                                  <w14:solidFill>
                                    <w14:srgbClr w14:val="000000"/>
                                  </w14:solidFill>
                                  <w14:prstDash w14:val="solid"/>
                                  <w14:round/>
                                </w14:textOutline>
                                <w14:textFill>
                                  <w14:noFill/>
                                </w14:textFill>
                              </w:rPr>
                              <w:t>G</w:t>
                            </w:r>
                          </w:p>
                        </w:txbxContent>
                      </wps:txbx>
                      <wps:bodyPr wrap="square" numCol="1" fromWordArt="1">
                        <a:prstTxWarp prst="textPlain">
                          <a:avLst>
                            <a:gd name="adj" fmla="val 42504"/>
                          </a:avLst>
                        </a:prstTxWarp>
                        <a:noAutofit/>
                      </wps:bodyPr>
                    </wps:wsp>
                  </a:graphicData>
                </a:graphic>
              </wp:anchor>
            </w:drawing>
          </mc:Choice>
          <mc:Fallback>
            <w:pict>
              <v:shape id="_x0000_s1026" o:spid="_x0000_s1026" o:spt="202" type="#_x0000_t202" style="position:absolute;left:0pt;margin-left:388.5pt;margin-top:-0.6pt;height:45.95pt;width:41.25pt;z-index:251661312;mso-width-relative:page;mso-height-relative:page;" filled="f" stroked="f" coordsize="21600,21600" o:gfxdata="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ibN/&#10;dNYAAAAJAQAADwAAAAAAAAABACAAAAAiAAAAZHJzL2Rvd25yZXYueG1sUEsBAhQAFAAAAAgAh07i&#10;QIxk9cQkAgAAKAQAAA4AAAAAAAAAAQAgAAAAJQEAAGRycy9lMm9Eb2MueG1sUEsFBgAAAAAGAAYA&#10;WQEAALsFAAAAAA==&#10;" adj="9181">
                <v:fill on="f" focussize="0,0"/>
                <v:stroke on="f"/>
                <v:imagedata o:title=""/>
                <o:lock v:ext="edit" text="t" aspectratio="f"/>
                <v:textbox>
                  <w:txbxContent>
                    <w:p w14:paraId="2AC2DE2E">
                      <w:pPr>
                        <w:pStyle w:val="27"/>
                        <w:spacing w:before="0" w:beforeAutospacing="0" w:after="0" w:afterAutospacing="0"/>
                        <w:jc w:val="center"/>
                      </w:pPr>
                      <w:r>
                        <w:rPr>
                          <w:outline/>
                          <w:color w:val="000000"/>
                          <w:sz w:val="80"/>
                          <w:szCs w:val="80"/>
                          <w14:textOutline w14:w="9525" w14:cap="flat" w14:cmpd="sng" w14:algn="ctr">
                            <w14:solidFill>
                              <w14:srgbClr w14:val="000000"/>
                            </w14:solidFill>
                            <w14:prstDash w14:val="solid"/>
                            <w14:round/>
                          </w14:textOutline>
                          <w14:textFill>
                            <w14:noFill/>
                          </w14:textFill>
                        </w:rPr>
                        <w:t>G</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4592320</wp:posOffset>
                </wp:positionH>
                <wp:positionV relativeFrom="paragraph">
                  <wp:posOffset>3175</wp:posOffset>
                </wp:positionV>
                <wp:extent cx="409575" cy="633730"/>
                <wp:effectExtent l="0" t="0" r="0" b="0"/>
                <wp:wrapNone/>
                <wp:docPr id="2" name="文本框 5"/>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9575" cy="633730"/>
                        </a:xfrm>
                        <a:prstGeom prst="rect">
                          <a:avLst/>
                        </a:prstGeom>
                      </wps:spPr>
                      <wps:txbx>
                        <w:txbxContent>
                          <w:p w14:paraId="6E40B6BE">
                            <w:pPr>
                              <w:pStyle w:val="27"/>
                              <w:spacing w:before="0" w:beforeAutospacing="0" w:after="0" w:afterAutospacing="0"/>
                              <w:jc w:val="center"/>
                            </w:pPr>
                            <w:r>
                              <w:rPr>
                                <w:outline/>
                                <w:color w:val="000000"/>
                                <w:sz w:val="80"/>
                                <w:szCs w:val="80"/>
                                <w14:textOutline w14:w="9525" w14:cap="flat" w14:cmpd="sng" w14:algn="ctr">
                                  <w14:solidFill>
                                    <w14:srgbClr w14:val="000000"/>
                                  </w14:solidFill>
                                  <w14:prstDash w14:val="solid"/>
                                  <w14:round/>
                                </w14:textOutline>
                                <w14:textFill>
                                  <w14:noFill/>
                                </w14:textFill>
                              </w:rPr>
                              <w:t>H</w:t>
                            </w:r>
                          </w:p>
                        </w:txbxContent>
                      </wps:txbx>
                      <wps:bodyPr wrap="square" numCol="1" fromWordArt="1">
                        <a:prstTxWarp prst="textPlain">
                          <a:avLst>
                            <a:gd name="adj" fmla="val 50000"/>
                          </a:avLst>
                        </a:prstTxWarp>
                        <a:noAutofit/>
                      </wps:bodyPr>
                    </wps:wsp>
                  </a:graphicData>
                </a:graphic>
              </wp:anchor>
            </w:drawing>
          </mc:Choice>
          <mc:Fallback>
            <w:pict>
              <v:shape id="文本框 5" o:spid="_x0000_s1026" o:spt="202" type="#_x0000_t202" style="position:absolute;left:0pt;margin-left:361.6pt;margin-top:0.25pt;height:49.9pt;width:32.25pt;z-index:251659264;mso-width-relative:page;mso-height-relative:page;" filled="f" stroked="f" coordsize="21600,21600" o:gfxdata="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JH&#10;BcbYAAAACAEAAA8AAAAAAAAAAQAgAAAAIgAAAGRycy9kb3ducmV2LnhtbFBLAQIUABQAAAAIAIdO&#10;4kB5gg5WIwIAACgEAAAOAAAAAAAAAAEAIAAAACcBAABkcnMvZTJvRG9jLnhtbFBLBQYAAAAABgAG&#10;AFkBAAC8BQAAAAA=&#10;" adj="10800">
                <v:fill on="f" focussize="0,0"/>
                <v:stroke on="f"/>
                <v:imagedata o:title=""/>
                <o:lock v:ext="edit" text="t" aspectratio="f"/>
                <v:textbox>
                  <w:txbxContent>
                    <w:p w14:paraId="6E40B6BE">
                      <w:pPr>
                        <w:pStyle w:val="27"/>
                        <w:spacing w:before="0" w:beforeAutospacing="0" w:after="0" w:afterAutospacing="0"/>
                        <w:jc w:val="center"/>
                      </w:pPr>
                      <w:r>
                        <w:rPr>
                          <w:outline/>
                          <w:color w:val="000000"/>
                          <w:sz w:val="80"/>
                          <w:szCs w:val="80"/>
                          <w14:textOutline w14:w="9525" w14:cap="flat" w14:cmpd="sng" w14:algn="ctr">
                            <w14:solidFill>
                              <w14:srgbClr w14:val="000000"/>
                            </w14:solidFill>
                            <w14:prstDash w14:val="solid"/>
                            <w14:round/>
                          </w14:textOutline>
                          <w14:textFill>
                            <w14:noFill/>
                          </w14:textFill>
                        </w:rPr>
                        <w:t>H</w:t>
                      </w:r>
                    </w:p>
                  </w:txbxContent>
                </v:textbox>
              </v:shape>
            </w:pict>
          </mc:Fallback>
        </mc:AlternateContent>
      </w:r>
      <w:r>
        <w:rPr>
          <w:rFonts w:ascii="Times New Roman"/>
        </w:rPr>
        <w:t>ICS</w:t>
      </w:r>
      <w:r>
        <w:rPr>
          <w:rFonts w:hAnsi="黑体"/>
        </w:rPr>
        <w:t xml:space="preserve"> 71.10</w:t>
      </w:r>
    </w:p>
    <w:p w14:paraId="7F1128E8">
      <w:pPr>
        <w:pStyle w:val="75"/>
        <w:framePr w:hSpace="0" w:vSpace="0" w:wrap="auto" w:vAnchor="margin" w:hAnchor="text" w:yAlign="inline"/>
      </w:pPr>
      <w:r>
        <w:rPr>
          <w:rFonts w:hint="eastAsia"/>
        </w:rPr>
        <w:t>CCS</w:t>
      </w:r>
      <w:r>
        <w:t xml:space="preserve"> G04</w:t>
      </w:r>
    </w:p>
    <w:p w14:paraId="505B3CAC">
      <w:pPr>
        <w:spacing w:line="360" w:lineRule="auto"/>
        <w:rPr>
          <w:rFonts w:ascii="黑体" w:eastAsia="黑体"/>
          <w:b/>
          <w:sz w:val="28"/>
          <w:szCs w:val="28"/>
        </w:rPr>
      </w:pPr>
    </w:p>
    <w:p w14:paraId="57337E01">
      <w:pPr>
        <w:spacing w:line="360" w:lineRule="auto"/>
        <w:rPr>
          <w:b/>
        </w:rPr>
      </w:pPr>
    </w:p>
    <w:p w14:paraId="6D75DF4D">
      <w:pPr>
        <w:spacing w:line="360" w:lineRule="auto"/>
        <w:rPr>
          <w:b/>
        </w:rPr>
      </w:pPr>
    </w:p>
    <w:p w14:paraId="5E047F3D">
      <w:pPr>
        <w:spacing w:line="360" w:lineRule="auto"/>
        <w:jc w:val="center"/>
        <w:rPr>
          <w:spacing w:val="20"/>
          <w:sz w:val="52"/>
        </w:rPr>
      </w:pPr>
      <w:r>
        <w:rPr>
          <w:rFonts w:hint="eastAsia"/>
          <w:b/>
          <w:spacing w:val="20"/>
          <w:sz w:val="52"/>
        </w:rPr>
        <w:t>中华人民共和国化工行业标准</w:t>
      </w:r>
    </w:p>
    <w:p w14:paraId="1A0E8E6A">
      <w:pPr>
        <w:spacing w:line="360" w:lineRule="auto"/>
        <w:ind w:firstLine="422"/>
        <w:jc w:val="center"/>
        <w:rPr>
          <w:b/>
        </w:rPr>
      </w:pPr>
      <w:r>
        <w:rPr>
          <w:rFonts w:hint="eastAsia"/>
          <w:b/>
          <w:sz w:val="28"/>
          <w:szCs w:val="28"/>
          <w:lang w:val="en-US" w:eastAsia="zh-CN"/>
        </w:rPr>
        <w:t xml:space="preserve">                                                </w:t>
      </w:r>
      <w:r>
        <w:rPr>
          <w:b/>
          <w:sz w:val="28"/>
          <w:szCs w:val="28"/>
        </w:rPr>
        <w:t>HG</w:t>
      </w:r>
      <w:r>
        <w:rPr>
          <w:rFonts w:hint="eastAsia"/>
          <w:b/>
          <w:sz w:val="28"/>
          <w:szCs w:val="28"/>
        </w:rPr>
        <w:t xml:space="preserve">/T </w:t>
      </w:r>
      <w:r>
        <w:rPr>
          <w:b/>
          <w:sz w:val="28"/>
          <w:szCs w:val="28"/>
        </w:rPr>
        <w:t>xxxx–xxxx</w:t>
      </w:r>
    </w:p>
    <w:p w14:paraId="3B7A49A8">
      <w:pPr>
        <w:spacing w:line="360" w:lineRule="auto"/>
        <w:ind w:firstLine="420"/>
        <w:rPr>
          <w:rFonts w:hint="default"/>
          <w:lang w:val="en-US"/>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98425</wp:posOffset>
                </wp:positionV>
                <wp:extent cx="5934075" cy="0"/>
                <wp:effectExtent l="0" t="0" r="9525"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7.75pt;height:0pt;width:467.25pt;z-index:251662336;mso-width-relative:page;mso-height-relative:page;" filled="f" stroked="t" coordsize="21600,21600" o:gfxdata="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9r2wtQAAAAGAQAA&#10;DwAAAAAAAAABACAAAAAiAAAAZHJzL2Rvd25yZXYueG1sUEsBAhQAFAAAAAgAh07iQN+kNB/kAQAA&#10;qgMAAA4AAAAAAAAAAQAgAAAAIwEAAGRycy9lMm9Eb2MueG1sUEsFBgAAAAAGAAYAWQEAAHkFAAAA&#10;AA==&#10;">
                <v:fill on="f" focussize="0,0"/>
                <v:stroke color="#000000" joinstyle="round"/>
                <v:imagedata o:title=""/>
                <o:lock v:ext="edit" aspectratio="f"/>
              </v:line>
            </w:pict>
          </mc:Fallback>
        </mc:AlternateContent>
      </w:r>
      <w:r>
        <w:rPr>
          <w:rFonts w:hint="eastAsia"/>
          <w:lang w:val="en-US" w:eastAsia="zh-CN"/>
        </w:rPr>
        <w:t xml:space="preserve">                           </w:t>
      </w:r>
    </w:p>
    <w:p w14:paraId="5D688101">
      <w:pPr>
        <w:spacing w:line="360" w:lineRule="auto"/>
        <w:ind w:firstLine="420"/>
      </w:pPr>
    </w:p>
    <w:p w14:paraId="0D29EE70">
      <w:pPr>
        <w:spacing w:line="360" w:lineRule="auto"/>
        <w:ind w:firstLine="420"/>
      </w:pPr>
    </w:p>
    <w:p w14:paraId="1CAD07D2">
      <w:pPr>
        <w:spacing w:line="360" w:lineRule="auto"/>
        <w:ind w:firstLine="420"/>
      </w:pPr>
    </w:p>
    <w:p w14:paraId="3511C18E">
      <w:pPr>
        <w:spacing w:line="360" w:lineRule="auto"/>
        <w:jc w:val="center"/>
        <w:rPr>
          <w:b/>
          <w:sz w:val="44"/>
          <w:szCs w:val="44"/>
        </w:rPr>
      </w:pPr>
      <w:r>
        <w:rPr>
          <w:rFonts w:hint="eastAsia" w:ascii="Calibri" w:hAnsi="Calibri" w:cs="Times New Roman"/>
          <w:b/>
          <w:sz w:val="44"/>
          <w:szCs w:val="44"/>
        </w:rPr>
        <w:t>化工挥发性有机物（VOCs）冷凝法回收装置仪表工程设计规范</w:t>
      </w:r>
    </w:p>
    <w:p w14:paraId="053B3C42">
      <w:pPr>
        <w:spacing w:line="360" w:lineRule="auto"/>
        <w:jc w:val="center"/>
        <w:rPr>
          <w:b/>
          <w:sz w:val="30"/>
          <w:szCs w:val="30"/>
        </w:rPr>
      </w:pPr>
      <w:bookmarkStart w:id="0" w:name="OLE_LINK1"/>
      <w:r>
        <w:rPr>
          <w:rFonts w:ascii="Calibri" w:hAnsi="Calibri" w:cs="Times New Roman"/>
          <w:b/>
          <w:sz w:val="30"/>
          <w:szCs w:val="30"/>
        </w:rPr>
        <w:t xml:space="preserve">Instrumentation </w:t>
      </w:r>
      <w:r>
        <w:rPr>
          <w:rFonts w:hint="eastAsia" w:ascii="Calibri" w:hAnsi="Calibri" w:cs="Times New Roman"/>
          <w:b/>
          <w:sz w:val="30"/>
          <w:szCs w:val="30"/>
        </w:rPr>
        <w:t>engineering</w:t>
      </w:r>
      <w:r>
        <w:rPr>
          <w:rFonts w:ascii="Calibri" w:hAnsi="Calibri" w:cs="Times New Roman"/>
          <w:b/>
          <w:sz w:val="30"/>
          <w:szCs w:val="30"/>
        </w:rPr>
        <w:t xml:space="preserve"> </w:t>
      </w:r>
      <w:r>
        <w:rPr>
          <w:rFonts w:hint="eastAsia" w:ascii="Calibri" w:hAnsi="Calibri" w:cs="Times New Roman"/>
          <w:b/>
          <w:sz w:val="30"/>
          <w:szCs w:val="30"/>
        </w:rPr>
        <w:t>d</w:t>
      </w:r>
      <w:r>
        <w:rPr>
          <w:rFonts w:ascii="Calibri" w:hAnsi="Calibri" w:cs="Times New Roman"/>
          <w:b/>
          <w:sz w:val="30"/>
          <w:szCs w:val="30"/>
        </w:rPr>
        <w:t xml:space="preserve">esign </w:t>
      </w:r>
      <w:r>
        <w:rPr>
          <w:rFonts w:hint="eastAsia" w:ascii="Calibri" w:hAnsi="Calibri" w:cs="Times New Roman"/>
          <w:b/>
          <w:sz w:val="30"/>
          <w:szCs w:val="30"/>
        </w:rPr>
        <w:t>c</w:t>
      </w:r>
      <w:r>
        <w:rPr>
          <w:rFonts w:ascii="Calibri" w:hAnsi="Calibri" w:cs="Times New Roman"/>
          <w:b/>
          <w:sz w:val="30"/>
          <w:szCs w:val="30"/>
        </w:rPr>
        <w:t xml:space="preserve">ode for condensation recovery </w:t>
      </w:r>
      <w:r>
        <w:rPr>
          <w:rFonts w:hint="eastAsia" w:ascii="Calibri" w:hAnsi="Calibri" w:cs="Times New Roman"/>
          <w:b/>
          <w:sz w:val="30"/>
          <w:szCs w:val="30"/>
        </w:rPr>
        <w:t>unit</w:t>
      </w:r>
      <w:r>
        <w:rPr>
          <w:rFonts w:ascii="Calibri" w:hAnsi="Calibri" w:cs="Times New Roman"/>
          <w:b/>
          <w:sz w:val="30"/>
          <w:szCs w:val="30"/>
        </w:rPr>
        <w:t xml:space="preserve"> in chemical volatile organic compounds</w:t>
      </w:r>
      <w:r>
        <w:rPr>
          <w:rFonts w:hint="eastAsia" w:ascii="Calibri" w:hAnsi="Calibri" w:cs="Times New Roman"/>
          <w:b/>
          <w:sz w:val="30"/>
          <w:szCs w:val="30"/>
        </w:rPr>
        <w:t>（V</w:t>
      </w:r>
      <w:r>
        <w:rPr>
          <w:rFonts w:ascii="Calibri" w:hAnsi="Calibri" w:cs="Times New Roman"/>
          <w:b/>
          <w:sz w:val="30"/>
          <w:szCs w:val="30"/>
        </w:rPr>
        <w:t>OC</w:t>
      </w:r>
      <w:r>
        <w:rPr>
          <w:rFonts w:hint="eastAsia" w:ascii="Calibri" w:hAnsi="Calibri" w:cs="Times New Roman"/>
          <w:b/>
          <w:sz w:val="30"/>
          <w:szCs w:val="30"/>
        </w:rPr>
        <w:t>s）</w:t>
      </w:r>
    </w:p>
    <w:bookmarkEnd w:id="0"/>
    <w:p w14:paraId="4C835105">
      <w:pPr>
        <w:spacing w:line="360" w:lineRule="auto"/>
        <w:jc w:val="center"/>
        <w:rPr>
          <w:b/>
          <w:sz w:val="30"/>
          <w:szCs w:val="30"/>
        </w:rPr>
      </w:pPr>
      <w:r>
        <w:rPr>
          <w:rFonts w:hint="eastAsia"/>
          <w:b/>
          <w:sz w:val="44"/>
          <w:szCs w:val="44"/>
        </w:rPr>
        <w:t>（征求意见稿）</w:t>
      </w:r>
    </w:p>
    <w:p w14:paraId="64C80AA0">
      <w:pPr>
        <w:spacing w:line="360" w:lineRule="auto"/>
        <w:rPr>
          <w:b/>
          <w:sz w:val="30"/>
          <w:szCs w:val="30"/>
        </w:rPr>
      </w:pPr>
    </w:p>
    <w:p w14:paraId="694C85D9">
      <w:pPr>
        <w:spacing w:line="360" w:lineRule="auto"/>
        <w:rPr>
          <w:b/>
          <w:sz w:val="30"/>
          <w:szCs w:val="30"/>
        </w:rPr>
      </w:pPr>
    </w:p>
    <w:p w14:paraId="37B7BAFC">
      <w:pPr>
        <w:spacing w:line="360" w:lineRule="auto"/>
        <w:rPr>
          <w:b/>
          <w:sz w:val="30"/>
          <w:szCs w:val="30"/>
        </w:rPr>
      </w:pPr>
    </w:p>
    <w:p w14:paraId="1E8D37A1">
      <w:pPr>
        <w:spacing w:line="360" w:lineRule="auto"/>
        <w:rPr>
          <w:b/>
          <w:sz w:val="30"/>
          <w:szCs w:val="30"/>
        </w:rPr>
      </w:pPr>
    </w:p>
    <w:p w14:paraId="2A9BEC6A">
      <w:pPr>
        <w:spacing w:line="360" w:lineRule="auto"/>
        <w:rPr>
          <w:b/>
          <w:sz w:val="30"/>
          <w:szCs w:val="30"/>
        </w:rPr>
      </w:pPr>
    </w:p>
    <w:p w14:paraId="3AC95894">
      <w:pPr>
        <w:spacing w:line="360" w:lineRule="auto"/>
        <w:jc w:val="center"/>
        <w:rPr>
          <w:b/>
          <w:sz w:val="24"/>
        </w:rPr>
      </w:pPr>
      <w:r>
        <w:rPr>
          <w:b/>
          <w:sz w:val="24"/>
        </w:rPr>
        <w:t>XX</w:t>
      </w:r>
      <w:r>
        <w:rPr>
          <w:rFonts w:hint="eastAsia"/>
          <w:b/>
          <w:sz w:val="24"/>
        </w:rPr>
        <w:t>-</w:t>
      </w:r>
      <w:r>
        <w:rPr>
          <w:b/>
          <w:sz w:val="24"/>
        </w:rPr>
        <w:t>XX–XX</w:t>
      </w:r>
      <w:r>
        <w:rPr>
          <w:rFonts w:hint="eastAsia"/>
          <w:b/>
          <w:sz w:val="24"/>
        </w:rPr>
        <w:t>发布</w:t>
      </w:r>
      <w:r>
        <w:rPr>
          <w:rFonts w:hint="eastAsia"/>
          <w:b/>
          <w:sz w:val="24"/>
          <w:lang w:val="en-US" w:eastAsia="zh-CN"/>
        </w:rPr>
        <w:t xml:space="preserve">         </w:t>
      </w:r>
      <w:r>
        <w:rPr>
          <w:b/>
          <w:sz w:val="24"/>
        </w:rPr>
        <w:t>XX</w:t>
      </w:r>
      <w:r>
        <w:rPr>
          <w:rFonts w:hint="eastAsia"/>
          <w:b/>
          <w:sz w:val="24"/>
        </w:rPr>
        <w:t>-</w:t>
      </w:r>
      <w:r>
        <w:rPr>
          <w:b/>
          <w:sz w:val="24"/>
        </w:rPr>
        <w:t>XX</w:t>
      </w:r>
      <w:r>
        <w:rPr>
          <w:rFonts w:hint="eastAsia"/>
          <w:b/>
          <w:sz w:val="24"/>
        </w:rPr>
        <w:t>-</w:t>
      </w:r>
      <w:r>
        <w:rPr>
          <w:b/>
          <w:sz w:val="24"/>
        </w:rPr>
        <w:t>XX</w:t>
      </w:r>
      <w:r>
        <w:rPr>
          <w:rFonts w:hint="eastAsia"/>
          <w:b/>
          <w:sz w:val="24"/>
        </w:rPr>
        <w:t>实施</w:t>
      </w:r>
    </w:p>
    <w:p w14:paraId="5957F6D6">
      <w:pPr>
        <w:spacing w:line="360" w:lineRule="auto"/>
        <w:ind w:firstLine="482"/>
        <w:rPr>
          <w:sz w:val="24"/>
        </w:rPr>
      </w:pPr>
      <w:r>
        <w:rPr>
          <w:b/>
          <w:sz w:val="24"/>
        </w:rPr>
        <mc:AlternateContent>
          <mc:Choice Requires="wps">
            <w:drawing>
              <wp:anchor distT="0" distB="0" distL="114300" distR="114300" simplePos="0" relativeHeight="251660288" behindDoc="0" locked="0" layoutInCell="1" allowOverlap="1">
                <wp:simplePos x="0" y="0"/>
                <wp:positionH relativeFrom="column">
                  <wp:posOffset>133350</wp:posOffset>
                </wp:positionH>
                <wp:positionV relativeFrom="paragraph">
                  <wp:posOffset>85725</wp:posOffset>
                </wp:positionV>
                <wp:extent cx="5867400" cy="13335"/>
                <wp:effectExtent l="0" t="0" r="0" b="571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867400" cy="1333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0.5pt;margin-top:6.75pt;height:1.05pt;width:462pt;z-index:251660288;mso-width-relative:page;mso-height-relative:page;" filled="f" stroked="t" coordsize="21600,21600" o:gfxdata="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V4gF9YA&#10;AAAIAQAADwAAAAAAAAABACAAAAAiAAAAZHJzL2Rvd25yZXYueG1sUEsBAhQAFAAAAAgAh07iQEHl&#10;YuzoAQAArgMAAA4AAAAAAAAAAQAgAAAAJQEAAGRycy9lMm9Eb2MueG1sUEsFBgAAAAAGAAYAWQEA&#10;AH8FAAAAAA==&#10;">
                <v:fill on="f" focussize="0,0"/>
                <v:stroke color="#000000" joinstyle="round"/>
                <v:imagedata o:title=""/>
                <o:lock v:ext="edit" aspectratio="f"/>
              </v:line>
            </w:pict>
          </mc:Fallback>
        </mc:AlternateContent>
      </w:r>
    </w:p>
    <w:p w14:paraId="1EA55E1D">
      <w:pPr>
        <w:spacing w:line="360" w:lineRule="auto"/>
        <w:jc w:val="center"/>
        <w:rPr>
          <w:b/>
          <w:spacing w:val="20"/>
          <w:sz w:val="24"/>
        </w:rPr>
      </w:pPr>
      <w:r>
        <w:rPr>
          <w:rFonts w:hint="eastAsia"/>
          <w:b/>
          <w:spacing w:val="20"/>
          <w:sz w:val="44"/>
        </w:rPr>
        <w:t>中华人民共和国工业和</w:t>
      </w:r>
      <w:r>
        <w:rPr>
          <w:b/>
          <w:spacing w:val="20"/>
          <w:sz w:val="44"/>
        </w:rPr>
        <w:t>信息化部</w:t>
      </w:r>
      <w:r>
        <w:rPr>
          <w:rFonts w:hint="eastAsia"/>
          <w:b/>
          <w:spacing w:val="20"/>
          <w:sz w:val="24"/>
        </w:rPr>
        <w:t>发布</w:t>
      </w:r>
    </w:p>
    <w:p w14:paraId="1103A6BE">
      <w:pPr>
        <w:spacing w:line="360" w:lineRule="auto"/>
        <w:jc w:val="center"/>
        <w:rPr>
          <w:b/>
          <w:spacing w:val="20"/>
          <w:sz w:val="24"/>
        </w:rPr>
        <w:sectPr>
          <w:headerReference r:id="rId5" w:type="first"/>
          <w:headerReference r:id="rId3" w:type="default"/>
          <w:footerReference r:id="rId6" w:type="default"/>
          <w:headerReference r:id="rId4" w:type="even"/>
          <w:footerReference r:id="rId7" w:type="even"/>
          <w:pgSz w:w="11906" w:h="16838"/>
          <w:pgMar w:top="1134" w:right="1134" w:bottom="1134" w:left="1134" w:header="851" w:footer="992" w:gutter="0"/>
          <w:cols w:space="425" w:num="1"/>
          <w:docGrid w:type="lines" w:linePitch="312" w:charSpace="0"/>
        </w:sectPr>
      </w:pPr>
    </w:p>
    <w:p w14:paraId="4376A9E7">
      <w:pPr>
        <w:widowControl/>
        <w:spacing w:line="360" w:lineRule="auto"/>
        <w:jc w:val="center"/>
        <w:rPr>
          <w:rFonts w:ascii="宋体" w:hAnsi="宋体"/>
          <w:b/>
          <w:sz w:val="28"/>
          <w:szCs w:val="28"/>
        </w:rPr>
      </w:pPr>
      <w:r>
        <w:rPr>
          <w:rFonts w:hint="eastAsia" w:ascii="宋体" w:hAnsi="宋体"/>
          <w:b/>
          <w:sz w:val="28"/>
          <w:szCs w:val="28"/>
        </w:rPr>
        <w:t>中华人民共和国</w:t>
      </w:r>
      <w:r>
        <w:rPr>
          <w:rFonts w:ascii="宋体" w:hAnsi="宋体"/>
          <w:b/>
          <w:sz w:val="28"/>
          <w:szCs w:val="28"/>
        </w:rPr>
        <w:t>化工行业标准</w:t>
      </w:r>
    </w:p>
    <w:p w14:paraId="3A60EB12">
      <w:pPr>
        <w:widowControl/>
        <w:spacing w:line="360" w:lineRule="auto"/>
        <w:jc w:val="center"/>
        <w:rPr>
          <w:rFonts w:ascii="宋体" w:hAnsi="宋体"/>
          <w:b/>
          <w:sz w:val="28"/>
          <w:szCs w:val="28"/>
        </w:rPr>
      </w:pPr>
    </w:p>
    <w:p w14:paraId="3326D773">
      <w:pPr>
        <w:spacing w:line="360" w:lineRule="auto"/>
        <w:jc w:val="center"/>
        <w:rPr>
          <w:b/>
          <w:sz w:val="44"/>
          <w:szCs w:val="44"/>
        </w:rPr>
      </w:pPr>
      <w:r>
        <w:rPr>
          <w:rFonts w:hint="eastAsia" w:ascii="Calibri" w:hAnsi="Calibri" w:cs="Times New Roman"/>
          <w:b/>
          <w:sz w:val="44"/>
          <w:szCs w:val="44"/>
        </w:rPr>
        <w:t>化工挥发性有机物（VOCs）冷凝法回收装置仪表工程设计规范</w:t>
      </w:r>
    </w:p>
    <w:p w14:paraId="74241C4F">
      <w:pPr>
        <w:widowControl/>
        <w:spacing w:line="360" w:lineRule="auto"/>
        <w:jc w:val="left"/>
        <w:rPr>
          <w:rFonts w:ascii="宋体" w:hAnsi="宋体"/>
          <w:b/>
          <w:sz w:val="18"/>
          <w:szCs w:val="18"/>
        </w:rPr>
      </w:pPr>
    </w:p>
    <w:p w14:paraId="285EF21F">
      <w:pPr>
        <w:spacing w:line="360" w:lineRule="auto"/>
        <w:jc w:val="center"/>
        <w:rPr>
          <w:b/>
          <w:sz w:val="30"/>
          <w:szCs w:val="30"/>
        </w:rPr>
      </w:pPr>
      <w:r>
        <w:rPr>
          <w:rFonts w:ascii="Calibri" w:hAnsi="Calibri" w:cs="Times New Roman"/>
          <w:b/>
          <w:sz w:val="30"/>
          <w:szCs w:val="30"/>
        </w:rPr>
        <w:t>I</w:t>
      </w:r>
      <w:r>
        <w:rPr>
          <w:rFonts w:hint="eastAsia" w:ascii="Calibri" w:hAnsi="Calibri" w:cs="Times New Roman"/>
          <w:b/>
          <w:sz w:val="30"/>
          <w:szCs w:val="30"/>
        </w:rPr>
        <w:t>nstrumentation</w:t>
      </w:r>
      <w:r>
        <w:rPr>
          <w:rFonts w:ascii="Calibri" w:hAnsi="Calibri" w:cs="Times New Roman"/>
          <w:b/>
          <w:sz w:val="30"/>
          <w:szCs w:val="30"/>
        </w:rPr>
        <w:t xml:space="preserve"> </w:t>
      </w:r>
      <w:r>
        <w:rPr>
          <w:rFonts w:hint="eastAsia" w:ascii="Calibri" w:hAnsi="Calibri" w:cs="Times New Roman"/>
          <w:b/>
          <w:sz w:val="30"/>
          <w:szCs w:val="30"/>
        </w:rPr>
        <w:t>engineering</w:t>
      </w:r>
      <w:r>
        <w:rPr>
          <w:rFonts w:ascii="Calibri" w:hAnsi="Calibri" w:cs="Times New Roman"/>
          <w:b/>
          <w:sz w:val="30"/>
          <w:szCs w:val="30"/>
        </w:rPr>
        <w:t xml:space="preserve"> d</w:t>
      </w:r>
      <w:r>
        <w:rPr>
          <w:rFonts w:hint="eastAsia" w:ascii="Calibri" w:hAnsi="Calibri" w:cs="Times New Roman"/>
          <w:b/>
          <w:sz w:val="30"/>
          <w:szCs w:val="30"/>
        </w:rPr>
        <w:t>esign</w:t>
      </w:r>
      <w:r>
        <w:rPr>
          <w:rFonts w:ascii="Calibri" w:hAnsi="Calibri" w:cs="Times New Roman"/>
          <w:b/>
          <w:sz w:val="30"/>
          <w:szCs w:val="30"/>
        </w:rPr>
        <w:t xml:space="preserve"> </w:t>
      </w:r>
      <w:r>
        <w:rPr>
          <w:rFonts w:hint="eastAsia" w:ascii="Calibri" w:hAnsi="Calibri" w:cs="Times New Roman"/>
          <w:b/>
          <w:sz w:val="30"/>
          <w:szCs w:val="30"/>
        </w:rPr>
        <w:t>c</w:t>
      </w:r>
      <w:r>
        <w:rPr>
          <w:rFonts w:ascii="Calibri" w:hAnsi="Calibri" w:cs="Times New Roman"/>
          <w:b/>
          <w:sz w:val="30"/>
          <w:szCs w:val="30"/>
        </w:rPr>
        <w:t xml:space="preserve">ode for </w:t>
      </w:r>
      <w:r>
        <w:rPr>
          <w:rFonts w:hint="eastAsia" w:ascii="Calibri" w:hAnsi="Calibri" w:cs="Times New Roman"/>
          <w:b/>
          <w:sz w:val="30"/>
          <w:szCs w:val="30"/>
        </w:rPr>
        <w:t>condensation recovery unit in chemical volatile organic compounds（V</w:t>
      </w:r>
      <w:r>
        <w:rPr>
          <w:rFonts w:ascii="Calibri" w:hAnsi="Calibri" w:cs="Times New Roman"/>
          <w:b/>
          <w:sz w:val="30"/>
          <w:szCs w:val="30"/>
        </w:rPr>
        <w:t>OC</w:t>
      </w:r>
      <w:r>
        <w:rPr>
          <w:rFonts w:hint="eastAsia" w:ascii="Calibri" w:hAnsi="Calibri" w:cs="Times New Roman"/>
          <w:b/>
          <w:sz w:val="30"/>
          <w:szCs w:val="30"/>
        </w:rPr>
        <w:t>s）</w:t>
      </w:r>
    </w:p>
    <w:p w14:paraId="5D7B46A2">
      <w:pPr>
        <w:widowControl/>
        <w:spacing w:line="360" w:lineRule="auto"/>
        <w:jc w:val="center"/>
        <w:rPr>
          <w:rFonts w:ascii="宋体" w:hAnsi="宋体"/>
          <w:b/>
          <w:sz w:val="28"/>
          <w:szCs w:val="28"/>
        </w:rPr>
      </w:pPr>
      <w:r>
        <w:rPr>
          <w:rFonts w:hint="eastAsia" w:ascii="宋体" w:hAnsi="宋体"/>
          <w:b/>
          <w:sz w:val="28"/>
          <w:szCs w:val="28"/>
        </w:rPr>
        <w:t>HG/T  xxxxx-xxxx</w:t>
      </w:r>
    </w:p>
    <w:p w14:paraId="5D51979B">
      <w:pPr>
        <w:widowControl/>
        <w:spacing w:line="360" w:lineRule="auto"/>
        <w:jc w:val="center"/>
        <w:rPr>
          <w:rFonts w:ascii="宋体" w:hAnsi="宋体"/>
          <w:b/>
          <w:sz w:val="18"/>
          <w:szCs w:val="18"/>
        </w:rPr>
      </w:pPr>
    </w:p>
    <w:p w14:paraId="1E31FE96">
      <w:pPr>
        <w:widowControl/>
        <w:spacing w:line="360" w:lineRule="auto"/>
        <w:jc w:val="center"/>
        <w:rPr>
          <w:rFonts w:ascii="宋体" w:hAnsi="宋体"/>
          <w:b/>
          <w:sz w:val="18"/>
          <w:szCs w:val="18"/>
        </w:rPr>
      </w:pPr>
    </w:p>
    <w:p w14:paraId="7F007BD5">
      <w:pPr>
        <w:widowControl/>
        <w:spacing w:line="360" w:lineRule="auto"/>
        <w:ind w:firstLine="2310" w:firstLineChars="1100"/>
        <w:rPr>
          <w:rFonts w:ascii="宋体" w:hAnsi="宋体"/>
        </w:rPr>
      </w:pPr>
      <w:r>
        <w:rPr>
          <w:rFonts w:hint="eastAsia" w:ascii="宋体" w:hAnsi="宋体"/>
        </w:rPr>
        <w:t>主编单位：华陆工程科技有限责任公司</w:t>
      </w:r>
    </w:p>
    <w:p w14:paraId="509B9530">
      <w:pPr>
        <w:widowControl/>
        <w:spacing w:line="360" w:lineRule="auto"/>
        <w:ind w:firstLine="2310" w:firstLineChars="1100"/>
        <w:rPr>
          <w:rFonts w:ascii="宋体" w:hAnsi="宋体"/>
        </w:rPr>
      </w:pPr>
      <w:r>
        <w:rPr>
          <w:rFonts w:hint="eastAsia" w:ascii="宋体" w:hAnsi="宋体"/>
        </w:rPr>
        <w:t>批准部门：中华人民共和国工业和信息化部</w:t>
      </w:r>
    </w:p>
    <w:p w14:paraId="7BB7212F">
      <w:pPr>
        <w:widowControl/>
        <w:spacing w:line="360" w:lineRule="auto"/>
        <w:ind w:firstLine="2310" w:firstLineChars="1100"/>
        <w:rPr>
          <w:rFonts w:ascii="宋体" w:hAnsi="宋体"/>
          <w:sz w:val="18"/>
          <w:szCs w:val="18"/>
        </w:rPr>
      </w:pPr>
      <w:r>
        <w:rPr>
          <w:rFonts w:hint="eastAsia" w:ascii="宋体" w:hAnsi="宋体"/>
        </w:rPr>
        <w:t>实施日期：xxxx年xx月xx日</w:t>
      </w:r>
    </w:p>
    <w:p w14:paraId="3B81049B">
      <w:pPr>
        <w:widowControl/>
        <w:spacing w:line="360" w:lineRule="auto"/>
        <w:ind w:firstLine="2430" w:firstLineChars="1350"/>
        <w:rPr>
          <w:rFonts w:ascii="宋体" w:hAnsi="宋体"/>
          <w:sz w:val="18"/>
          <w:szCs w:val="18"/>
        </w:rPr>
      </w:pPr>
    </w:p>
    <w:p w14:paraId="5F9A83F3">
      <w:pPr>
        <w:widowControl/>
        <w:spacing w:line="360" w:lineRule="auto"/>
        <w:ind w:firstLine="2430" w:firstLineChars="1350"/>
        <w:rPr>
          <w:rFonts w:ascii="宋体" w:hAnsi="宋体"/>
          <w:sz w:val="18"/>
          <w:szCs w:val="18"/>
        </w:rPr>
      </w:pPr>
    </w:p>
    <w:p w14:paraId="45C4F2B8">
      <w:pPr>
        <w:widowControl/>
        <w:spacing w:line="360" w:lineRule="auto"/>
        <w:ind w:firstLine="2430" w:firstLineChars="1350"/>
        <w:rPr>
          <w:rFonts w:ascii="宋体" w:hAnsi="宋体"/>
          <w:sz w:val="18"/>
          <w:szCs w:val="18"/>
        </w:rPr>
      </w:pPr>
    </w:p>
    <w:p w14:paraId="2FA056D5">
      <w:pPr>
        <w:widowControl/>
        <w:spacing w:line="360" w:lineRule="auto"/>
        <w:ind w:firstLine="2430" w:firstLineChars="1350"/>
        <w:rPr>
          <w:rFonts w:ascii="宋体" w:hAnsi="宋体"/>
          <w:sz w:val="18"/>
          <w:szCs w:val="18"/>
        </w:rPr>
      </w:pPr>
    </w:p>
    <w:p w14:paraId="353008FD">
      <w:pPr>
        <w:widowControl/>
        <w:spacing w:line="360" w:lineRule="auto"/>
        <w:ind w:firstLine="2430" w:firstLineChars="1350"/>
        <w:rPr>
          <w:rFonts w:ascii="宋体" w:hAnsi="宋体"/>
          <w:sz w:val="18"/>
          <w:szCs w:val="18"/>
        </w:rPr>
      </w:pPr>
    </w:p>
    <w:p w14:paraId="0ED5A310">
      <w:pPr>
        <w:widowControl/>
        <w:spacing w:line="360" w:lineRule="auto"/>
        <w:ind w:firstLine="2430" w:firstLineChars="1350"/>
        <w:rPr>
          <w:rFonts w:ascii="宋体" w:hAnsi="宋体"/>
          <w:sz w:val="18"/>
          <w:szCs w:val="18"/>
        </w:rPr>
      </w:pPr>
    </w:p>
    <w:p w14:paraId="34DD456D">
      <w:pPr>
        <w:widowControl/>
        <w:spacing w:line="360" w:lineRule="auto"/>
        <w:ind w:firstLine="2430" w:firstLineChars="1350"/>
        <w:rPr>
          <w:rFonts w:ascii="宋体" w:hAnsi="宋体"/>
          <w:sz w:val="18"/>
          <w:szCs w:val="18"/>
        </w:rPr>
      </w:pPr>
    </w:p>
    <w:p w14:paraId="27BD2B4F">
      <w:pPr>
        <w:widowControl/>
        <w:spacing w:line="360" w:lineRule="auto"/>
        <w:ind w:firstLine="2430" w:firstLineChars="1350"/>
        <w:rPr>
          <w:rFonts w:ascii="宋体" w:hAnsi="宋体"/>
          <w:sz w:val="18"/>
          <w:szCs w:val="18"/>
        </w:rPr>
      </w:pPr>
    </w:p>
    <w:p w14:paraId="1F333ED5">
      <w:pPr>
        <w:widowControl/>
        <w:spacing w:line="360" w:lineRule="auto"/>
        <w:rPr>
          <w:rFonts w:ascii="宋体" w:hAnsi="宋体"/>
          <w:sz w:val="18"/>
          <w:szCs w:val="18"/>
        </w:rPr>
      </w:pPr>
    </w:p>
    <w:p w14:paraId="0BFE2FA6">
      <w:pPr>
        <w:widowControl/>
        <w:spacing w:line="360" w:lineRule="auto"/>
        <w:rPr>
          <w:rFonts w:ascii="宋体" w:hAnsi="宋体"/>
          <w:sz w:val="18"/>
          <w:szCs w:val="18"/>
        </w:rPr>
      </w:pPr>
    </w:p>
    <w:p w14:paraId="3176A49C">
      <w:pPr>
        <w:widowControl/>
        <w:spacing w:line="360" w:lineRule="auto"/>
        <w:rPr>
          <w:rFonts w:ascii="宋体" w:hAnsi="宋体"/>
          <w:sz w:val="18"/>
          <w:szCs w:val="18"/>
        </w:rPr>
      </w:pPr>
    </w:p>
    <w:p w14:paraId="2F95BC14">
      <w:pPr>
        <w:widowControl/>
        <w:spacing w:line="360" w:lineRule="auto"/>
        <w:jc w:val="center"/>
        <w:rPr>
          <w:rFonts w:ascii="宋体" w:hAnsi="宋体"/>
          <w:sz w:val="28"/>
          <w:szCs w:val="28"/>
        </w:rPr>
      </w:pPr>
      <w:r>
        <w:rPr>
          <w:rFonts w:hint="eastAsia" w:ascii="宋体" w:hAnsi="宋体"/>
          <w:sz w:val="28"/>
          <w:szCs w:val="28"/>
        </w:rPr>
        <w:t>XXXX出版社</w:t>
      </w:r>
    </w:p>
    <w:p w14:paraId="1E5D2914">
      <w:pPr>
        <w:widowControl/>
        <w:spacing w:line="360" w:lineRule="auto"/>
        <w:jc w:val="center"/>
        <w:rPr>
          <w:rFonts w:ascii="宋体" w:hAnsi="宋体"/>
          <w:sz w:val="28"/>
          <w:szCs w:val="28"/>
        </w:rPr>
      </w:pPr>
      <w:r>
        <w:rPr>
          <w:rFonts w:hint="eastAsia" w:ascii="宋体" w:hAnsi="宋体"/>
          <w:sz w:val="28"/>
          <w:szCs w:val="28"/>
        </w:rPr>
        <w:t>xxxx北京</w:t>
      </w:r>
    </w:p>
    <w:p w14:paraId="76FDA7A0">
      <w:pPr>
        <w:widowControl/>
        <w:spacing w:line="360" w:lineRule="auto"/>
        <w:jc w:val="center"/>
        <w:rPr>
          <w:rFonts w:ascii="宋体" w:hAnsi="宋体"/>
          <w:sz w:val="28"/>
          <w:szCs w:val="28"/>
        </w:rPr>
      </w:pPr>
    </w:p>
    <w:p w14:paraId="7C148A46">
      <w:pPr>
        <w:widowControl/>
        <w:spacing w:line="360" w:lineRule="auto"/>
        <w:jc w:val="center"/>
        <w:rPr>
          <w:rFonts w:ascii="宋体" w:hAnsi="宋体"/>
          <w:b/>
          <w:sz w:val="30"/>
          <w:szCs w:val="30"/>
        </w:rPr>
      </w:pPr>
      <w:r>
        <w:rPr>
          <w:rFonts w:hint="eastAsia" w:ascii="宋体" w:hAnsi="宋体"/>
          <w:b/>
          <w:sz w:val="30"/>
          <w:szCs w:val="30"/>
        </w:rPr>
        <w:t>前  言</w:t>
      </w:r>
    </w:p>
    <w:p w14:paraId="3B09A806">
      <w:pPr>
        <w:widowControl/>
        <w:spacing w:line="360" w:lineRule="auto"/>
        <w:ind w:firstLine="480" w:firstLineChars="200"/>
        <w:jc w:val="left"/>
        <w:rPr>
          <w:rFonts w:ascii="宋体" w:hAnsi="宋体"/>
          <w:sz w:val="24"/>
          <w:szCs w:val="24"/>
        </w:rPr>
      </w:pPr>
    </w:p>
    <w:p w14:paraId="7C7FCD1C">
      <w:pPr>
        <w:widowControl/>
        <w:spacing w:line="400" w:lineRule="exact"/>
        <w:ind w:firstLine="480" w:firstLineChars="200"/>
        <w:jc w:val="left"/>
        <w:rPr>
          <w:rFonts w:ascii="宋体" w:hAnsi="宋体"/>
          <w:sz w:val="24"/>
          <w:szCs w:val="24"/>
        </w:rPr>
      </w:pPr>
      <w:r>
        <w:rPr>
          <w:rFonts w:hint="eastAsia" w:ascii="宋体" w:hAnsi="宋体"/>
          <w:sz w:val="24"/>
          <w:szCs w:val="24"/>
        </w:rPr>
        <w:t>本规范根据</w:t>
      </w:r>
      <w:r>
        <w:rPr>
          <w:rFonts w:hint="eastAsia" w:ascii="宋体" w:hAnsi="宋体"/>
          <w:sz w:val="24"/>
          <w:szCs w:val="24"/>
          <w:lang w:eastAsia="zh-CN"/>
        </w:rPr>
        <w:t>《</w:t>
      </w:r>
      <w:r>
        <w:rPr>
          <w:rFonts w:hint="eastAsia" w:ascii="宋体" w:hAnsi="宋体"/>
          <w:sz w:val="24"/>
          <w:szCs w:val="24"/>
        </w:rPr>
        <w:t>工业</w:t>
      </w:r>
      <w:r>
        <w:rPr>
          <w:rFonts w:ascii="宋体" w:hAnsi="宋体"/>
          <w:sz w:val="24"/>
          <w:szCs w:val="24"/>
        </w:rPr>
        <w:t>和信息化部</w:t>
      </w:r>
      <w:r>
        <w:rPr>
          <w:rFonts w:hint="eastAsia" w:ascii="宋体" w:hAnsi="宋体"/>
          <w:sz w:val="24"/>
          <w:szCs w:val="24"/>
        </w:rPr>
        <w:t>办公厅关于印发20</w:t>
      </w:r>
      <w:r>
        <w:rPr>
          <w:rFonts w:ascii="宋体" w:hAnsi="宋体"/>
          <w:sz w:val="24"/>
          <w:szCs w:val="24"/>
        </w:rPr>
        <w:t>23</w:t>
      </w:r>
      <w:r>
        <w:rPr>
          <w:rFonts w:hint="eastAsia" w:ascii="宋体" w:hAnsi="宋体"/>
          <w:sz w:val="24"/>
          <w:szCs w:val="24"/>
        </w:rPr>
        <w:t>年第三批行业标准制修订和外文版项目计划的通知</w:t>
      </w:r>
      <w:r>
        <w:rPr>
          <w:rFonts w:hint="eastAsia" w:ascii="宋体" w:hAnsi="宋体"/>
          <w:sz w:val="24"/>
          <w:szCs w:val="24"/>
          <w:lang w:eastAsia="zh-CN"/>
        </w:rPr>
        <w:t>》</w:t>
      </w:r>
      <w:r>
        <w:rPr>
          <w:rFonts w:hint="eastAsia" w:ascii="宋体" w:hAnsi="宋体"/>
          <w:sz w:val="24"/>
          <w:szCs w:val="24"/>
        </w:rPr>
        <w:t>（工信厅科函[20</w:t>
      </w:r>
      <w:r>
        <w:rPr>
          <w:rFonts w:ascii="宋体" w:hAnsi="宋体"/>
          <w:sz w:val="24"/>
          <w:szCs w:val="24"/>
        </w:rPr>
        <w:t>23</w:t>
      </w:r>
      <w:r>
        <w:rPr>
          <w:rFonts w:hint="eastAsia" w:ascii="宋体" w:hAnsi="宋体"/>
          <w:sz w:val="24"/>
          <w:szCs w:val="24"/>
        </w:rPr>
        <w:t>]</w:t>
      </w:r>
      <w:r>
        <w:rPr>
          <w:rFonts w:ascii="宋体" w:hAnsi="宋体"/>
          <w:sz w:val="24"/>
          <w:szCs w:val="24"/>
        </w:rPr>
        <w:t>291</w:t>
      </w:r>
      <w:r>
        <w:rPr>
          <w:rFonts w:hint="eastAsia" w:ascii="宋体" w:hAnsi="宋体"/>
          <w:sz w:val="24"/>
          <w:szCs w:val="24"/>
        </w:rPr>
        <w:t>号）的</w:t>
      </w:r>
      <w:r>
        <w:rPr>
          <w:rFonts w:ascii="宋体" w:hAnsi="宋体"/>
          <w:sz w:val="24"/>
          <w:szCs w:val="24"/>
        </w:rPr>
        <w:t>要求，</w:t>
      </w:r>
      <w:r>
        <w:rPr>
          <w:rFonts w:hint="eastAsia" w:ascii="宋体" w:hAnsi="宋体"/>
          <w:sz w:val="24"/>
          <w:szCs w:val="24"/>
        </w:rPr>
        <w:t>中国石油和化工勘察设计协会为技术归口单位，协会</w:t>
      </w:r>
      <w:bookmarkStart w:id="1" w:name="_Hlk147829620"/>
      <w:r>
        <w:rPr>
          <w:rFonts w:hint="eastAsia" w:ascii="宋体" w:hAnsi="宋体"/>
          <w:sz w:val="24"/>
          <w:szCs w:val="24"/>
        </w:rPr>
        <w:t>自动控制设计专业委员会</w:t>
      </w:r>
      <w:bookmarkEnd w:id="1"/>
      <w:r>
        <w:rPr>
          <w:rFonts w:hint="eastAsia" w:ascii="宋体" w:hAnsi="宋体"/>
          <w:sz w:val="24"/>
          <w:szCs w:val="24"/>
        </w:rPr>
        <w:t>负责组织，华陆工程科技有限责任公司为主编单位，会同参编单位编制完成。</w:t>
      </w:r>
    </w:p>
    <w:p w14:paraId="03551B78">
      <w:pPr>
        <w:widowControl/>
        <w:spacing w:line="400" w:lineRule="exact"/>
        <w:ind w:firstLine="480" w:firstLineChars="200"/>
        <w:jc w:val="left"/>
        <w:rPr>
          <w:rFonts w:hint="eastAsia" w:ascii="宋体" w:hAnsi="宋体"/>
          <w:sz w:val="24"/>
          <w:szCs w:val="24"/>
        </w:rPr>
      </w:pPr>
      <w:r>
        <w:rPr>
          <w:rFonts w:hint="eastAsia" w:ascii="宋体" w:hAnsi="宋体"/>
          <w:sz w:val="24"/>
          <w:szCs w:val="24"/>
        </w:rPr>
        <w:t>本规范在制订过程中，编制组进行了广泛的调查研究，认真总结了我国化工行业VOCs冷凝法及其组合式回收装置的测控技术、控制系统、仪表选型、排放监测等仪表工程的实践经验，同时参考了国内外V</w:t>
      </w:r>
      <w:r>
        <w:rPr>
          <w:rFonts w:ascii="宋体" w:hAnsi="宋体"/>
          <w:sz w:val="24"/>
          <w:szCs w:val="24"/>
        </w:rPr>
        <w:t>OC</w:t>
      </w:r>
      <w:r>
        <w:rPr>
          <w:rFonts w:hint="eastAsia" w:ascii="宋体" w:hAnsi="宋体"/>
          <w:sz w:val="24"/>
          <w:szCs w:val="24"/>
        </w:rPr>
        <w:t>s回收装置工程技术应用的大量资料、技术法规，技术标准等，并在广泛征求意见的基础上，制订本规范，最后经审查定稿。</w:t>
      </w:r>
    </w:p>
    <w:p w14:paraId="2B8AD41B">
      <w:pPr>
        <w:widowControl/>
        <w:spacing w:line="400" w:lineRule="exact"/>
        <w:ind w:firstLine="480" w:firstLineChars="200"/>
        <w:jc w:val="left"/>
        <w:rPr>
          <w:rFonts w:ascii="宋体" w:hAnsi="宋体"/>
          <w:sz w:val="24"/>
          <w:szCs w:val="24"/>
        </w:rPr>
      </w:pPr>
      <w:r>
        <w:rPr>
          <w:rFonts w:hint="eastAsia" w:ascii="宋体" w:hAnsi="宋体"/>
          <w:sz w:val="24"/>
          <w:szCs w:val="24"/>
        </w:rPr>
        <w:t>本规范</w:t>
      </w:r>
      <w:r>
        <w:rPr>
          <w:rFonts w:ascii="宋体" w:hAnsi="宋体"/>
          <w:sz w:val="24"/>
          <w:szCs w:val="24"/>
        </w:rPr>
        <w:t>组成内容共有</w:t>
      </w:r>
      <w:r>
        <w:rPr>
          <w:rFonts w:hint="eastAsia" w:ascii="宋体" w:hAnsi="宋体"/>
          <w:sz w:val="24"/>
          <w:szCs w:val="24"/>
        </w:rPr>
        <w:t>9章</w:t>
      </w:r>
      <w:r>
        <w:rPr>
          <w:rFonts w:ascii="宋体" w:hAnsi="宋体"/>
          <w:sz w:val="24"/>
          <w:szCs w:val="24"/>
        </w:rPr>
        <w:t>。</w:t>
      </w:r>
      <w:r>
        <w:rPr>
          <w:rFonts w:hint="eastAsia" w:ascii="宋体" w:hAnsi="宋体"/>
          <w:sz w:val="24"/>
          <w:szCs w:val="24"/>
        </w:rPr>
        <w:t>规范</w:t>
      </w:r>
      <w:r>
        <w:rPr>
          <w:rFonts w:ascii="宋体" w:hAnsi="宋体"/>
          <w:sz w:val="24"/>
          <w:szCs w:val="24"/>
        </w:rPr>
        <w:t>正文包含</w:t>
      </w:r>
      <w:r>
        <w:rPr>
          <w:rFonts w:hint="eastAsia" w:ascii="宋体" w:hAnsi="宋体"/>
          <w:sz w:val="24"/>
          <w:szCs w:val="24"/>
        </w:rPr>
        <w:t>以下</w:t>
      </w:r>
      <w:r>
        <w:rPr>
          <w:rFonts w:ascii="宋体" w:hAnsi="宋体"/>
          <w:sz w:val="24"/>
          <w:szCs w:val="24"/>
        </w:rPr>
        <w:t>内容：</w:t>
      </w:r>
      <w:r>
        <w:rPr>
          <w:rFonts w:hint="eastAsia" w:ascii="宋体" w:hAnsi="宋体"/>
          <w:sz w:val="24"/>
          <w:szCs w:val="24"/>
        </w:rPr>
        <w:t>总则；术语和缩略语；基本规定；测控要求；控制系统；检测仪表；排放监测；监测站房；安装设计。</w:t>
      </w:r>
    </w:p>
    <w:p w14:paraId="0C6FFD0D">
      <w:pPr>
        <w:widowControl/>
        <w:spacing w:line="400" w:lineRule="exact"/>
        <w:ind w:firstLine="480" w:firstLineChars="200"/>
        <w:jc w:val="left"/>
        <w:rPr>
          <w:rFonts w:ascii="宋体" w:hAnsi="宋体"/>
          <w:sz w:val="24"/>
          <w:szCs w:val="24"/>
        </w:rPr>
      </w:pPr>
      <w:r>
        <w:rPr>
          <w:rFonts w:hint="eastAsia" w:ascii="宋体" w:hAnsi="宋体"/>
          <w:sz w:val="24"/>
          <w:szCs w:val="24"/>
        </w:rPr>
        <w:t>本规范共</w:t>
      </w:r>
      <w:r>
        <w:rPr>
          <w:rFonts w:hint="eastAsia" w:ascii="宋体" w:hAnsi="宋体"/>
          <w:sz w:val="24"/>
          <w:szCs w:val="24"/>
          <w:lang w:eastAsia="zh-CN"/>
        </w:rPr>
        <w:t>有</w:t>
      </w:r>
      <w:r>
        <w:rPr>
          <w:rFonts w:hint="eastAsia" w:ascii="宋体" w:hAnsi="宋体"/>
          <w:sz w:val="24"/>
          <w:szCs w:val="24"/>
        </w:rPr>
        <w:t>3个附录。附录包含：组合式冷凝回收法典型控制流程图；主要控制项目；主要报警联锁项目。</w:t>
      </w:r>
    </w:p>
    <w:p w14:paraId="49B1FAAC">
      <w:pPr>
        <w:widowControl/>
        <w:spacing w:line="400" w:lineRule="exact"/>
        <w:ind w:firstLine="480" w:firstLineChars="200"/>
        <w:jc w:val="left"/>
        <w:rPr>
          <w:rFonts w:ascii="宋体" w:hAnsi="宋体"/>
          <w:sz w:val="24"/>
          <w:szCs w:val="24"/>
        </w:rPr>
      </w:pPr>
      <w:r>
        <w:rPr>
          <w:rFonts w:hint="eastAsia" w:ascii="宋体" w:hAnsi="宋体"/>
          <w:sz w:val="24"/>
          <w:szCs w:val="24"/>
        </w:rPr>
        <w:t>本规范由工业和信息化部负责管理，由中国石油和化工勘察设计协会技术归口，协会自动控制设计专业委员会负责日常管理，由华陆工程科技有限责任公司</w:t>
      </w:r>
      <w:r>
        <w:rPr>
          <w:rFonts w:ascii="宋体" w:hAnsi="宋体"/>
          <w:sz w:val="24"/>
          <w:szCs w:val="24"/>
        </w:rPr>
        <w:t>负责</w:t>
      </w:r>
      <w:r>
        <w:rPr>
          <w:rFonts w:hint="eastAsia" w:ascii="宋体" w:hAnsi="宋体"/>
          <w:sz w:val="24"/>
          <w:szCs w:val="24"/>
        </w:rPr>
        <w:t>具体技术内容的</w:t>
      </w:r>
      <w:r>
        <w:rPr>
          <w:rFonts w:ascii="宋体" w:hAnsi="宋体"/>
          <w:sz w:val="24"/>
          <w:szCs w:val="24"/>
        </w:rPr>
        <w:t>解释</w:t>
      </w:r>
      <w:r>
        <w:rPr>
          <w:rFonts w:hint="eastAsia" w:ascii="宋体" w:hAnsi="宋体"/>
          <w:sz w:val="24"/>
          <w:szCs w:val="24"/>
        </w:rPr>
        <w:t>。在执行过程中如有意见和建议，请与自动控制设计专业委员会负联系</w:t>
      </w:r>
      <w:r>
        <w:rPr>
          <w:rFonts w:hint="eastAsia" w:ascii="宋体" w:hAnsi="宋体"/>
          <w:sz w:val="24"/>
          <w:szCs w:val="24"/>
          <w:highlight w:val="none"/>
        </w:rPr>
        <w:t>（联系地址：西安高新技术产业开发区唐延南路7号华陆大厦，邮编：</w:t>
      </w:r>
      <w:r>
        <w:rPr>
          <w:rFonts w:hint="eastAsia" w:ascii="宋体" w:hAnsi="宋体"/>
          <w:sz w:val="24"/>
          <w:szCs w:val="24"/>
          <w:highlight w:val="none"/>
          <w:lang w:val="en-US" w:eastAsia="zh-CN"/>
        </w:rPr>
        <w:t>710065</w:t>
      </w:r>
      <w:r>
        <w:rPr>
          <w:rFonts w:hint="eastAsia" w:ascii="宋体" w:hAnsi="宋体"/>
          <w:sz w:val="24"/>
          <w:szCs w:val="24"/>
          <w:highlight w:val="none"/>
        </w:rPr>
        <w:t>，电话：</w:t>
      </w:r>
      <w:r>
        <w:rPr>
          <w:rFonts w:hint="eastAsia" w:ascii="宋体" w:hAnsi="宋体"/>
          <w:sz w:val="24"/>
          <w:szCs w:val="24"/>
          <w:highlight w:val="none"/>
          <w:lang w:val="en-US" w:eastAsia="zh-CN"/>
        </w:rPr>
        <w:t>029-87989105</w:t>
      </w:r>
      <w:r>
        <w:rPr>
          <w:rFonts w:hint="eastAsia" w:ascii="宋体" w:hAnsi="宋体"/>
          <w:sz w:val="24"/>
          <w:szCs w:val="24"/>
          <w:highlight w:val="none"/>
        </w:rPr>
        <w:t>）</w:t>
      </w:r>
      <w:r>
        <w:rPr>
          <w:rFonts w:hint="eastAsia" w:ascii="宋体" w:hAnsi="宋体"/>
          <w:sz w:val="24"/>
          <w:szCs w:val="24"/>
        </w:rPr>
        <w:t>以供今后修订时参考。本规范主编单位</w:t>
      </w:r>
      <w:r>
        <w:rPr>
          <w:rFonts w:ascii="宋体" w:hAnsi="宋体"/>
          <w:sz w:val="24"/>
          <w:szCs w:val="24"/>
        </w:rPr>
        <w:t>、</w:t>
      </w:r>
      <w:r>
        <w:rPr>
          <w:rFonts w:hint="eastAsia" w:ascii="宋体" w:hAnsi="宋体"/>
          <w:sz w:val="24"/>
          <w:szCs w:val="24"/>
        </w:rPr>
        <w:t>参编单位</w:t>
      </w:r>
      <w:r>
        <w:rPr>
          <w:rFonts w:ascii="宋体" w:hAnsi="宋体"/>
          <w:sz w:val="24"/>
          <w:szCs w:val="24"/>
        </w:rPr>
        <w:t>、主要起草人和主要审查人：</w:t>
      </w:r>
    </w:p>
    <w:p w14:paraId="7A1A03E0">
      <w:pPr>
        <w:widowControl/>
        <w:spacing w:line="400" w:lineRule="exact"/>
        <w:ind w:firstLine="480" w:firstLineChars="200"/>
        <w:jc w:val="left"/>
        <w:rPr>
          <w:rFonts w:ascii="宋体" w:hAnsi="宋体"/>
          <w:sz w:val="24"/>
          <w:szCs w:val="24"/>
        </w:rPr>
      </w:pPr>
      <w:r>
        <w:rPr>
          <w:rFonts w:hint="eastAsia" w:ascii="宋体" w:hAnsi="宋体"/>
          <w:sz w:val="24"/>
          <w:szCs w:val="24"/>
        </w:rPr>
        <w:t>主 编 单 位</w:t>
      </w:r>
      <w:r>
        <w:rPr>
          <w:rFonts w:ascii="宋体" w:hAnsi="宋体"/>
          <w:sz w:val="24"/>
          <w:szCs w:val="24"/>
        </w:rPr>
        <w:t>：</w:t>
      </w:r>
      <w:r>
        <w:rPr>
          <w:rFonts w:ascii="宋体" w:hAnsi="宋体"/>
          <w:sz w:val="24"/>
          <w:szCs w:val="24"/>
        </w:rPr>
        <w:tab/>
      </w:r>
      <w:r>
        <w:rPr>
          <w:rFonts w:hint="eastAsia" w:ascii="宋体" w:hAnsi="宋体"/>
          <w:sz w:val="24"/>
          <w:szCs w:val="24"/>
        </w:rPr>
        <w:t>华陆工程科技有限责任公司</w:t>
      </w:r>
    </w:p>
    <w:p w14:paraId="5313A761">
      <w:pPr>
        <w:widowControl/>
        <w:spacing w:line="400" w:lineRule="exact"/>
        <w:ind w:firstLine="480" w:firstLineChars="200"/>
        <w:jc w:val="left"/>
        <w:rPr>
          <w:rFonts w:ascii="宋体" w:hAnsi="宋体"/>
          <w:sz w:val="24"/>
          <w:szCs w:val="24"/>
        </w:rPr>
      </w:pPr>
      <w:r>
        <w:rPr>
          <w:rFonts w:hint="eastAsia" w:ascii="宋体" w:hAnsi="宋体"/>
          <w:sz w:val="24"/>
          <w:szCs w:val="24"/>
        </w:rPr>
        <w:t>参 编 单 位：</w:t>
      </w:r>
      <w:r>
        <w:rPr>
          <w:rFonts w:ascii="宋体" w:hAnsi="宋体"/>
          <w:sz w:val="24"/>
          <w:szCs w:val="24"/>
          <w:highlight w:val="yellow"/>
        </w:rPr>
        <w:tab/>
      </w:r>
      <w:r>
        <w:rPr>
          <w:rFonts w:hint="eastAsia" w:ascii="宋体" w:hAnsi="宋体"/>
          <w:sz w:val="24"/>
          <w:szCs w:val="24"/>
          <w:highlight w:val="yellow"/>
          <w:lang w:val="en-US" w:eastAsia="zh-CN"/>
        </w:rPr>
        <w:t>中国</w:t>
      </w:r>
      <w:r>
        <w:rPr>
          <w:rFonts w:hint="eastAsia" w:ascii="宋体" w:hAnsi="宋体"/>
          <w:sz w:val="24"/>
          <w:szCs w:val="24"/>
        </w:rPr>
        <w:t>昆仑工程</w:t>
      </w:r>
      <w:r>
        <w:rPr>
          <w:rFonts w:hint="eastAsia" w:ascii="宋体" w:hAnsi="宋体"/>
          <w:sz w:val="24"/>
          <w:szCs w:val="24"/>
          <w:lang w:val="en-US" w:eastAsia="zh-CN"/>
        </w:rPr>
        <w:t>有限</w:t>
      </w:r>
      <w:r>
        <w:rPr>
          <w:rFonts w:hint="eastAsia" w:ascii="宋体" w:hAnsi="宋体"/>
          <w:sz w:val="24"/>
          <w:szCs w:val="24"/>
        </w:rPr>
        <w:t>公司</w:t>
      </w:r>
    </w:p>
    <w:p w14:paraId="3BF751FA">
      <w:pPr>
        <w:widowControl/>
        <w:spacing w:line="400" w:lineRule="exact"/>
        <w:ind w:left="1680" w:firstLine="420"/>
        <w:jc w:val="left"/>
        <w:rPr>
          <w:rFonts w:ascii="宋体" w:hAnsi="宋体"/>
          <w:sz w:val="24"/>
          <w:szCs w:val="24"/>
        </w:rPr>
      </w:pPr>
      <w:r>
        <w:rPr>
          <w:rFonts w:hint="eastAsia" w:ascii="宋体" w:hAnsi="宋体"/>
          <w:sz w:val="24"/>
          <w:szCs w:val="24"/>
        </w:rPr>
        <w:t>眉山麦克在线设备股份有限公司</w:t>
      </w:r>
    </w:p>
    <w:p w14:paraId="1A8A0E3C">
      <w:pPr>
        <w:widowControl/>
        <w:spacing w:line="400" w:lineRule="exact"/>
        <w:ind w:left="401" w:firstLine="1699" w:firstLineChars="708"/>
        <w:jc w:val="left"/>
        <w:rPr>
          <w:rFonts w:ascii="宋体" w:hAnsi="宋体"/>
          <w:sz w:val="24"/>
          <w:szCs w:val="24"/>
        </w:rPr>
      </w:pPr>
      <w:r>
        <w:rPr>
          <w:rFonts w:hint="eastAsia" w:ascii="宋体" w:hAnsi="宋体"/>
          <w:sz w:val="24"/>
          <w:szCs w:val="24"/>
        </w:rPr>
        <w:t>深圳奥图威尔</w:t>
      </w:r>
      <w:bookmarkStart w:id="225" w:name="_GoBack"/>
      <w:bookmarkEnd w:id="225"/>
      <w:r>
        <w:rPr>
          <w:rFonts w:hint="eastAsia" w:ascii="宋体" w:hAnsi="宋体"/>
          <w:sz w:val="24"/>
          <w:szCs w:val="24"/>
        </w:rPr>
        <w:t>科技有限公司</w:t>
      </w:r>
    </w:p>
    <w:p w14:paraId="34090995">
      <w:pPr>
        <w:widowControl/>
        <w:spacing w:line="400" w:lineRule="exact"/>
        <w:ind w:left="401" w:firstLine="1699" w:firstLineChars="708"/>
        <w:jc w:val="left"/>
        <w:rPr>
          <w:rFonts w:ascii="宋体" w:hAnsi="宋体"/>
          <w:sz w:val="24"/>
          <w:szCs w:val="24"/>
        </w:rPr>
      </w:pPr>
      <w:r>
        <w:rPr>
          <w:rFonts w:hint="eastAsia" w:ascii="宋体" w:hAnsi="宋体"/>
          <w:sz w:val="24"/>
          <w:szCs w:val="24"/>
        </w:rPr>
        <w:t>聚光科技（杭州）股份有限公司</w:t>
      </w:r>
    </w:p>
    <w:p w14:paraId="59C16EB2">
      <w:pPr>
        <w:widowControl/>
        <w:spacing w:line="400" w:lineRule="exact"/>
        <w:ind w:left="401" w:firstLine="1699" w:firstLineChars="708"/>
        <w:jc w:val="left"/>
        <w:rPr>
          <w:rFonts w:ascii="宋体" w:hAnsi="宋体"/>
          <w:sz w:val="24"/>
          <w:szCs w:val="24"/>
        </w:rPr>
      </w:pPr>
      <w:r>
        <w:rPr>
          <w:rFonts w:hint="eastAsia" w:ascii="宋体" w:hAnsi="宋体"/>
          <w:sz w:val="24"/>
          <w:szCs w:val="24"/>
        </w:rPr>
        <w:t>南京霍普斯科技有限公司</w:t>
      </w:r>
    </w:p>
    <w:p w14:paraId="5F305EE2">
      <w:pPr>
        <w:widowControl/>
        <w:spacing w:line="400" w:lineRule="exact"/>
        <w:ind w:left="401" w:firstLine="1699" w:firstLineChars="708"/>
        <w:jc w:val="left"/>
        <w:rPr>
          <w:rFonts w:hint="eastAsia" w:ascii="宋体" w:hAnsi="宋体"/>
          <w:sz w:val="24"/>
          <w:szCs w:val="24"/>
        </w:rPr>
      </w:pPr>
      <w:r>
        <w:rPr>
          <w:rFonts w:hint="eastAsia" w:ascii="宋体" w:hAnsi="宋体"/>
          <w:sz w:val="24"/>
          <w:szCs w:val="24"/>
        </w:rPr>
        <w:t>上海蓝科石化环保科技股份有限公司</w:t>
      </w:r>
    </w:p>
    <w:p w14:paraId="2E7608C5">
      <w:pPr>
        <w:widowControl/>
        <w:spacing w:line="400" w:lineRule="exact"/>
        <w:ind w:left="401" w:firstLine="1699" w:firstLineChars="708"/>
        <w:jc w:val="left"/>
        <w:rPr>
          <w:rFonts w:hint="eastAsia" w:ascii="宋体" w:hAnsi="宋体" w:eastAsiaTheme="minorEastAsia"/>
          <w:sz w:val="24"/>
          <w:szCs w:val="24"/>
          <w:lang w:eastAsia="zh-CN"/>
        </w:rPr>
      </w:pPr>
      <w:r>
        <w:rPr>
          <w:rFonts w:hint="eastAsia" w:ascii="宋体" w:hAnsi="宋体"/>
          <w:sz w:val="24"/>
          <w:szCs w:val="24"/>
          <w:lang w:eastAsia="zh-CN"/>
        </w:rPr>
        <w:t>杭州泽天春来科技股份有限公司</w:t>
      </w:r>
    </w:p>
    <w:p w14:paraId="5DB4FF22">
      <w:pPr>
        <w:widowControl/>
        <w:spacing w:line="400" w:lineRule="exact"/>
        <w:ind w:left="420" w:leftChars="200"/>
        <w:jc w:val="left"/>
        <w:rPr>
          <w:rFonts w:ascii="宋体" w:hAnsi="宋体"/>
          <w:sz w:val="24"/>
          <w:szCs w:val="24"/>
        </w:rPr>
      </w:pPr>
      <w:r>
        <w:rPr>
          <w:rFonts w:hint="eastAsia" w:ascii="宋体" w:hAnsi="宋体"/>
          <w:sz w:val="24"/>
          <w:szCs w:val="24"/>
        </w:rPr>
        <w:t>主要</w:t>
      </w:r>
      <w:r>
        <w:rPr>
          <w:rFonts w:ascii="宋体" w:hAnsi="宋体"/>
          <w:sz w:val="24"/>
          <w:szCs w:val="24"/>
        </w:rPr>
        <w:t>起草人：</w:t>
      </w:r>
      <w:r>
        <w:rPr>
          <w:rFonts w:ascii="宋体" w:hAnsi="宋体"/>
          <w:sz w:val="24"/>
          <w:szCs w:val="24"/>
        </w:rPr>
        <w:tab/>
      </w:r>
      <w:r>
        <w:rPr>
          <w:rFonts w:hint="eastAsia" w:ascii="宋体" w:hAnsi="宋体"/>
          <w:sz w:val="24"/>
          <w:szCs w:val="24"/>
        </w:rPr>
        <w:t>xx</w:t>
      </w:r>
      <w:r>
        <w:rPr>
          <w:rFonts w:ascii="宋体" w:hAnsi="宋体"/>
          <w:sz w:val="24"/>
          <w:szCs w:val="24"/>
        </w:rPr>
        <w:t xml:space="preserve">x </w:t>
      </w:r>
      <w:r>
        <w:rPr>
          <w:rFonts w:hint="eastAsia" w:ascii="宋体" w:hAnsi="宋体"/>
          <w:sz w:val="24"/>
          <w:szCs w:val="24"/>
        </w:rPr>
        <w:t>xxx</w:t>
      </w:r>
      <w:r>
        <w:rPr>
          <w:rFonts w:ascii="宋体" w:hAnsi="宋体"/>
          <w:sz w:val="24"/>
          <w:szCs w:val="24"/>
        </w:rPr>
        <w:t xml:space="preserve"> </w:t>
      </w:r>
      <w:r>
        <w:rPr>
          <w:rFonts w:hint="eastAsia" w:ascii="宋体" w:hAnsi="宋体"/>
          <w:sz w:val="24"/>
          <w:szCs w:val="24"/>
        </w:rPr>
        <w:t>xxx</w:t>
      </w:r>
      <w:r>
        <w:rPr>
          <w:rFonts w:ascii="宋体" w:hAnsi="宋体"/>
          <w:sz w:val="24"/>
          <w:szCs w:val="24"/>
        </w:rPr>
        <w:t xml:space="preserve"> </w:t>
      </w:r>
      <w:r>
        <w:rPr>
          <w:rFonts w:hint="eastAsia" w:ascii="宋体" w:hAnsi="宋体"/>
          <w:sz w:val="24"/>
          <w:szCs w:val="24"/>
        </w:rPr>
        <w:t>xxx</w:t>
      </w:r>
      <w:r>
        <w:rPr>
          <w:rFonts w:ascii="宋体" w:hAnsi="宋体"/>
          <w:sz w:val="24"/>
          <w:szCs w:val="24"/>
        </w:rPr>
        <w:t xml:space="preserve"> </w:t>
      </w:r>
      <w:r>
        <w:rPr>
          <w:rFonts w:hint="eastAsia" w:ascii="宋体" w:hAnsi="宋体"/>
          <w:sz w:val="24"/>
          <w:szCs w:val="24"/>
        </w:rPr>
        <w:t>xxx</w:t>
      </w:r>
    </w:p>
    <w:p w14:paraId="03AC9EEF">
      <w:pPr>
        <w:widowControl/>
        <w:spacing w:line="400" w:lineRule="exact"/>
        <w:ind w:left="420" w:leftChars="200"/>
        <w:jc w:val="left"/>
        <w:rPr>
          <w:rFonts w:ascii="宋体" w:hAnsi="宋体"/>
          <w:sz w:val="24"/>
          <w:szCs w:val="24"/>
        </w:rPr>
      </w:pPr>
      <w:r>
        <w:rPr>
          <w:rFonts w:hint="eastAsia" w:ascii="宋体" w:hAnsi="宋体"/>
          <w:sz w:val="24"/>
          <w:szCs w:val="24"/>
        </w:rPr>
        <w:t>主要</w:t>
      </w:r>
      <w:r>
        <w:rPr>
          <w:rFonts w:ascii="宋体" w:hAnsi="宋体"/>
          <w:sz w:val="24"/>
          <w:szCs w:val="24"/>
        </w:rPr>
        <w:t>审查人：</w:t>
      </w:r>
      <w:r>
        <w:rPr>
          <w:rFonts w:ascii="宋体" w:hAnsi="宋体"/>
          <w:sz w:val="24"/>
          <w:szCs w:val="24"/>
        </w:rPr>
        <w:tab/>
      </w:r>
      <w:r>
        <w:rPr>
          <w:rFonts w:ascii="宋体" w:hAnsi="宋体"/>
          <w:sz w:val="24"/>
          <w:szCs w:val="24"/>
        </w:rPr>
        <w:t>xxx xxx xxx xxx xxx</w:t>
      </w:r>
      <w:r>
        <w:rPr>
          <w:rFonts w:ascii="宋体" w:hAnsi="宋体"/>
          <w:sz w:val="24"/>
          <w:szCs w:val="24"/>
        </w:rPr>
        <w:tab/>
      </w:r>
    </w:p>
    <w:p w14:paraId="1059F9AA">
      <w:pPr>
        <w:widowControl/>
        <w:spacing w:line="360" w:lineRule="auto"/>
        <w:jc w:val="center"/>
        <w:rPr>
          <w:rFonts w:ascii="宋体" w:hAnsi="宋体"/>
          <w:sz w:val="24"/>
          <w:szCs w:val="24"/>
        </w:rPr>
      </w:pPr>
      <w:r>
        <w:rPr>
          <w:rFonts w:ascii="宋体" w:hAnsi="宋体"/>
          <w:sz w:val="28"/>
          <w:szCs w:val="28"/>
        </w:rPr>
        <w:br w:type="page"/>
      </w:r>
    </w:p>
    <w:p w14:paraId="66CBA321">
      <w:pPr>
        <w:widowControl/>
        <w:spacing w:line="360" w:lineRule="auto"/>
        <w:jc w:val="center"/>
        <w:rPr>
          <w:rFonts w:ascii="宋体" w:hAnsi="宋体"/>
          <w:b/>
          <w:sz w:val="30"/>
          <w:szCs w:val="30"/>
        </w:rPr>
      </w:pPr>
      <w:r>
        <w:rPr>
          <w:rFonts w:hint="eastAsia" w:ascii="宋体" w:hAnsi="宋体"/>
          <w:b/>
          <w:sz w:val="30"/>
          <w:szCs w:val="30"/>
        </w:rPr>
        <w:t>目  次</w:t>
      </w:r>
    </w:p>
    <w:sdt>
      <w:sdtPr>
        <w:rPr>
          <w:sz w:val="21"/>
          <w:szCs w:val="21"/>
          <w:lang w:val="zh-CN"/>
        </w:rPr>
        <w:id w:val="-2054216946"/>
        <w:docPartObj>
          <w:docPartGallery w:val="Table of Contents"/>
          <w:docPartUnique/>
        </w:docPartObj>
      </w:sdtPr>
      <w:sdtEndPr>
        <w:rPr>
          <w:b/>
          <w:bCs/>
          <w:sz w:val="21"/>
          <w:szCs w:val="21"/>
          <w:lang w:val="zh-CN"/>
        </w:rPr>
      </w:sdtEndPr>
      <w:sdtContent>
        <w:p w14:paraId="16B715E6">
          <w:pPr>
            <w:pStyle w:val="22"/>
            <w:rPr>
              <w:sz w:val="21"/>
              <w:szCs w:val="22"/>
            </w:rPr>
          </w:pPr>
          <w:r>
            <w:rPr>
              <w:b/>
              <w:bCs/>
              <w:lang w:val="zh-CN"/>
            </w:rPr>
            <w:fldChar w:fldCharType="begin"/>
          </w:r>
          <w:r>
            <w:rPr>
              <w:b/>
              <w:bCs/>
              <w:lang w:val="zh-CN"/>
            </w:rPr>
            <w:instrText xml:space="preserve"> TOC \o "1-3" \h \z \u </w:instrText>
          </w:r>
          <w:r>
            <w:rPr>
              <w:b/>
              <w:bCs/>
              <w:lang w:val="zh-CN"/>
            </w:rPr>
            <w:fldChar w:fldCharType="separate"/>
          </w:r>
          <w:r>
            <w:rPr>
              <w:sz w:val="21"/>
              <w:szCs w:val="21"/>
            </w:rPr>
            <w:fldChar w:fldCharType="begin"/>
          </w:r>
          <w:r>
            <w:rPr>
              <w:sz w:val="21"/>
              <w:szCs w:val="21"/>
            </w:rPr>
            <w:instrText xml:space="preserve"> HYPERLINK \l "_Toc206160046" </w:instrText>
          </w:r>
          <w:r>
            <w:rPr>
              <w:sz w:val="21"/>
              <w:szCs w:val="21"/>
            </w:rPr>
            <w:fldChar w:fldCharType="separate"/>
          </w:r>
          <w:r>
            <w:rPr>
              <w:rStyle w:val="35"/>
              <w:sz w:val="21"/>
              <w:szCs w:val="21"/>
            </w:rPr>
            <w:t>1</w:t>
          </w:r>
          <w:r>
            <w:rPr>
              <w:sz w:val="21"/>
              <w:szCs w:val="21"/>
            </w:rPr>
            <w:tab/>
          </w:r>
          <w:r>
            <w:rPr>
              <w:rStyle w:val="35"/>
              <w:sz w:val="21"/>
              <w:szCs w:val="21"/>
            </w:rPr>
            <w:t>总则</w:t>
          </w:r>
          <w:r>
            <w:rPr>
              <w:sz w:val="21"/>
              <w:szCs w:val="21"/>
            </w:rPr>
            <w:tab/>
          </w:r>
          <w:r>
            <w:rPr>
              <w:sz w:val="21"/>
              <w:szCs w:val="21"/>
            </w:rPr>
            <w:fldChar w:fldCharType="begin"/>
          </w:r>
          <w:r>
            <w:rPr>
              <w:sz w:val="21"/>
              <w:szCs w:val="21"/>
            </w:rPr>
            <w:instrText xml:space="preserve"> PAGEREF _Toc206160046 \h </w:instrText>
          </w:r>
          <w:r>
            <w:rPr>
              <w:sz w:val="21"/>
              <w:szCs w:val="21"/>
            </w:rPr>
            <w:fldChar w:fldCharType="separate"/>
          </w:r>
          <w:r>
            <w:rPr>
              <w:sz w:val="21"/>
              <w:szCs w:val="21"/>
            </w:rPr>
            <w:t>5</w:t>
          </w:r>
          <w:r>
            <w:rPr>
              <w:sz w:val="21"/>
              <w:szCs w:val="21"/>
            </w:rPr>
            <w:fldChar w:fldCharType="end"/>
          </w:r>
          <w:r>
            <w:rPr>
              <w:sz w:val="21"/>
              <w:szCs w:val="21"/>
            </w:rPr>
            <w:fldChar w:fldCharType="end"/>
          </w:r>
        </w:p>
        <w:p w14:paraId="08CFC55E">
          <w:pPr>
            <w:pStyle w:val="22"/>
            <w:rPr>
              <w:sz w:val="21"/>
              <w:szCs w:val="22"/>
            </w:rPr>
          </w:pPr>
          <w:r>
            <w:fldChar w:fldCharType="begin"/>
          </w:r>
          <w:r>
            <w:instrText xml:space="preserve"> HYPERLINK \l "_Toc206160047" </w:instrText>
          </w:r>
          <w:r>
            <w:fldChar w:fldCharType="separate"/>
          </w:r>
          <w:r>
            <w:rPr>
              <w:rStyle w:val="35"/>
              <w:rFonts w:hAnsi="宋体"/>
              <w:sz w:val="21"/>
              <w:szCs w:val="21"/>
            </w:rPr>
            <w:t>2</w:t>
          </w:r>
          <w:r>
            <w:rPr>
              <w:sz w:val="21"/>
              <w:szCs w:val="21"/>
            </w:rPr>
            <w:tab/>
          </w:r>
          <w:r>
            <w:rPr>
              <w:rStyle w:val="35"/>
              <w:rFonts w:hAnsi="宋体"/>
              <w:sz w:val="21"/>
              <w:szCs w:val="21"/>
            </w:rPr>
            <w:t>术语和缩略语</w:t>
          </w:r>
          <w:r>
            <w:tab/>
          </w:r>
          <w:r>
            <w:rPr>
              <w:sz w:val="21"/>
              <w:szCs w:val="21"/>
            </w:rPr>
            <w:fldChar w:fldCharType="begin"/>
          </w:r>
          <w:r>
            <w:rPr>
              <w:sz w:val="21"/>
              <w:szCs w:val="21"/>
            </w:rPr>
            <w:instrText xml:space="preserve"> PAGEREF _Toc206160047 \h </w:instrText>
          </w:r>
          <w:r>
            <w:rPr>
              <w:sz w:val="21"/>
              <w:szCs w:val="21"/>
            </w:rPr>
            <w:fldChar w:fldCharType="separate"/>
          </w:r>
          <w:r>
            <w:rPr>
              <w:sz w:val="21"/>
              <w:szCs w:val="21"/>
            </w:rPr>
            <w:t>6</w:t>
          </w:r>
          <w:r>
            <w:rPr>
              <w:sz w:val="21"/>
              <w:szCs w:val="21"/>
            </w:rPr>
            <w:fldChar w:fldCharType="end"/>
          </w:r>
          <w:r>
            <w:fldChar w:fldCharType="end"/>
          </w:r>
        </w:p>
        <w:p w14:paraId="25D34C17">
          <w:pPr>
            <w:pStyle w:val="25"/>
            <w:rPr>
              <w:szCs w:val="22"/>
            </w:rPr>
          </w:pPr>
          <w:r>
            <w:fldChar w:fldCharType="begin"/>
          </w:r>
          <w:r>
            <w:instrText xml:space="preserve"> HYPERLINK \l "_Toc206160048" </w:instrText>
          </w:r>
          <w:r>
            <w:fldChar w:fldCharType="separate"/>
          </w:r>
          <w:r>
            <w:rPr>
              <w:rStyle w:val="35"/>
            </w:rPr>
            <w:t>2.1</w:t>
          </w:r>
          <w:r>
            <w:rPr>
              <w:szCs w:val="22"/>
            </w:rPr>
            <w:tab/>
          </w:r>
          <w:r>
            <w:rPr>
              <w:rStyle w:val="35"/>
            </w:rPr>
            <w:t>术语</w:t>
          </w:r>
          <w:r>
            <w:tab/>
          </w:r>
          <w:r>
            <w:fldChar w:fldCharType="begin"/>
          </w:r>
          <w:r>
            <w:instrText xml:space="preserve"> PAGEREF _Toc206160048 \h </w:instrText>
          </w:r>
          <w:r>
            <w:fldChar w:fldCharType="separate"/>
          </w:r>
          <w:r>
            <w:t>6</w:t>
          </w:r>
          <w:r>
            <w:fldChar w:fldCharType="end"/>
          </w:r>
          <w:r>
            <w:fldChar w:fldCharType="end"/>
          </w:r>
        </w:p>
        <w:p w14:paraId="361AD6E3">
          <w:pPr>
            <w:pStyle w:val="25"/>
            <w:rPr>
              <w:szCs w:val="22"/>
            </w:rPr>
          </w:pPr>
          <w:r>
            <w:fldChar w:fldCharType="begin"/>
          </w:r>
          <w:r>
            <w:instrText xml:space="preserve"> HYPERLINK \l "_Toc206160049" </w:instrText>
          </w:r>
          <w:r>
            <w:fldChar w:fldCharType="separate"/>
          </w:r>
          <w:r>
            <w:rPr>
              <w:rStyle w:val="35"/>
            </w:rPr>
            <w:t>2.2</w:t>
          </w:r>
          <w:r>
            <w:rPr>
              <w:szCs w:val="22"/>
            </w:rPr>
            <w:tab/>
          </w:r>
          <w:r>
            <w:rPr>
              <w:rStyle w:val="35"/>
            </w:rPr>
            <w:t>缩略语</w:t>
          </w:r>
          <w:r>
            <w:tab/>
          </w:r>
          <w:r>
            <w:fldChar w:fldCharType="begin"/>
          </w:r>
          <w:r>
            <w:instrText xml:space="preserve"> PAGEREF _Toc206160049 \h </w:instrText>
          </w:r>
          <w:r>
            <w:fldChar w:fldCharType="separate"/>
          </w:r>
          <w:r>
            <w:t>6</w:t>
          </w:r>
          <w:r>
            <w:fldChar w:fldCharType="end"/>
          </w:r>
          <w:r>
            <w:fldChar w:fldCharType="end"/>
          </w:r>
        </w:p>
        <w:p w14:paraId="3EB295B6">
          <w:pPr>
            <w:pStyle w:val="22"/>
            <w:rPr>
              <w:sz w:val="21"/>
              <w:szCs w:val="22"/>
            </w:rPr>
          </w:pPr>
          <w:r>
            <w:fldChar w:fldCharType="begin"/>
          </w:r>
          <w:r>
            <w:instrText xml:space="preserve"> HYPERLINK \l "_Toc206160050" </w:instrText>
          </w:r>
          <w:r>
            <w:fldChar w:fldCharType="separate"/>
          </w:r>
          <w:r>
            <w:rPr>
              <w:rStyle w:val="35"/>
              <w:rFonts w:hAnsi="宋体"/>
              <w:sz w:val="21"/>
              <w:szCs w:val="21"/>
            </w:rPr>
            <w:t>3</w:t>
          </w:r>
          <w:r>
            <w:rPr>
              <w:sz w:val="21"/>
              <w:szCs w:val="21"/>
            </w:rPr>
            <w:tab/>
          </w:r>
          <w:r>
            <w:rPr>
              <w:rStyle w:val="35"/>
              <w:rFonts w:hAnsi="宋体"/>
              <w:sz w:val="21"/>
              <w:szCs w:val="21"/>
            </w:rPr>
            <w:t>基本规定</w:t>
          </w:r>
          <w:r>
            <w:tab/>
          </w:r>
          <w:r>
            <w:rPr>
              <w:sz w:val="21"/>
              <w:szCs w:val="21"/>
            </w:rPr>
            <w:fldChar w:fldCharType="begin"/>
          </w:r>
          <w:r>
            <w:rPr>
              <w:sz w:val="21"/>
              <w:szCs w:val="21"/>
            </w:rPr>
            <w:instrText xml:space="preserve"> PAGEREF _Toc206160050 \h </w:instrText>
          </w:r>
          <w:r>
            <w:rPr>
              <w:sz w:val="21"/>
              <w:szCs w:val="21"/>
            </w:rPr>
            <w:fldChar w:fldCharType="separate"/>
          </w:r>
          <w:r>
            <w:rPr>
              <w:sz w:val="21"/>
              <w:szCs w:val="21"/>
            </w:rPr>
            <w:t>7</w:t>
          </w:r>
          <w:r>
            <w:rPr>
              <w:sz w:val="21"/>
              <w:szCs w:val="21"/>
            </w:rPr>
            <w:fldChar w:fldCharType="end"/>
          </w:r>
          <w:r>
            <w:fldChar w:fldCharType="end"/>
          </w:r>
        </w:p>
        <w:p w14:paraId="64263963">
          <w:pPr>
            <w:pStyle w:val="22"/>
            <w:rPr>
              <w:sz w:val="21"/>
              <w:szCs w:val="22"/>
            </w:rPr>
          </w:pPr>
          <w:r>
            <w:fldChar w:fldCharType="begin"/>
          </w:r>
          <w:r>
            <w:instrText xml:space="preserve"> HYPERLINK \l "_Toc206160051" </w:instrText>
          </w:r>
          <w:r>
            <w:fldChar w:fldCharType="separate"/>
          </w:r>
          <w:r>
            <w:rPr>
              <w:rStyle w:val="35"/>
              <w:rFonts w:hAnsi="宋体"/>
              <w:sz w:val="21"/>
              <w:szCs w:val="21"/>
            </w:rPr>
            <w:t>4</w:t>
          </w:r>
          <w:r>
            <w:rPr>
              <w:sz w:val="21"/>
              <w:szCs w:val="21"/>
            </w:rPr>
            <w:tab/>
          </w:r>
          <w:r>
            <w:rPr>
              <w:rStyle w:val="35"/>
              <w:rFonts w:hAnsi="宋体"/>
              <w:sz w:val="21"/>
              <w:szCs w:val="21"/>
            </w:rPr>
            <w:t>测控要求</w:t>
          </w:r>
          <w:r>
            <w:tab/>
          </w:r>
          <w:r>
            <w:rPr>
              <w:sz w:val="21"/>
              <w:szCs w:val="21"/>
            </w:rPr>
            <w:fldChar w:fldCharType="begin"/>
          </w:r>
          <w:r>
            <w:rPr>
              <w:sz w:val="21"/>
              <w:szCs w:val="21"/>
            </w:rPr>
            <w:instrText xml:space="preserve"> PAGEREF _Toc206160051 \h </w:instrText>
          </w:r>
          <w:r>
            <w:rPr>
              <w:sz w:val="21"/>
              <w:szCs w:val="21"/>
            </w:rPr>
            <w:fldChar w:fldCharType="separate"/>
          </w:r>
          <w:r>
            <w:rPr>
              <w:sz w:val="21"/>
              <w:szCs w:val="21"/>
            </w:rPr>
            <w:t>8</w:t>
          </w:r>
          <w:r>
            <w:rPr>
              <w:sz w:val="21"/>
              <w:szCs w:val="21"/>
            </w:rPr>
            <w:fldChar w:fldCharType="end"/>
          </w:r>
          <w:r>
            <w:fldChar w:fldCharType="end"/>
          </w:r>
        </w:p>
        <w:p w14:paraId="297475BD">
          <w:pPr>
            <w:pStyle w:val="25"/>
            <w:rPr>
              <w:szCs w:val="22"/>
            </w:rPr>
          </w:pPr>
          <w:r>
            <w:fldChar w:fldCharType="begin"/>
          </w:r>
          <w:r>
            <w:instrText xml:space="preserve"> HYPERLINK \l "_Toc206160052" </w:instrText>
          </w:r>
          <w:r>
            <w:fldChar w:fldCharType="separate"/>
          </w:r>
          <w:r>
            <w:rPr>
              <w:rStyle w:val="35"/>
            </w:rPr>
            <w:t>4.1</w:t>
          </w:r>
          <w:r>
            <w:rPr>
              <w:szCs w:val="22"/>
            </w:rPr>
            <w:tab/>
          </w:r>
          <w:r>
            <w:rPr>
              <w:rStyle w:val="35"/>
            </w:rPr>
            <w:t>VOCs冷凝法回收装置测控要求</w:t>
          </w:r>
          <w:r>
            <w:tab/>
          </w:r>
          <w:r>
            <w:fldChar w:fldCharType="begin"/>
          </w:r>
          <w:r>
            <w:instrText xml:space="preserve"> PAGEREF _Toc206160052 \h </w:instrText>
          </w:r>
          <w:r>
            <w:fldChar w:fldCharType="separate"/>
          </w:r>
          <w:r>
            <w:t>8</w:t>
          </w:r>
          <w:r>
            <w:fldChar w:fldCharType="end"/>
          </w:r>
          <w:r>
            <w:fldChar w:fldCharType="end"/>
          </w:r>
        </w:p>
        <w:p w14:paraId="73D5A747">
          <w:pPr>
            <w:pStyle w:val="25"/>
            <w:rPr>
              <w:szCs w:val="22"/>
            </w:rPr>
          </w:pPr>
          <w:r>
            <w:fldChar w:fldCharType="begin"/>
          </w:r>
          <w:r>
            <w:instrText xml:space="preserve"> HYPERLINK \l "_Toc206160053" </w:instrText>
          </w:r>
          <w:r>
            <w:fldChar w:fldCharType="separate"/>
          </w:r>
          <w:r>
            <w:rPr>
              <w:rStyle w:val="35"/>
            </w:rPr>
            <w:t>4.2</w:t>
          </w:r>
          <w:r>
            <w:rPr>
              <w:szCs w:val="22"/>
            </w:rPr>
            <w:tab/>
          </w:r>
          <w:r>
            <w:rPr>
              <w:rStyle w:val="35"/>
            </w:rPr>
            <w:t>VOCs冷凝+吸附法回收装置测控要求</w:t>
          </w:r>
          <w:r>
            <w:tab/>
          </w:r>
          <w:r>
            <w:fldChar w:fldCharType="begin"/>
          </w:r>
          <w:r>
            <w:instrText xml:space="preserve"> PAGEREF _Toc206160053 \h </w:instrText>
          </w:r>
          <w:r>
            <w:fldChar w:fldCharType="separate"/>
          </w:r>
          <w:r>
            <w:t>8</w:t>
          </w:r>
          <w:r>
            <w:fldChar w:fldCharType="end"/>
          </w:r>
          <w:r>
            <w:fldChar w:fldCharType="end"/>
          </w:r>
        </w:p>
        <w:p w14:paraId="667F43E7">
          <w:pPr>
            <w:pStyle w:val="25"/>
            <w:rPr>
              <w:szCs w:val="22"/>
            </w:rPr>
          </w:pPr>
          <w:r>
            <w:fldChar w:fldCharType="begin"/>
          </w:r>
          <w:r>
            <w:instrText xml:space="preserve"> HYPERLINK \l "_Toc206160054" </w:instrText>
          </w:r>
          <w:r>
            <w:fldChar w:fldCharType="separate"/>
          </w:r>
          <w:r>
            <w:rPr>
              <w:rStyle w:val="35"/>
            </w:rPr>
            <w:t>4.3</w:t>
          </w:r>
          <w:r>
            <w:rPr>
              <w:szCs w:val="22"/>
            </w:rPr>
            <w:tab/>
          </w:r>
          <w:r>
            <w:rPr>
              <w:rStyle w:val="35"/>
            </w:rPr>
            <w:t>VOCs冷凝+吸收法回收装置测控要求</w:t>
          </w:r>
          <w:r>
            <w:tab/>
          </w:r>
          <w:r>
            <w:fldChar w:fldCharType="begin"/>
          </w:r>
          <w:r>
            <w:instrText xml:space="preserve"> PAGEREF _Toc206160054 \h </w:instrText>
          </w:r>
          <w:r>
            <w:fldChar w:fldCharType="separate"/>
          </w:r>
          <w:r>
            <w:t>8</w:t>
          </w:r>
          <w:r>
            <w:fldChar w:fldCharType="end"/>
          </w:r>
          <w:r>
            <w:fldChar w:fldCharType="end"/>
          </w:r>
        </w:p>
        <w:p w14:paraId="3B5CF186">
          <w:pPr>
            <w:pStyle w:val="25"/>
            <w:rPr>
              <w:szCs w:val="22"/>
            </w:rPr>
          </w:pPr>
          <w:r>
            <w:fldChar w:fldCharType="begin"/>
          </w:r>
          <w:r>
            <w:instrText xml:space="preserve"> HYPERLINK \l "_Toc206160055" </w:instrText>
          </w:r>
          <w:r>
            <w:fldChar w:fldCharType="separate"/>
          </w:r>
          <w:r>
            <w:rPr>
              <w:rStyle w:val="35"/>
            </w:rPr>
            <w:t>4.4</w:t>
          </w:r>
          <w:r>
            <w:rPr>
              <w:szCs w:val="22"/>
            </w:rPr>
            <w:tab/>
          </w:r>
          <w:r>
            <w:rPr>
              <w:rStyle w:val="35"/>
            </w:rPr>
            <w:t>VOCs冷凝+膜分离法回收装置测控要求</w:t>
          </w:r>
          <w:r>
            <w:tab/>
          </w:r>
          <w:r>
            <w:fldChar w:fldCharType="begin"/>
          </w:r>
          <w:r>
            <w:instrText xml:space="preserve"> PAGEREF _Toc206160055 \h </w:instrText>
          </w:r>
          <w:r>
            <w:fldChar w:fldCharType="separate"/>
          </w:r>
          <w:r>
            <w:t>8</w:t>
          </w:r>
          <w:r>
            <w:fldChar w:fldCharType="end"/>
          </w:r>
          <w:r>
            <w:fldChar w:fldCharType="end"/>
          </w:r>
        </w:p>
        <w:p w14:paraId="77AA7E23">
          <w:pPr>
            <w:pStyle w:val="22"/>
            <w:rPr>
              <w:sz w:val="21"/>
              <w:szCs w:val="22"/>
            </w:rPr>
          </w:pPr>
          <w:r>
            <w:fldChar w:fldCharType="begin"/>
          </w:r>
          <w:r>
            <w:instrText xml:space="preserve"> HYPERLINK \l "_Toc206160056" </w:instrText>
          </w:r>
          <w:r>
            <w:fldChar w:fldCharType="separate"/>
          </w:r>
          <w:r>
            <w:rPr>
              <w:rStyle w:val="35"/>
              <w:rFonts w:hAnsi="宋体"/>
              <w:sz w:val="21"/>
              <w:szCs w:val="21"/>
            </w:rPr>
            <w:t>5</w:t>
          </w:r>
          <w:r>
            <w:rPr>
              <w:sz w:val="21"/>
              <w:szCs w:val="21"/>
            </w:rPr>
            <w:tab/>
          </w:r>
          <w:r>
            <w:rPr>
              <w:rStyle w:val="35"/>
              <w:rFonts w:hAnsi="宋体"/>
              <w:sz w:val="21"/>
              <w:szCs w:val="21"/>
            </w:rPr>
            <w:t>控制系统</w:t>
          </w:r>
          <w:r>
            <w:tab/>
          </w:r>
          <w:r>
            <w:rPr>
              <w:sz w:val="21"/>
              <w:szCs w:val="21"/>
            </w:rPr>
            <w:fldChar w:fldCharType="begin"/>
          </w:r>
          <w:r>
            <w:rPr>
              <w:sz w:val="21"/>
              <w:szCs w:val="21"/>
            </w:rPr>
            <w:instrText xml:space="preserve"> PAGEREF _Toc206160056 \h </w:instrText>
          </w:r>
          <w:r>
            <w:rPr>
              <w:sz w:val="21"/>
              <w:szCs w:val="21"/>
            </w:rPr>
            <w:fldChar w:fldCharType="separate"/>
          </w:r>
          <w:r>
            <w:rPr>
              <w:sz w:val="21"/>
              <w:szCs w:val="21"/>
            </w:rPr>
            <w:t>10</w:t>
          </w:r>
          <w:r>
            <w:rPr>
              <w:sz w:val="21"/>
              <w:szCs w:val="21"/>
            </w:rPr>
            <w:fldChar w:fldCharType="end"/>
          </w:r>
          <w:r>
            <w:fldChar w:fldCharType="end"/>
          </w:r>
        </w:p>
        <w:p w14:paraId="62B60A76">
          <w:pPr>
            <w:pStyle w:val="25"/>
            <w:rPr>
              <w:szCs w:val="22"/>
            </w:rPr>
          </w:pPr>
          <w:r>
            <w:fldChar w:fldCharType="begin"/>
          </w:r>
          <w:r>
            <w:instrText xml:space="preserve"> HYPERLINK \l "_Toc206160057" </w:instrText>
          </w:r>
          <w:r>
            <w:fldChar w:fldCharType="separate"/>
          </w:r>
          <w:r>
            <w:rPr>
              <w:rStyle w:val="35"/>
            </w:rPr>
            <w:t>5.1</w:t>
          </w:r>
          <w:r>
            <w:rPr>
              <w:szCs w:val="22"/>
            </w:rPr>
            <w:tab/>
          </w:r>
          <w:r>
            <w:rPr>
              <w:rStyle w:val="35"/>
            </w:rPr>
            <w:t>基本过程控制系统（BPCS）</w:t>
          </w:r>
          <w:r>
            <w:tab/>
          </w:r>
          <w:r>
            <w:fldChar w:fldCharType="begin"/>
          </w:r>
          <w:r>
            <w:instrText xml:space="preserve"> PAGEREF _Toc206160057 \h </w:instrText>
          </w:r>
          <w:r>
            <w:fldChar w:fldCharType="separate"/>
          </w:r>
          <w:r>
            <w:t>10</w:t>
          </w:r>
          <w:r>
            <w:fldChar w:fldCharType="end"/>
          </w:r>
          <w:r>
            <w:fldChar w:fldCharType="end"/>
          </w:r>
        </w:p>
        <w:p w14:paraId="7CBC338B">
          <w:pPr>
            <w:pStyle w:val="25"/>
            <w:rPr>
              <w:szCs w:val="22"/>
            </w:rPr>
          </w:pPr>
          <w:r>
            <w:fldChar w:fldCharType="begin"/>
          </w:r>
          <w:r>
            <w:instrText xml:space="preserve"> HYPERLINK \l "_Toc206160058" </w:instrText>
          </w:r>
          <w:r>
            <w:fldChar w:fldCharType="separate"/>
          </w:r>
          <w:r>
            <w:rPr>
              <w:rStyle w:val="35"/>
            </w:rPr>
            <w:t>5.2</w:t>
          </w:r>
          <w:r>
            <w:rPr>
              <w:szCs w:val="22"/>
            </w:rPr>
            <w:tab/>
          </w:r>
          <w:r>
            <w:rPr>
              <w:rStyle w:val="35"/>
            </w:rPr>
            <w:t>气体检测报警系统（GDS）</w:t>
          </w:r>
          <w:r>
            <w:tab/>
          </w:r>
          <w:r>
            <w:fldChar w:fldCharType="begin"/>
          </w:r>
          <w:r>
            <w:instrText xml:space="preserve"> PAGEREF _Toc206160058 \h </w:instrText>
          </w:r>
          <w:r>
            <w:fldChar w:fldCharType="separate"/>
          </w:r>
          <w:r>
            <w:t>10</w:t>
          </w:r>
          <w:r>
            <w:fldChar w:fldCharType="end"/>
          </w:r>
          <w:r>
            <w:fldChar w:fldCharType="end"/>
          </w:r>
        </w:p>
        <w:p w14:paraId="5B12642A">
          <w:pPr>
            <w:pStyle w:val="22"/>
            <w:rPr>
              <w:sz w:val="21"/>
              <w:szCs w:val="22"/>
            </w:rPr>
          </w:pPr>
          <w:r>
            <w:fldChar w:fldCharType="begin"/>
          </w:r>
          <w:r>
            <w:instrText xml:space="preserve"> HYPERLINK \l "_Toc206160059" </w:instrText>
          </w:r>
          <w:r>
            <w:fldChar w:fldCharType="separate"/>
          </w:r>
          <w:r>
            <w:rPr>
              <w:rStyle w:val="35"/>
              <w:rFonts w:hAnsi="宋体"/>
              <w:sz w:val="21"/>
              <w:szCs w:val="21"/>
            </w:rPr>
            <w:t>6</w:t>
          </w:r>
          <w:r>
            <w:rPr>
              <w:sz w:val="21"/>
              <w:szCs w:val="21"/>
            </w:rPr>
            <w:tab/>
          </w:r>
          <w:r>
            <w:rPr>
              <w:rStyle w:val="35"/>
              <w:rFonts w:hAnsi="宋体"/>
              <w:sz w:val="21"/>
              <w:szCs w:val="21"/>
            </w:rPr>
            <w:t>检测仪表</w:t>
          </w:r>
          <w:r>
            <w:tab/>
          </w:r>
          <w:r>
            <w:rPr>
              <w:sz w:val="21"/>
              <w:szCs w:val="21"/>
            </w:rPr>
            <w:fldChar w:fldCharType="begin"/>
          </w:r>
          <w:r>
            <w:rPr>
              <w:sz w:val="21"/>
              <w:szCs w:val="21"/>
            </w:rPr>
            <w:instrText xml:space="preserve"> PAGEREF _Toc206160059 \h </w:instrText>
          </w:r>
          <w:r>
            <w:rPr>
              <w:sz w:val="21"/>
              <w:szCs w:val="21"/>
            </w:rPr>
            <w:fldChar w:fldCharType="separate"/>
          </w:r>
          <w:r>
            <w:rPr>
              <w:sz w:val="21"/>
              <w:szCs w:val="21"/>
            </w:rPr>
            <w:t>11</w:t>
          </w:r>
          <w:r>
            <w:rPr>
              <w:sz w:val="21"/>
              <w:szCs w:val="21"/>
            </w:rPr>
            <w:fldChar w:fldCharType="end"/>
          </w:r>
          <w:r>
            <w:fldChar w:fldCharType="end"/>
          </w:r>
        </w:p>
        <w:p w14:paraId="6B998515">
          <w:pPr>
            <w:pStyle w:val="25"/>
            <w:rPr>
              <w:szCs w:val="22"/>
            </w:rPr>
          </w:pPr>
          <w:r>
            <w:fldChar w:fldCharType="begin"/>
          </w:r>
          <w:r>
            <w:instrText xml:space="preserve"> HYPERLINK \l "_Toc206160060" </w:instrText>
          </w:r>
          <w:r>
            <w:fldChar w:fldCharType="separate"/>
          </w:r>
          <w:r>
            <w:rPr>
              <w:rStyle w:val="35"/>
            </w:rPr>
            <w:t>6.1</w:t>
          </w:r>
          <w:r>
            <w:rPr>
              <w:szCs w:val="22"/>
            </w:rPr>
            <w:tab/>
          </w:r>
          <w:r>
            <w:rPr>
              <w:rStyle w:val="35"/>
            </w:rPr>
            <w:t>一般规定</w:t>
          </w:r>
          <w:r>
            <w:tab/>
          </w:r>
          <w:r>
            <w:fldChar w:fldCharType="begin"/>
          </w:r>
          <w:r>
            <w:instrText xml:space="preserve"> PAGEREF _Toc206160060 \h </w:instrText>
          </w:r>
          <w:r>
            <w:fldChar w:fldCharType="separate"/>
          </w:r>
          <w:r>
            <w:t>11</w:t>
          </w:r>
          <w:r>
            <w:fldChar w:fldCharType="end"/>
          </w:r>
          <w:r>
            <w:fldChar w:fldCharType="end"/>
          </w:r>
        </w:p>
        <w:p w14:paraId="7B93710F">
          <w:pPr>
            <w:pStyle w:val="25"/>
            <w:rPr>
              <w:szCs w:val="22"/>
            </w:rPr>
          </w:pPr>
          <w:r>
            <w:fldChar w:fldCharType="begin"/>
          </w:r>
          <w:r>
            <w:instrText xml:space="preserve"> HYPERLINK \l "_Toc206160061" </w:instrText>
          </w:r>
          <w:r>
            <w:fldChar w:fldCharType="separate"/>
          </w:r>
          <w:r>
            <w:rPr>
              <w:rStyle w:val="35"/>
            </w:rPr>
            <w:t>6.2</w:t>
          </w:r>
          <w:r>
            <w:rPr>
              <w:szCs w:val="22"/>
            </w:rPr>
            <w:tab/>
          </w:r>
          <w:r>
            <w:rPr>
              <w:rStyle w:val="35"/>
            </w:rPr>
            <w:t>温度仪表</w:t>
          </w:r>
          <w:r>
            <w:tab/>
          </w:r>
          <w:r>
            <w:fldChar w:fldCharType="begin"/>
          </w:r>
          <w:r>
            <w:instrText xml:space="preserve"> PAGEREF _Toc206160061 \h </w:instrText>
          </w:r>
          <w:r>
            <w:fldChar w:fldCharType="separate"/>
          </w:r>
          <w:r>
            <w:t>11</w:t>
          </w:r>
          <w:r>
            <w:fldChar w:fldCharType="end"/>
          </w:r>
          <w:r>
            <w:fldChar w:fldCharType="end"/>
          </w:r>
        </w:p>
        <w:p w14:paraId="62654528">
          <w:pPr>
            <w:pStyle w:val="25"/>
            <w:rPr>
              <w:szCs w:val="22"/>
            </w:rPr>
          </w:pPr>
          <w:r>
            <w:fldChar w:fldCharType="begin"/>
          </w:r>
          <w:r>
            <w:instrText xml:space="preserve"> HYPERLINK \l "_Toc206160062" </w:instrText>
          </w:r>
          <w:r>
            <w:fldChar w:fldCharType="separate"/>
          </w:r>
          <w:r>
            <w:rPr>
              <w:rStyle w:val="35"/>
            </w:rPr>
            <w:t>6.3</w:t>
          </w:r>
          <w:r>
            <w:rPr>
              <w:szCs w:val="22"/>
            </w:rPr>
            <w:tab/>
          </w:r>
          <w:r>
            <w:rPr>
              <w:rStyle w:val="35"/>
            </w:rPr>
            <w:t>压力仪表</w:t>
          </w:r>
          <w:r>
            <w:tab/>
          </w:r>
          <w:r>
            <w:fldChar w:fldCharType="begin"/>
          </w:r>
          <w:r>
            <w:instrText xml:space="preserve"> PAGEREF _Toc206160062 \h </w:instrText>
          </w:r>
          <w:r>
            <w:fldChar w:fldCharType="separate"/>
          </w:r>
          <w:r>
            <w:t>11</w:t>
          </w:r>
          <w:r>
            <w:fldChar w:fldCharType="end"/>
          </w:r>
          <w:r>
            <w:fldChar w:fldCharType="end"/>
          </w:r>
        </w:p>
        <w:p w14:paraId="621B0158">
          <w:pPr>
            <w:pStyle w:val="25"/>
            <w:rPr>
              <w:szCs w:val="22"/>
            </w:rPr>
          </w:pPr>
          <w:r>
            <w:fldChar w:fldCharType="begin"/>
          </w:r>
          <w:r>
            <w:instrText xml:space="preserve"> HYPERLINK \l "_Toc206160063" </w:instrText>
          </w:r>
          <w:r>
            <w:fldChar w:fldCharType="separate"/>
          </w:r>
          <w:r>
            <w:rPr>
              <w:rStyle w:val="35"/>
            </w:rPr>
            <w:t>6.4</w:t>
          </w:r>
          <w:r>
            <w:rPr>
              <w:szCs w:val="22"/>
            </w:rPr>
            <w:tab/>
          </w:r>
          <w:r>
            <w:rPr>
              <w:rStyle w:val="35"/>
            </w:rPr>
            <w:t>流量仪表</w:t>
          </w:r>
          <w:r>
            <w:tab/>
          </w:r>
          <w:r>
            <w:fldChar w:fldCharType="begin"/>
          </w:r>
          <w:r>
            <w:instrText xml:space="preserve"> PAGEREF _Toc206160063 \h </w:instrText>
          </w:r>
          <w:r>
            <w:fldChar w:fldCharType="separate"/>
          </w:r>
          <w:r>
            <w:t>11</w:t>
          </w:r>
          <w:r>
            <w:fldChar w:fldCharType="end"/>
          </w:r>
          <w:r>
            <w:fldChar w:fldCharType="end"/>
          </w:r>
        </w:p>
        <w:p w14:paraId="410F89CD">
          <w:pPr>
            <w:pStyle w:val="25"/>
            <w:rPr>
              <w:szCs w:val="22"/>
            </w:rPr>
          </w:pPr>
          <w:r>
            <w:fldChar w:fldCharType="begin"/>
          </w:r>
          <w:r>
            <w:instrText xml:space="preserve"> HYPERLINK \l "_Toc206160064" </w:instrText>
          </w:r>
          <w:r>
            <w:fldChar w:fldCharType="separate"/>
          </w:r>
          <w:r>
            <w:rPr>
              <w:rStyle w:val="35"/>
            </w:rPr>
            <w:t>6.5</w:t>
          </w:r>
          <w:r>
            <w:rPr>
              <w:szCs w:val="22"/>
            </w:rPr>
            <w:tab/>
          </w:r>
          <w:r>
            <w:rPr>
              <w:rStyle w:val="35"/>
            </w:rPr>
            <w:t>液位仪表</w:t>
          </w:r>
          <w:r>
            <w:tab/>
          </w:r>
          <w:r>
            <w:fldChar w:fldCharType="begin"/>
          </w:r>
          <w:r>
            <w:instrText xml:space="preserve"> PAGEREF _Toc206160064 \h </w:instrText>
          </w:r>
          <w:r>
            <w:fldChar w:fldCharType="separate"/>
          </w:r>
          <w:r>
            <w:t>12</w:t>
          </w:r>
          <w:r>
            <w:fldChar w:fldCharType="end"/>
          </w:r>
          <w:r>
            <w:fldChar w:fldCharType="end"/>
          </w:r>
        </w:p>
        <w:p w14:paraId="0C26487B">
          <w:pPr>
            <w:pStyle w:val="25"/>
            <w:rPr>
              <w:szCs w:val="22"/>
            </w:rPr>
          </w:pPr>
          <w:r>
            <w:fldChar w:fldCharType="begin"/>
          </w:r>
          <w:r>
            <w:instrText xml:space="preserve"> HYPERLINK \l "_Toc206160065" </w:instrText>
          </w:r>
          <w:r>
            <w:fldChar w:fldCharType="separate"/>
          </w:r>
          <w:r>
            <w:rPr>
              <w:rStyle w:val="35"/>
            </w:rPr>
            <w:t>6.6</w:t>
          </w:r>
          <w:r>
            <w:rPr>
              <w:szCs w:val="22"/>
            </w:rPr>
            <w:tab/>
          </w:r>
          <w:r>
            <w:rPr>
              <w:rStyle w:val="35"/>
            </w:rPr>
            <w:t>分析仪表</w:t>
          </w:r>
          <w:r>
            <w:tab/>
          </w:r>
          <w:r>
            <w:fldChar w:fldCharType="begin"/>
          </w:r>
          <w:r>
            <w:instrText xml:space="preserve"> PAGEREF _Toc206160065 \h </w:instrText>
          </w:r>
          <w:r>
            <w:fldChar w:fldCharType="separate"/>
          </w:r>
          <w:r>
            <w:t>12</w:t>
          </w:r>
          <w:r>
            <w:fldChar w:fldCharType="end"/>
          </w:r>
          <w:r>
            <w:fldChar w:fldCharType="end"/>
          </w:r>
        </w:p>
        <w:p w14:paraId="33B74358">
          <w:pPr>
            <w:pStyle w:val="25"/>
            <w:rPr>
              <w:szCs w:val="22"/>
            </w:rPr>
          </w:pPr>
          <w:r>
            <w:fldChar w:fldCharType="begin"/>
          </w:r>
          <w:r>
            <w:instrText xml:space="preserve"> HYPERLINK \l "_Toc206160066" </w:instrText>
          </w:r>
          <w:r>
            <w:fldChar w:fldCharType="separate"/>
          </w:r>
          <w:r>
            <w:rPr>
              <w:rStyle w:val="35"/>
            </w:rPr>
            <w:t>6.7</w:t>
          </w:r>
          <w:r>
            <w:rPr>
              <w:szCs w:val="22"/>
            </w:rPr>
            <w:tab/>
          </w:r>
          <w:r>
            <w:rPr>
              <w:rStyle w:val="35"/>
            </w:rPr>
            <w:t>控制阀</w:t>
          </w:r>
          <w:r>
            <w:tab/>
          </w:r>
          <w:r>
            <w:fldChar w:fldCharType="begin"/>
          </w:r>
          <w:r>
            <w:instrText xml:space="preserve"> PAGEREF _Toc206160066 \h </w:instrText>
          </w:r>
          <w:r>
            <w:fldChar w:fldCharType="separate"/>
          </w:r>
          <w:r>
            <w:t>13</w:t>
          </w:r>
          <w:r>
            <w:fldChar w:fldCharType="end"/>
          </w:r>
          <w:r>
            <w:fldChar w:fldCharType="end"/>
          </w:r>
        </w:p>
        <w:p w14:paraId="189F4456">
          <w:pPr>
            <w:pStyle w:val="22"/>
            <w:rPr>
              <w:sz w:val="21"/>
              <w:szCs w:val="22"/>
            </w:rPr>
          </w:pPr>
          <w:r>
            <w:fldChar w:fldCharType="begin"/>
          </w:r>
          <w:r>
            <w:instrText xml:space="preserve"> HYPERLINK \l "_Toc206160067" </w:instrText>
          </w:r>
          <w:r>
            <w:fldChar w:fldCharType="separate"/>
          </w:r>
          <w:r>
            <w:rPr>
              <w:rStyle w:val="35"/>
              <w:rFonts w:hAnsi="宋体"/>
              <w:sz w:val="21"/>
              <w:szCs w:val="21"/>
            </w:rPr>
            <w:t>7</w:t>
          </w:r>
          <w:r>
            <w:rPr>
              <w:sz w:val="21"/>
              <w:szCs w:val="21"/>
            </w:rPr>
            <w:tab/>
          </w:r>
          <w:r>
            <w:rPr>
              <w:rStyle w:val="35"/>
              <w:rFonts w:hAnsi="宋体"/>
              <w:sz w:val="21"/>
              <w:szCs w:val="21"/>
            </w:rPr>
            <w:t>排放监测系统</w:t>
          </w:r>
          <w:r>
            <w:tab/>
          </w:r>
          <w:r>
            <w:rPr>
              <w:sz w:val="21"/>
              <w:szCs w:val="21"/>
            </w:rPr>
            <w:fldChar w:fldCharType="begin"/>
          </w:r>
          <w:r>
            <w:rPr>
              <w:sz w:val="21"/>
              <w:szCs w:val="21"/>
            </w:rPr>
            <w:instrText xml:space="preserve"> PAGEREF _Toc206160067 \h </w:instrText>
          </w:r>
          <w:r>
            <w:rPr>
              <w:sz w:val="21"/>
              <w:szCs w:val="21"/>
            </w:rPr>
            <w:fldChar w:fldCharType="separate"/>
          </w:r>
          <w:r>
            <w:rPr>
              <w:sz w:val="21"/>
              <w:szCs w:val="21"/>
            </w:rPr>
            <w:t>15</w:t>
          </w:r>
          <w:r>
            <w:rPr>
              <w:sz w:val="21"/>
              <w:szCs w:val="21"/>
            </w:rPr>
            <w:fldChar w:fldCharType="end"/>
          </w:r>
          <w:r>
            <w:fldChar w:fldCharType="end"/>
          </w:r>
        </w:p>
        <w:p w14:paraId="310D6804">
          <w:pPr>
            <w:pStyle w:val="25"/>
            <w:rPr>
              <w:szCs w:val="22"/>
            </w:rPr>
          </w:pPr>
          <w:r>
            <w:fldChar w:fldCharType="begin"/>
          </w:r>
          <w:r>
            <w:instrText xml:space="preserve"> HYPERLINK \l "_Toc206160068" </w:instrText>
          </w:r>
          <w:r>
            <w:fldChar w:fldCharType="separate"/>
          </w:r>
          <w:r>
            <w:rPr>
              <w:rStyle w:val="35"/>
            </w:rPr>
            <w:t>7.1</w:t>
          </w:r>
          <w:r>
            <w:rPr>
              <w:szCs w:val="22"/>
            </w:rPr>
            <w:tab/>
          </w:r>
          <w:r>
            <w:rPr>
              <w:rStyle w:val="35"/>
            </w:rPr>
            <w:t>一般规定</w:t>
          </w:r>
          <w:r>
            <w:tab/>
          </w:r>
          <w:r>
            <w:fldChar w:fldCharType="begin"/>
          </w:r>
          <w:r>
            <w:instrText xml:space="preserve"> PAGEREF _Toc206160068 \h </w:instrText>
          </w:r>
          <w:r>
            <w:fldChar w:fldCharType="separate"/>
          </w:r>
          <w:r>
            <w:t>15</w:t>
          </w:r>
          <w:r>
            <w:fldChar w:fldCharType="end"/>
          </w:r>
          <w:r>
            <w:fldChar w:fldCharType="end"/>
          </w:r>
        </w:p>
        <w:p w14:paraId="6A5C33F2">
          <w:pPr>
            <w:pStyle w:val="25"/>
            <w:rPr>
              <w:szCs w:val="22"/>
            </w:rPr>
          </w:pPr>
          <w:r>
            <w:fldChar w:fldCharType="begin"/>
          </w:r>
          <w:r>
            <w:instrText xml:space="preserve"> HYPERLINK \l "_Toc206160069" </w:instrText>
          </w:r>
          <w:r>
            <w:fldChar w:fldCharType="separate"/>
          </w:r>
          <w:r>
            <w:rPr>
              <w:rStyle w:val="35"/>
            </w:rPr>
            <w:t>7.2</w:t>
          </w:r>
          <w:r>
            <w:rPr>
              <w:szCs w:val="22"/>
            </w:rPr>
            <w:tab/>
          </w:r>
          <w:r>
            <w:rPr>
              <w:rStyle w:val="35"/>
            </w:rPr>
            <w:t>排放监测系统组成</w:t>
          </w:r>
          <w:r>
            <w:tab/>
          </w:r>
          <w:r>
            <w:fldChar w:fldCharType="begin"/>
          </w:r>
          <w:r>
            <w:instrText xml:space="preserve"> PAGEREF _Toc206160069 \h </w:instrText>
          </w:r>
          <w:r>
            <w:fldChar w:fldCharType="separate"/>
          </w:r>
          <w:r>
            <w:t>15</w:t>
          </w:r>
          <w:r>
            <w:fldChar w:fldCharType="end"/>
          </w:r>
          <w:r>
            <w:fldChar w:fldCharType="end"/>
          </w:r>
        </w:p>
        <w:p w14:paraId="6E41CA97">
          <w:pPr>
            <w:pStyle w:val="25"/>
            <w:rPr>
              <w:szCs w:val="22"/>
            </w:rPr>
          </w:pPr>
          <w:r>
            <w:fldChar w:fldCharType="begin"/>
          </w:r>
          <w:r>
            <w:instrText xml:space="preserve"> HYPERLINK \l "_Toc206160070" </w:instrText>
          </w:r>
          <w:r>
            <w:fldChar w:fldCharType="separate"/>
          </w:r>
          <w:r>
            <w:rPr>
              <w:rStyle w:val="35"/>
            </w:rPr>
            <w:t>7.3</w:t>
          </w:r>
          <w:r>
            <w:rPr>
              <w:szCs w:val="22"/>
            </w:rPr>
            <w:tab/>
          </w:r>
          <w:r>
            <w:rPr>
              <w:rStyle w:val="35"/>
            </w:rPr>
            <w:t>数据采集传输</w:t>
          </w:r>
          <w:r>
            <w:tab/>
          </w:r>
          <w:r>
            <w:fldChar w:fldCharType="begin"/>
          </w:r>
          <w:r>
            <w:instrText xml:space="preserve"> PAGEREF _Toc206160070 \h </w:instrText>
          </w:r>
          <w:r>
            <w:fldChar w:fldCharType="separate"/>
          </w:r>
          <w:r>
            <w:t>15</w:t>
          </w:r>
          <w:r>
            <w:fldChar w:fldCharType="end"/>
          </w:r>
          <w:r>
            <w:fldChar w:fldCharType="end"/>
          </w:r>
        </w:p>
        <w:p w14:paraId="6D05F079">
          <w:pPr>
            <w:pStyle w:val="22"/>
            <w:rPr>
              <w:sz w:val="21"/>
              <w:szCs w:val="22"/>
            </w:rPr>
          </w:pPr>
          <w:r>
            <w:fldChar w:fldCharType="begin"/>
          </w:r>
          <w:r>
            <w:instrText xml:space="preserve"> HYPERLINK \l "_Toc206160071" </w:instrText>
          </w:r>
          <w:r>
            <w:fldChar w:fldCharType="separate"/>
          </w:r>
          <w:r>
            <w:rPr>
              <w:rStyle w:val="35"/>
              <w:rFonts w:hAnsi="宋体"/>
              <w:sz w:val="21"/>
              <w:szCs w:val="21"/>
            </w:rPr>
            <w:t>8</w:t>
          </w:r>
          <w:r>
            <w:rPr>
              <w:sz w:val="21"/>
              <w:szCs w:val="21"/>
            </w:rPr>
            <w:tab/>
          </w:r>
          <w:r>
            <w:rPr>
              <w:rStyle w:val="35"/>
              <w:rFonts w:hAnsi="宋体"/>
              <w:sz w:val="21"/>
              <w:szCs w:val="21"/>
            </w:rPr>
            <w:t>监测站房</w:t>
          </w:r>
          <w:r>
            <w:tab/>
          </w:r>
          <w:r>
            <w:rPr>
              <w:sz w:val="21"/>
              <w:szCs w:val="21"/>
            </w:rPr>
            <w:fldChar w:fldCharType="begin"/>
          </w:r>
          <w:r>
            <w:rPr>
              <w:sz w:val="21"/>
              <w:szCs w:val="21"/>
            </w:rPr>
            <w:instrText xml:space="preserve"> PAGEREF _Toc206160071 \h </w:instrText>
          </w:r>
          <w:r>
            <w:rPr>
              <w:sz w:val="21"/>
              <w:szCs w:val="21"/>
            </w:rPr>
            <w:fldChar w:fldCharType="separate"/>
          </w:r>
          <w:r>
            <w:rPr>
              <w:sz w:val="21"/>
              <w:szCs w:val="21"/>
            </w:rPr>
            <w:t>16</w:t>
          </w:r>
          <w:r>
            <w:rPr>
              <w:sz w:val="21"/>
              <w:szCs w:val="21"/>
            </w:rPr>
            <w:fldChar w:fldCharType="end"/>
          </w:r>
          <w:r>
            <w:fldChar w:fldCharType="end"/>
          </w:r>
        </w:p>
        <w:p w14:paraId="17E74846">
          <w:pPr>
            <w:pStyle w:val="22"/>
            <w:rPr>
              <w:sz w:val="21"/>
              <w:szCs w:val="22"/>
            </w:rPr>
          </w:pPr>
          <w:r>
            <w:fldChar w:fldCharType="begin"/>
          </w:r>
          <w:r>
            <w:instrText xml:space="preserve"> HYPERLINK \l "_Toc206160072" </w:instrText>
          </w:r>
          <w:r>
            <w:fldChar w:fldCharType="separate"/>
          </w:r>
          <w:r>
            <w:rPr>
              <w:rStyle w:val="35"/>
              <w:rFonts w:hAnsi="宋体"/>
              <w:sz w:val="21"/>
              <w:szCs w:val="21"/>
            </w:rPr>
            <w:t>9</w:t>
          </w:r>
          <w:r>
            <w:rPr>
              <w:sz w:val="21"/>
              <w:szCs w:val="21"/>
            </w:rPr>
            <w:tab/>
          </w:r>
          <w:r>
            <w:rPr>
              <w:rStyle w:val="35"/>
              <w:rFonts w:hAnsi="宋体"/>
              <w:sz w:val="21"/>
              <w:szCs w:val="21"/>
            </w:rPr>
            <w:t>安装设计</w:t>
          </w:r>
          <w:r>
            <w:tab/>
          </w:r>
          <w:r>
            <w:rPr>
              <w:sz w:val="21"/>
              <w:szCs w:val="21"/>
            </w:rPr>
            <w:fldChar w:fldCharType="begin"/>
          </w:r>
          <w:r>
            <w:rPr>
              <w:sz w:val="21"/>
              <w:szCs w:val="21"/>
            </w:rPr>
            <w:instrText xml:space="preserve"> PAGEREF _Toc206160072 \h </w:instrText>
          </w:r>
          <w:r>
            <w:rPr>
              <w:sz w:val="21"/>
              <w:szCs w:val="21"/>
            </w:rPr>
            <w:fldChar w:fldCharType="separate"/>
          </w:r>
          <w:r>
            <w:rPr>
              <w:sz w:val="21"/>
              <w:szCs w:val="21"/>
            </w:rPr>
            <w:t>17</w:t>
          </w:r>
          <w:r>
            <w:rPr>
              <w:sz w:val="21"/>
              <w:szCs w:val="21"/>
            </w:rPr>
            <w:fldChar w:fldCharType="end"/>
          </w:r>
          <w:r>
            <w:fldChar w:fldCharType="end"/>
          </w:r>
        </w:p>
        <w:p w14:paraId="1ECC51B7">
          <w:pPr>
            <w:pStyle w:val="25"/>
            <w:rPr>
              <w:szCs w:val="22"/>
            </w:rPr>
          </w:pPr>
          <w:r>
            <w:fldChar w:fldCharType="begin"/>
          </w:r>
          <w:r>
            <w:instrText xml:space="preserve"> HYPERLINK \l "_Toc206160073" </w:instrText>
          </w:r>
          <w:r>
            <w:fldChar w:fldCharType="separate"/>
          </w:r>
          <w:r>
            <w:rPr>
              <w:rStyle w:val="35"/>
            </w:rPr>
            <w:t>9.1</w:t>
          </w:r>
          <w:r>
            <w:rPr>
              <w:szCs w:val="22"/>
            </w:rPr>
            <w:tab/>
          </w:r>
          <w:r>
            <w:rPr>
              <w:rStyle w:val="35"/>
            </w:rPr>
            <w:t>一般规定</w:t>
          </w:r>
          <w:r>
            <w:tab/>
          </w:r>
          <w:r>
            <w:fldChar w:fldCharType="begin"/>
          </w:r>
          <w:r>
            <w:instrText xml:space="preserve"> PAGEREF _Toc206160073 \h </w:instrText>
          </w:r>
          <w:r>
            <w:fldChar w:fldCharType="separate"/>
          </w:r>
          <w:r>
            <w:t>17</w:t>
          </w:r>
          <w:r>
            <w:fldChar w:fldCharType="end"/>
          </w:r>
          <w:r>
            <w:fldChar w:fldCharType="end"/>
          </w:r>
        </w:p>
        <w:p w14:paraId="1F679A5F">
          <w:pPr>
            <w:pStyle w:val="25"/>
            <w:rPr>
              <w:szCs w:val="22"/>
            </w:rPr>
          </w:pPr>
          <w:r>
            <w:fldChar w:fldCharType="begin"/>
          </w:r>
          <w:r>
            <w:instrText xml:space="preserve"> HYPERLINK \l "_Toc206160074" </w:instrText>
          </w:r>
          <w:r>
            <w:fldChar w:fldCharType="separate"/>
          </w:r>
          <w:r>
            <w:rPr>
              <w:rStyle w:val="35"/>
            </w:rPr>
            <w:t>9.2</w:t>
          </w:r>
          <w:r>
            <w:rPr>
              <w:szCs w:val="22"/>
            </w:rPr>
            <w:tab/>
          </w:r>
          <w:r>
            <w:rPr>
              <w:rStyle w:val="35"/>
            </w:rPr>
            <w:t>仪表配管配线</w:t>
          </w:r>
          <w:r>
            <w:tab/>
          </w:r>
          <w:r>
            <w:fldChar w:fldCharType="begin"/>
          </w:r>
          <w:r>
            <w:instrText xml:space="preserve"> PAGEREF _Toc206160074 \h </w:instrText>
          </w:r>
          <w:r>
            <w:fldChar w:fldCharType="separate"/>
          </w:r>
          <w:r>
            <w:t>17</w:t>
          </w:r>
          <w:r>
            <w:fldChar w:fldCharType="end"/>
          </w:r>
          <w:r>
            <w:fldChar w:fldCharType="end"/>
          </w:r>
        </w:p>
        <w:p w14:paraId="6499ED86">
          <w:pPr>
            <w:pStyle w:val="25"/>
            <w:rPr>
              <w:szCs w:val="22"/>
            </w:rPr>
          </w:pPr>
          <w:r>
            <w:fldChar w:fldCharType="begin"/>
          </w:r>
          <w:r>
            <w:instrText xml:space="preserve"> HYPERLINK \l "_Toc206160075" </w:instrText>
          </w:r>
          <w:r>
            <w:fldChar w:fldCharType="separate"/>
          </w:r>
          <w:r>
            <w:rPr>
              <w:rStyle w:val="35"/>
            </w:rPr>
            <w:t>9.3</w:t>
          </w:r>
          <w:r>
            <w:rPr>
              <w:szCs w:val="22"/>
            </w:rPr>
            <w:tab/>
          </w:r>
          <w:r>
            <w:rPr>
              <w:rStyle w:val="35"/>
            </w:rPr>
            <w:t>仪表伴热保温</w:t>
          </w:r>
          <w:r>
            <w:tab/>
          </w:r>
          <w:r>
            <w:fldChar w:fldCharType="begin"/>
          </w:r>
          <w:r>
            <w:instrText xml:space="preserve"> PAGEREF _Toc206160075 \h </w:instrText>
          </w:r>
          <w:r>
            <w:fldChar w:fldCharType="separate"/>
          </w:r>
          <w:r>
            <w:t>17</w:t>
          </w:r>
          <w:r>
            <w:fldChar w:fldCharType="end"/>
          </w:r>
          <w:r>
            <w:fldChar w:fldCharType="end"/>
          </w:r>
        </w:p>
        <w:p w14:paraId="003A24AC">
          <w:pPr>
            <w:pStyle w:val="25"/>
            <w:rPr>
              <w:szCs w:val="22"/>
            </w:rPr>
          </w:pPr>
          <w:r>
            <w:fldChar w:fldCharType="begin"/>
          </w:r>
          <w:r>
            <w:instrText xml:space="preserve"> HYPERLINK \l "_Toc206160076" </w:instrText>
          </w:r>
          <w:r>
            <w:fldChar w:fldCharType="separate"/>
          </w:r>
          <w:r>
            <w:rPr>
              <w:rStyle w:val="35"/>
            </w:rPr>
            <w:t>9.4</w:t>
          </w:r>
          <w:r>
            <w:rPr>
              <w:szCs w:val="22"/>
            </w:rPr>
            <w:tab/>
          </w:r>
          <w:r>
            <w:rPr>
              <w:rStyle w:val="35"/>
            </w:rPr>
            <w:t>仪表接地和防雷</w:t>
          </w:r>
          <w:r>
            <w:tab/>
          </w:r>
          <w:r>
            <w:fldChar w:fldCharType="begin"/>
          </w:r>
          <w:r>
            <w:instrText xml:space="preserve"> PAGEREF _Toc206160076 \h </w:instrText>
          </w:r>
          <w:r>
            <w:fldChar w:fldCharType="separate"/>
          </w:r>
          <w:r>
            <w:t>17</w:t>
          </w:r>
          <w:r>
            <w:fldChar w:fldCharType="end"/>
          </w:r>
          <w:r>
            <w:fldChar w:fldCharType="end"/>
          </w:r>
        </w:p>
        <w:p w14:paraId="519D78AE">
          <w:pPr>
            <w:pStyle w:val="22"/>
            <w:rPr>
              <w:sz w:val="21"/>
              <w:szCs w:val="21"/>
            </w:rPr>
          </w:pPr>
          <w:r>
            <w:rPr>
              <w:sz w:val="21"/>
              <w:szCs w:val="21"/>
            </w:rPr>
            <w:fldChar w:fldCharType="begin"/>
          </w:r>
          <w:r>
            <w:rPr>
              <w:sz w:val="21"/>
              <w:szCs w:val="21"/>
            </w:rPr>
            <w:instrText xml:space="preserve"> HYPERLINK \l "_Toc206160077" </w:instrText>
          </w:r>
          <w:r>
            <w:rPr>
              <w:sz w:val="21"/>
              <w:szCs w:val="21"/>
            </w:rPr>
            <w:fldChar w:fldCharType="separate"/>
          </w:r>
          <w:r>
            <w:rPr>
              <w:rStyle w:val="35"/>
              <w:sz w:val="21"/>
              <w:szCs w:val="21"/>
            </w:rPr>
            <w:t>附录A  组合式冷凝回收法典型工艺控制流程图</w:t>
          </w:r>
          <w:r>
            <w:rPr>
              <w:sz w:val="21"/>
              <w:szCs w:val="21"/>
            </w:rPr>
            <w:tab/>
          </w:r>
          <w:r>
            <w:rPr>
              <w:sz w:val="21"/>
              <w:szCs w:val="21"/>
            </w:rPr>
            <w:fldChar w:fldCharType="begin"/>
          </w:r>
          <w:r>
            <w:rPr>
              <w:sz w:val="21"/>
              <w:szCs w:val="21"/>
            </w:rPr>
            <w:instrText xml:space="preserve"> PAGEREF _Toc206160077 \h </w:instrText>
          </w:r>
          <w:r>
            <w:rPr>
              <w:sz w:val="21"/>
              <w:szCs w:val="21"/>
            </w:rPr>
            <w:fldChar w:fldCharType="separate"/>
          </w:r>
          <w:r>
            <w:rPr>
              <w:sz w:val="21"/>
              <w:szCs w:val="21"/>
            </w:rPr>
            <w:t>18</w:t>
          </w:r>
          <w:r>
            <w:rPr>
              <w:sz w:val="21"/>
              <w:szCs w:val="21"/>
            </w:rPr>
            <w:fldChar w:fldCharType="end"/>
          </w:r>
          <w:r>
            <w:rPr>
              <w:sz w:val="21"/>
              <w:szCs w:val="21"/>
            </w:rPr>
            <w:fldChar w:fldCharType="end"/>
          </w:r>
        </w:p>
        <w:p w14:paraId="212B8CC5">
          <w:pPr>
            <w:pStyle w:val="22"/>
            <w:rPr>
              <w:sz w:val="21"/>
              <w:szCs w:val="22"/>
            </w:rPr>
          </w:pPr>
          <w:r>
            <w:rPr>
              <w:sz w:val="21"/>
              <w:szCs w:val="21"/>
            </w:rPr>
            <w:fldChar w:fldCharType="begin"/>
          </w:r>
          <w:r>
            <w:rPr>
              <w:sz w:val="21"/>
              <w:szCs w:val="21"/>
            </w:rPr>
            <w:instrText xml:space="preserve"> HYPERLINK \l "_Toc206160078" </w:instrText>
          </w:r>
          <w:r>
            <w:rPr>
              <w:sz w:val="21"/>
              <w:szCs w:val="21"/>
            </w:rPr>
            <w:fldChar w:fldCharType="separate"/>
          </w:r>
          <w:r>
            <w:rPr>
              <w:rStyle w:val="35"/>
              <w:sz w:val="21"/>
              <w:szCs w:val="21"/>
            </w:rPr>
            <w:t>附录B  主要控制项目</w:t>
          </w:r>
          <w:r>
            <w:rPr>
              <w:sz w:val="21"/>
              <w:szCs w:val="21"/>
            </w:rPr>
            <w:tab/>
          </w:r>
          <w:r>
            <w:rPr>
              <w:sz w:val="21"/>
              <w:szCs w:val="21"/>
            </w:rPr>
            <w:fldChar w:fldCharType="begin"/>
          </w:r>
          <w:r>
            <w:rPr>
              <w:sz w:val="21"/>
              <w:szCs w:val="21"/>
            </w:rPr>
            <w:instrText xml:space="preserve"> PAGEREF _Toc206160078 \h </w:instrText>
          </w:r>
          <w:r>
            <w:rPr>
              <w:sz w:val="21"/>
              <w:szCs w:val="21"/>
            </w:rPr>
            <w:fldChar w:fldCharType="separate"/>
          </w:r>
          <w:r>
            <w:rPr>
              <w:sz w:val="21"/>
              <w:szCs w:val="21"/>
            </w:rPr>
            <w:t>22</w:t>
          </w:r>
          <w:r>
            <w:rPr>
              <w:sz w:val="21"/>
              <w:szCs w:val="21"/>
            </w:rPr>
            <w:fldChar w:fldCharType="end"/>
          </w:r>
          <w:r>
            <w:rPr>
              <w:sz w:val="21"/>
              <w:szCs w:val="21"/>
            </w:rPr>
            <w:fldChar w:fldCharType="end"/>
          </w:r>
        </w:p>
        <w:p w14:paraId="1EC43676">
          <w:pPr>
            <w:pStyle w:val="22"/>
            <w:rPr>
              <w:sz w:val="21"/>
              <w:szCs w:val="22"/>
            </w:rPr>
          </w:pPr>
          <w:r>
            <w:fldChar w:fldCharType="begin"/>
          </w:r>
          <w:r>
            <w:instrText xml:space="preserve"> HYPERLINK \l "_Toc206160079" </w:instrText>
          </w:r>
          <w:r>
            <w:fldChar w:fldCharType="separate"/>
          </w:r>
          <w:r>
            <w:rPr>
              <w:rStyle w:val="35"/>
              <w:sz w:val="21"/>
              <w:szCs w:val="21"/>
            </w:rPr>
            <w:t>附录C  主要报警联锁项目</w:t>
          </w:r>
          <w:r>
            <w:tab/>
          </w:r>
          <w:r>
            <w:rPr>
              <w:sz w:val="21"/>
              <w:szCs w:val="21"/>
            </w:rPr>
            <w:fldChar w:fldCharType="begin"/>
          </w:r>
          <w:r>
            <w:rPr>
              <w:sz w:val="21"/>
              <w:szCs w:val="21"/>
            </w:rPr>
            <w:instrText xml:space="preserve"> PAGEREF _Toc206160079 \h </w:instrText>
          </w:r>
          <w:r>
            <w:rPr>
              <w:sz w:val="21"/>
              <w:szCs w:val="21"/>
            </w:rPr>
            <w:fldChar w:fldCharType="separate"/>
          </w:r>
          <w:r>
            <w:rPr>
              <w:sz w:val="21"/>
              <w:szCs w:val="21"/>
            </w:rPr>
            <w:t>23</w:t>
          </w:r>
          <w:r>
            <w:rPr>
              <w:sz w:val="21"/>
              <w:szCs w:val="21"/>
            </w:rPr>
            <w:fldChar w:fldCharType="end"/>
          </w:r>
          <w:r>
            <w:fldChar w:fldCharType="end"/>
          </w:r>
        </w:p>
        <w:p w14:paraId="686A1EFD">
          <w:pPr>
            <w:pStyle w:val="22"/>
            <w:rPr>
              <w:sz w:val="21"/>
              <w:szCs w:val="22"/>
            </w:rPr>
          </w:pPr>
          <w:r>
            <w:fldChar w:fldCharType="begin"/>
          </w:r>
          <w:r>
            <w:instrText xml:space="preserve"> HYPERLINK \l "_Toc206160080" </w:instrText>
          </w:r>
          <w:r>
            <w:fldChar w:fldCharType="separate"/>
          </w:r>
          <w:r>
            <w:rPr>
              <w:rStyle w:val="35"/>
              <w:rFonts w:ascii="宋体" w:hAnsi="宋体" w:cs="宋体"/>
              <w:b w:val="0"/>
              <w:bCs w:val="0"/>
              <w:sz w:val="21"/>
              <w:szCs w:val="21"/>
            </w:rPr>
            <w:t>本规范用词说明</w:t>
          </w:r>
          <w:r>
            <w:tab/>
          </w:r>
          <w:r>
            <w:rPr>
              <w:sz w:val="21"/>
              <w:szCs w:val="21"/>
            </w:rPr>
            <w:fldChar w:fldCharType="begin"/>
          </w:r>
          <w:r>
            <w:rPr>
              <w:sz w:val="21"/>
              <w:szCs w:val="21"/>
            </w:rPr>
            <w:instrText xml:space="preserve"> PAGEREF _Toc206160080 \h </w:instrText>
          </w:r>
          <w:r>
            <w:rPr>
              <w:sz w:val="21"/>
              <w:szCs w:val="21"/>
            </w:rPr>
            <w:fldChar w:fldCharType="separate"/>
          </w:r>
          <w:r>
            <w:rPr>
              <w:sz w:val="21"/>
              <w:szCs w:val="21"/>
            </w:rPr>
            <w:t>24</w:t>
          </w:r>
          <w:r>
            <w:rPr>
              <w:sz w:val="21"/>
              <w:szCs w:val="21"/>
            </w:rPr>
            <w:fldChar w:fldCharType="end"/>
          </w:r>
          <w:r>
            <w:fldChar w:fldCharType="end"/>
          </w:r>
        </w:p>
        <w:p w14:paraId="4A33ACBF">
          <w:pPr>
            <w:pStyle w:val="22"/>
            <w:rPr>
              <w:sz w:val="21"/>
              <w:szCs w:val="22"/>
            </w:rPr>
          </w:pPr>
          <w:r>
            <w:fldChar w:fldCharType="begin"/>
          </w:r>
          <w:r>
            <w:instrText xml:space="preserve"> HYPERLINK \l "_Toc206160081" </w:instrText>
          </w:r>
          <w:r>
            <w:fldChar w:fldCharType="separate"/>
          </w:r>
          <w:r>
            <w:rPr>
              <w:rStyle w:val="35"/>
              <w:rFonts w:ascii="宋体" w:hAnsi="宋体" w:cs="宋体"/>
              <w:b w:val="0"/>
              <w:bCs w:val="0"/>
              <w:sz w:val="21"/>
              <w:szCs w:val="21"/>
            </w:rPr>
            <w:t>引用标准名录</w:t>
          </w:r>
          <w:r>
            <w:tab/>
          </w:r>
          <w:r>
            <w:rPr>
              <w:sz w:val="21"/>
              <w:szCs w:val="21"/>
            </w:rPr>
            <w:fldChar w:fldCharType="begin"/>
          </w:r>
          <w:r>
            <w:rPr>
              <w:sz w:val="21"/>
              <w:szCs w:val="21"/>
            </w:rPr>
            <w:instrText xml:space="preserve"> PAGEREF _Toc206160081 \h </w:instrText>
          </w:r>
          <w:r>
            <w:rPr>
              <w:sz w:val="21"/>
              <w:szCs w:val="21"/>
            </w:rPr>
            <w:fldChar w:fldCharType="separate"/>
          </w:r>
          <w:r>
            <w:rPr>
              <w:sz w:val="21"/>
              <w:szCs w:val="21"/>
            </w:rPr>
            <w:t>25</w:t>
          </w:r>
          <w:r>
            <w:rPr>
              <w:sz w:val="21"/>
              <w:szCs w:val="21"/>
            </w:rPr>
            <w:fldChar w:fldCharType="end"/>
          </w:r>
          <w:r>
            <w:fldChar w:fldCharType="end"/>
          </w:r>
        </w:p>
        <w:p w14:paraId="3B76F740">
          <w:pPr>
            <w:pStyle w:val="22"/>
            <w:rPr>
              <w:sz w:val="21"/>
              <w:szCs w:val="22"/>
            </w:rPr>
          </w:pPr>
          <w:r>
            <w:rPr>
              <w:rFonts w:hint="eastAsia"/>
              <w:sz w:val="21"/>
              <w:szCs w:val="21"/>
              <w:lang w:eastAsia="zh-CN"/>
            </w:rPr>
            <w:t>附：</w:t>
          </w:r>
          <w:r>
            <w:rPr>
              <w:sz w:val="21"/>
              <w:szCs w:val="21"/>
            </w:rPr>
            <w:fldChar w:fldCharType="begin"/>
          </w:r>
          <w:r>
            <w:rPr>
              <w:sz w:val="21"/>
              <w:szCs w:val="21"/>
            </w:rPr>
            <w:instrText xml:space="preserve"> HYPERLINK \l "_Toc206160082" </w:instrText>
          </w:r>
          <w:r>
            <w:rPr>
              <w:sz w:val="21"/>
              <w:szCs w:val="21"/>
            </w:rPr>
            <w:fldChar w:fldCharType="separate"/>
          </w:r>
          <w:r>
            <w:rPr>
              <w:rStyle w:val="35"/>
              <w:rFonts w:ascii="宋体" w:hAnsi="宋体" w:cs="宋体"/>
              <w:b w:val="0"/>
              <w:bCs w:val="0"/>
              <w:sz w:val="21"/>
              <w:szCs w:val="21"/>
            </w:rPr>
            <w:t>条文说明</w:t>
          </w:r>
          <w:r>
            <w:rPr>
              <w:sz w:val="21"/>
              <w:szCs w:val="21"/>
            </w:rPr>
            <w:tab/>
          </w:r>
          <w:r>
            <w:rPr>
              <w:sz w:val="21"/>
              <w:szCs w:val="21"/>
            </w:rPr>
            <w:fldChar w:fldCharType="begin"/>
          </w:r>
          <w:r>
            <w:rPr>
              <w:sz w:val="21"/>
              <w:szCs w:val="21"/>
            </w:rPr>
            <w:instrText xml:space="preserve"> PAGEREF _Toc206160082 \h </w:instrText>
          </w:r>
          <w:r>
            <w:rPr>
              <w:sz w:val="21"/>
              <w:szCs w:val="21"/>
            </w:rPr>
            <w:fldChar w:fldCharType="separate"/>
          </w:r>
          <w:r>
            <w:rPr>
              <w:sz w:val="21"/>
              <w:szCs w:val="21"/>
            </w:rPr>
            <w:t>26</w:t>
          </w:r>
          <w:r>
            <w:rPr>
              <w:sz w:val="21"/>
              <w:szCs w:val="21"/>
            </w:rPr>
            <w:fldChar w:fldCharType="end"/>
          </w:r>
          <w:r>
            <w:rPr>
              <w:sz w:val="21"/>
              <w:szCs w:val="21"/>
            </w:rPr>
            <w:fldChar w:fldCharType="end"/>
          </w:r>
        </w:p>
        <w:p w14:paraId="7F1F37D1">
          <w:pPr>
            <w:spacing w:line="360" w:lineRule="auto"/>
          </w:pPr>
          <w:r>
            <w:rPr>
              <w:b/>
              <w:bCs/>
              <w:lang w:val="zh-CN"/>
            </w:rPr>
            <w:fldChar w:fldCharType="end"/>
          </w:r>
        </w:p>
      </w:sdtContent>
    </w:sdt>
    <w:p w14:paraId="3EDEAB83">
      <w:pPr>
        <w:widowControl/>
        <w:spacing w:line="360" w:lineRule="auto"/>
        <w:jc w:val="left"/>
        <w:rPr>
          <w:rFonts w:hAnsi="宋体"/>
        </w:rPr>
        <w:sectPr>
          <w:footerReference r:id="rId8" w:type="default"/>
          <w:pgSz w:w="11906" w:h="16838"/>
          <w:pgMar w:top="1440" w:right="1797" w:bottom="851" w:left="1797" w:header="851" w:footer="992" w:gutter="0"/>
          <w:pgNumType w:fmt="upperRoman" w:start="1"/>
          <w:cols w:space="425" w:num="1"/>
          <w:docGrid w:type="lines" w:linePitch="312" w:charSpace="0"/>
        </w:sectPr>
      </w:pPr>
      <w:r>
        <w:rPr>
          <w:rFonts w:hAnsi="宋体"/>
        </w:rPr>
        <w:br w:type="page"/>
      </w:r>
    </w:p>
    <w:p w14:paraId="287A6344">
      <w:pPr>
        <w:pStyle w:val="22"/>
        <w:ind w:firstLine="3840" w:firstLineChars="1600"/>
      </w:pPr>
      <w:r>
        <w:rPr>
          <w:rFonts w:hint="eastAsia"/>
        </w:rPr>
        <w:t>C</w:t>
      </w:r>
      <w:r>
        <w:t>ontents</w:t>
      </w:r>
    </w:p>
    <w:p w14:paraId="342DB41C"/>
    <w:p w14:paraId="5EF77CC7">
      <w:pPr>
        <w:pStyle w:val="22"/>
        <w:rPr>
          <w:sz w:val="21"/>
          <w:szCs w:val="22"/>
        </w:rPr>
      </w:pPr>
      <w:r>
        <w:fldChar w:fldCharType="begin"/>
      </w:r>
      <w:r>
        <w:instrText xml:space="preserve"> TOC \o "1-3" \h \z \u </w:instrText>
      </w:r>
      <w:r>
        <w:fldChar w:fldCharType="separate"/>
      </w:r>
      <w:r>
        <w:fldChar w:fldCharType="begin"/>
      </w:r>
      <w:r>
        <w:instrText xml:space="preserve"> HYPERLINK \l "_Toc206073843" </w:instrText>
      </w:r>
      <w:r>
        <w:fldChar w:fldCharType="separate"/>
      </w:r>
      <w:r>
        <w:rPr>
          <w:rStyle w:val="35"/>
        </w:rPr>
        <w:t>1</w:t>
      </w:r>
      <w:r>
        <w:rPr>
          <w:sz w:val="21"/>
          <w:szCs w:val="21"/>
        </w:rPr>
        <w:tab/>
      </w:r>
      <w:r>
        <w:rPr>
          <w:rStyle w:val="35"/>
          <w:sz w:val="21"/>
          <w:szCs w:val="21"/>
        </w:rPr>
        <w:t>General</w:t>
      </w:r>
      <w:r>
        <w:rPr>
          <w:rStyle w:val="35"/>
          <w:rFonts w:hint="eastAsia"/>
          <w:sz w:val="21"/>
          <w:szCs w:val="21"/>
          <w:lang w:val="en-US" w:eastAsia="zh-CN"/>
        </w:rPr>
        <w:t xml:space="preserve"> provisions</w:t>
      </w:r>
      <w:r>
        <w:tab/>
      </w:r>
      <w:r>
        <w:rPr>
          <w:sz w:val="21"/>
          <w:szCs w:val="21"/>
        </w:rPr>
        <w:fldChar w:fldCharType="begin"/>
      </w:r>
      <w:r>
        <w:rPr>
          <w:sz w:val="21"/>
          <w:szCs w:val="21"/>
        </w:rPr>
        <w:instrText xml:space="preserve"> PAGEREF _Toc206073843 \h </w:instrText>
      </w:r>
      <w:r>
        <w:rPr>
          <w:sz w:val="21"/>
          <w:szCs w:val="21"/>
        </w:rPr>
        <w:fldChar w:fldCharType="separate"/>
      </w:r>
      <w:r>
        <w:rPr>
          <w:sz w:val="21"/>
          <w:szCs w:val="21"/>
        </w:rPr>
        <w:t>5</w:t>
      </w:r>
      <w:r>
        <w:rPr>
          <w:sz w:val="21"/>
          <w:szCs w:val="21"/>
        </w:rPr>
        <w:fldChar w:fldCharType="end"/>
      </w:r>
      <w:r>
        <w:fldChar w:fldCharType="end"/>
      </w:r>
    </w:p>
    <w:p w14:paraId="577ACF5C">
      <w:pPr>
        <w:pStyle w:val="22"/>
        <w:rPr>
          <w:sz w:val="21"/>
          <w:szCs w:val="22"/>
        </w:rPr>
      </w:pPr>
      <w:r>
        <w:fldChar w:fldCharType="begin"/>
      </w:r>
      <w:r>
        <w:instrText xml:space="preserve"> HYPERLINK \l "_Toc206073844" </w:instrText>
      </w:r>
      <w:r>
        <w:fldChar w:fldCharType="separate"/>
      </w:r>
      <w:r>
        <w:rPr>
          <w:rStyle w:val="35"/>
          <w:sz w:val="21"/>
          <w:szCs w:val="21"/>
        </w:rPr>
        <w:t>2</w:t>
      </w:r>
      <w:r>
        <w:rPr>
          <w:sz w:val="21"/>
          <w:szCs w:val="21"/>
        </w:rPr>
        <w:tab/>
      </w:r>
      <w:r>
        <w:rPr>
          <w:rStyle w:val="35"/>
          <w:sz w:val="21"/>
          <w:szCs w:val="21"/>
        </w:rPr>
        <w:t>Terms and abbrviations</w:t>
      </w:r>
      <w:r>
        <w:tab/>
      </w:r>
      <w:r>
        <w:rPr>
          <w:sz w:val="21"/>
          <w:szCs w:val="21"/>
        </w:rPr>
        <w:fldChar w:fldCharType="begin"/>
      </w:r>
      <w:r>
        <w:rPr>
          <w:sz w:val="21"/>
          <w:szCs w:val="21"/>
        </w:rPr>
        <w:instrText xml:space="preserve"> PAGEREF _Toc206073844 \h </w:instrText>
      </w:r>
      <w:r>
        <w:rPr>
          <w:sz w:val="21"/>
          <w:szCs w:val="21"/>
        </w:rPr>
        <w:fldChar w:fldCharType="separate"/>
      </w:r>
      <w:r>
        <w:rPr>
          <w:sz w:val="21"/>
          <w:szCs w:val="21"/>
        </w:rPr>
        <w:t>6</w:t>
      </w:r>
      <w:r>
        <w:rPr>
          <w:sz w:val="21"/>
          <w:szCs w:val="21"/>
        </w:rPr>
        <w:fldChar w:fldCharType="end"/>
      </w:r>
      <w:r>
        <w:fldChar w:fldCharType="end"/>
      </w:r>
    </w:p>
    <w:p w14:paraId="1D71D9EF">
      <w:pPr>
        <w:pStyle w:val="25"/>
        <w:rPr>
          <w:szCs w:val="22"/>
        </w:rPr>
      </w:pPr>
      <w:r>
        <w:fldChar w:fldCharType="begin"/>
      </w:r>
      <w:r>
        <w:instrText xml:space="preserve"> HYPERLINK \l "_Toc206073845" </w:instrText>
      </w:r>
      <w:r>
        <w:fldChar w:fldCharType="separate"/>
      </w:r>
      <w:r>
        <w:rPr>
          <w:rStyle w:val="35"/>
        </w:rPr>
        <w:t>2.1</w:t>
      </w:r>
      <w:r>
        <w:rPr>
          <w:szCs w:val="22"/>
        </w:rPr>
        <w:tab/>
      </w:r>
      <w:r>
        <w:rPr>
          <w:rStyle w:val="35"/>
        </w:rPr>
        <w:t>Terms</w:t>
      </w:r>
      <w:r>
        <w:tab/>
      </w:r>
      <w:r>
        <w:fldChar w:fldCharType="begin"/>
      </w:r>
      <w:r>
        <w:instrText xml:space="preserve"> PAGEREF _Toc206073845 \h </w:instrText>
      </w:r>
      <w:r>
        <w:fldChar w:fldCharType="separate"/>
      </w:r>
      <w:r>
        <w:t>6</w:t>
      </w:r>
      <w:r>
        <w:fldChar w:fldCharType="end"/>
      </w:r>
      <w:r>
        <w:fldChar w:fldCharType="end"/>
      </w:r>
    </w:p>
    <w:p w14:paraId="33C273AD">
      <w:pPr>
        <w:pStyle w:val="25"/>
        <w:rPr>
          <w:szCs w:val="22"/>
        </w:rPr>
      </w:pPr>
      <w:r>
        <w:fldChar w:fldCharType="begin"/>
      </w:r>
      <w:r>
        <w:instrText xml:space="preserve"> HYPERLINK \l "_Toc206073846" </w:instrText>
      </w:r>
      <w:r>
        <w:fldChar w:fldCharType="separate"/>
      </w:r>
      <w:r>
        <w:rPr>
          <w:rStyle w:val="35"/>
        </w:rPr>
        <w:t>2.2</w:t>
      </w:r>
      <w:r>
        <w:rPr>
          <w:szCs w:val="22"/>
        </w:rPr>
        <w:tab/>
      </w:r>
      <w:r>
        <w:rPr>
          <w:rStyle w:val="35"/>
        </w:rPr>
        <w:t>Abbreviations</w:t>
      </w:r>
      <w:r>
        <w:tab/>
      </w:r>
      <w:r>
        <w:fldChar w:fldCharType="begin"/>
      </w:r>
      <w:r>
        <w:instrText xml:space="preserve"> PAGEREF _Toc206073846 \h </w:instrText>
      </w:r>
      <w:r>
        <w:fldChar w:fldCharType="separate"/>
      </w:r>
      <w:r>
        <w:t>6</w:t>
      </w:r>
      <w:r>
        <w:fldChar w:fldCharType="end"/>
      </w:r>
      <w:r>
        <w:fldChar w:fldCharType="end"/>
      </w:r>
    </w:p>
    <w:p w14:paraId="45DC831F">
      <w:pPr>
        <w:pStyle w:val="22"/>
        <w:rPr>
          <w:sz w:val="21"/>
          <w:szCs w:val="22"/>
        </w:rPr>
      </w:pPr>
      <w:r>
        <w:fldChar w:fldCharType="begin"/>
      </w:r>
      <w:r>
        <w:instrText xml:space="preserve"> HYPERLINK \l "_Toc206073847" </w:instrText>
      </w:r>
      <w:r>
        <w:fldChar w:fldCharType="separate"/>
      </w:r>
      <w:r>
        <w:rPr>
          <w:rStyle w:val="35"/>
          <w:sz w:val="21"/>
          <w:szCs w:val="21"/>
        </w:rPr>
        <w:t>3</w:t>
      </w:r>
      <w:r>
        <w:rPr>
          <w:sz w:val="21"/>
          <w:szCs w:val="21"/>
        </w:rPr>
        <w:tab/>
      </w:r>
      <w:r>
        <w:rPr>
          <w:rStyle w:val="35"/>
          <w:sz w:val="21"/>
          <w:szCs w:val="21"/>
        </w:rPr>
        <w:t>Basic requirements</w:t>
      </w:r>
      <w:r>
        <w:tab/>
      </w:r>
      <w:r>
        <w:rPr>
          <w:sz w:val="21"/>
          <w:szCs w:val="21"/>
        </w:rPr>
        <w:fldChar w:fldCharType="begin"/>
      </w:r>
      <w:r>
        <w:rPr>
          <w:sz w:val="21"/>
          <w:szCs w:val="21"/>
        </w:rPr>
        <w:instrText xml:space="preserve"> PAGEREF _Toc206073847 \h </w:instrText>
      </w:r>
      <w:r>
        <w:rPr>
          <w:sz w:val="21"/>
          <w:szCs w:val="21"/>
        </w:rPr>
        <w:fldChar w:fldCharType="separate"/>
      </w:r>
      <w:r>
        <w:rPr>
          <w:sz w:val="21"/>
          <w:szCs w:val="21"/>
        </w:rPr>
        <w:t>7</w:t>
      </w:r>
      <w:r>
        <w:rPr>
          <w:sz w:val="21"/>
          <w:szCs w:val="21"/>
        </w:rPr>
        <w:fldChar w:fldCharType="end"/>
      </w:r>
      <w:r>
        <w:fldChar w:fldCharType="end"/>
      </w:r>
    </w:p>
    <w:p w14:paraId="379F1CD8">
      <w:pPr>
        <w:pStyle w:val="22"/>
        <w:rPr>
          <w:sz w:val="21"/>
          <w:szCs w:val="22"/>
        </w:rPr>
      </w:pPr>
      <w:r>
        <w:fldChar w:fldCharType="begin"/>
      </w:r>
      <w:r>
        <w:instrText xml:space="preserve"> HYPERLINK \l "_Toc206073848" </w:instrText>
      </w:r>
      <w:r>
        <w:fldChar w:fldCharType="separate"/>
      </w:r>
      <w:r>
        <w:rPr>
          <w:rStyle w:val="35"/>
          <w:sz w:val="21"/>
          <w:szCs w:val="21"/>
        </w:rPr>
        <w:t>4</w:t>
      </w:r>
      <w:r>
        <w:rPr>
          <w:sz w:val="21"/>
          <w:szCs w:val="21"/>
        </w:rPr>
        <w:tab/>
      </w:r>
      <w:r>
        <w:rPr>
          <w:rStyle w:val="35"/>
          <w:sz w:val="21"/>
          <w:szCs w:val="21"/>
        </w:rPr>
        <w:t>Measurement and control requirements</w:t>
      </w:r>
      <w:r>
        <w:tab/>
      </w:r>
      <w:r>
        <w:rPr>
          <w:sz w:val="21"/>
          <w:szCs w:val="21"/>
        </w:rPr>
        <w:fldChar w:fldCharType="begin"/>
      </w:r>
      <w:r>
        <w:rPr>
          <w:sz w:val="21"/>
          <w:szCs w:val="21"/>
        </w:rPr>
        <w:instrText xml:space="preserve"> PAGEREF _Toc206073848 \h </w:instrText>
      </w:r>
      <w:r>
        <w:rPr>
          <w:sz w:val="21"/>
          <w:szCs w:val="21"/>
        </w:rPr>
        <w:fldChar w:fldCharType="separate"/>
      </w:r>
      <w:r>
        <w:rPr>
          <w:sz w:val="21"/>
          <w:szCs w:val="21"/>
        </w:rPr>
        <w:t>8</w:t>
      </w:r>
      <w:r>
        <w:rPr>
          <w:sz w:val="21"/>
          <w:szCs w:val="21"/>
        </w:rPr>
        <w:fldChar w:fldCharType="end"/>
      </w:r>
      <w:r>
        <w:fldChar w:fldCharType="end"/>
      </w:r>
    </w:p>
    <w:p w14:paraId="6E22697A">
      <w:pPr>
        <w:pStyle w:val="25"/>
        <w:rPr>
          <w:szCs w:val="22"/>
        </w:rPr>
      </w:pPr>
      <w:r>
        <w:fldChar w:fldCharType="begin"/>
      </w:r>
      <w:r>
        <w:instrText xml:space="preserve"> HYPERLINK \l "_Toc206073849" </w:instrText>
      </w:r>
      <w:r>
        <w:fldChar w:fldCharType="separate"/>
      </w:r>
      <w:r>
        <w:rPr>
          <w:rStyle w:val="35"/>
        </w:rPr>
        <w:t>4.1</w:t>
      </w:r>
      <w:r>
        <w:rPr>
          <w:szCs w:val="22"/>
        </w:rPr>
        <w:tab/>
      </w:r>
      <w:r>
        <w:rPr>
          <w:rStyle w:val="35"/>
        </w:rPr>
        <w:t xml:space="preserve">VOCs condensation recovery </w:t>
      </w:r>
      <w:r>
        <w:rPr>
          <w:rStyle w:val="35"/>
          <w:rFonts w:hint="eastAsia"/>
        </w:rPr>
        <w:t>unit</w:t>
      </w:r>
      <w:r>
        <w:rPr>
          <w:rStyle w:val="35"/>
        </w:rPr>
        <w:t xml:space="preserve"> M&amp;C</w:t>
      </w:r>
      <w:r>
        <w:tab/>
      </w:r>
      <w:r>
        <w:fldChar w:fldCharType="begin"/>
      </w:r>
      <w:r>
        <w:instrText xml:space="preserve"> PAGEREF _Toc206073849 \h </w:instrText>
      </w:r>
      <w:r>
        <w:fldChar w:fldCharType="separate"/>
      </w:r>
      <w:r>
        <w:t>8</w:t>
      </w:r>
      <w:r>
        <w:fldChar w:fldCharType="end"/>
      </w:r>
      <w:r>
        <w:fldChar w:fldCharType="end"/>
      </w:r>
    </w:p>
    <w:p w14:paraId="39355373">
      <w:pPr>
        <w:pStyle w:val="25"/>
        <w:rPr>
          <w:szCs w:val="22"/>
        </w:rPr>
      </w:pPr>
      <w:r>
        <w:fldChar w:fldCharType="begin"/>
      </w:r>
      <w:r>
        <w:instrText xml:space="preserve"> HYPERLINK \l "_Toc206073850" </w:instrText>
      </w:r>
      <w:r>
        <w:fldChar w:fldCharType="separate"/>
      </w:r>
      <w:r>
        <w:rPr>
          <w:rStyle w:val="35"/>
        </w:rPr>
        <w:t>4.2</w:t>
      </w:r>
      <w:r>
        <w:rPr>
          <w:szCs w:val="22"/>
        </w:rPr>
        <w:tab/>
      </w:r>
      <w:r>
        <w:rPr>
          <w:rStyle w:val="35"/>
        </w:rPr>
        <w:t xml:space="preserve">VOCs condensation+adsorption recovery </w:t>
      </w:r>
      <w:r>
        <w:rPr>
          <w:rStyle w:val="35"/>
          <w:rFonts w:hint="eastAsia"/>
        </w:rPr>
        <w:t>unit</w:t>
      </w:r>
      <w:r>
        <w:rPr>
          <w:rStyle w:val="35"/>
        </w:rPr>
        <w:t xml:space="preserve"> M&amp;C</w:t>
      </w:r>
      <w:r>
        <w:tab/>
      </w:r>
      <w:r>
        <w:fldChar w:fldCharType="begin"/>
      </w:r>
      <w:r>
        <w:instrText xml:space="preserve"> PAGEREF _Toc206073850 \h </w:instrText>
      </w:r>
      <w:r>
        <w:fldChar w:fldCharType="separate"/>
      </w:r>
      <w:r>
        <w:t>8</w:t>
      </w:r>
      <w:r>
        <w:fldChar w:fldCharType="end"/>
      </w:r>
      <w:r>
        <w:fldChar w:fldCharType="end"/>
      </w:r>
    </w:p>
    <w:p w14:paraId="4DCF2C6E">
      <w:pPr>
        <w:pStyle w:val="25"/>
        <w:rPr>
          <w:szCs w:val="22"/>
        </w:rPr>
      </w:pPr>
      <w:r>
        <w:fldChar w:fldCharType="begin"/>
      </w:r>
      <w:r>
        <w:instrText xml:space="preserve"> HYPERLINK \l "_Toc206073851" </w:instrText>
      </w:r>
      <w:r>
        <w:fldChar w:fldCharType="separate"/>
      </w:r>
      <w:r>
        <w:rPr>
          <w:rStyle w:val="35"/>
        </w:rPr>
        <w:t>4.3</w:t>
      </w:r>
      <w:r>
        <w:rPr>
          <w:szCs w:val="22"/>
        </w:rPr>
        <w:tab/>
      </w:r>
      <w:r>
        <w:rPr>
          <w:rStyle w:val="35"/>
        </w:rPr>
        <w:t xml:space="preserve">VOCs condensation+absorption recovery </w:t>
      </w:r>
      <w:r>
        <w:rPr>
          <w:rStyle w:val="35"/>
          <w:rFonts w:hint="eastAsia"/>
        </w:rPr>
        <w:t>unit</w:t>
      </w:r>
      <w:r>
        <w:rPr>
          <w:rStyle w:val="35"/>
        </w:rPr>
        <w:t xml:space="preserve"> M&amp;C</w:t>
      </w:r>
      <w:r>
        <w:tab/>
      </w:r>
      <w:r>
        <w:fldChar w:fldCharType="begin"/>
      </w:r>
      <w:r>
        <w:instrText xml:space="preserve"> PAGEREF _Toc206073851 \h </w:instrText>
      </w:r>
      <w:r>
        <w:fldChar w:fldCharType="separate"/>
      </w:r>
      <w:r>
        <w:t>8</w:t>
      </w:r>
      <w:r>
        <w:fldChar w:fldCharType="end"/>
      </w:r>
      <w:r>
        <w:fldChar w:fldCharType="end"/>
      </w:r>
    </w:p>
    <w:p w14:paraId="1FE86702">
      <w:pPr>
        <w:pStyle w:val="25"/>
        <w:rPr>
          <w:szCs w:val="22"/>
        </w:rPr>
      </w:pPr>
      <w:r>
        <w:fldChar w:fldCharType="begin"/>
      </w:r>
      <w:r>
        <w:instrText xml:space="preserve"> HYPERLINK \l "_Toc206073852" </w:instrText>
      </w:r>
      <w:r>
        <w:fldChar w:fldCharType="separate"/>
      </w:r>
      <w:r>
        <w:rPr>
          <w:rStyle w:val="35"/>
        </w:rPr>
        <w:t>4.4</w:t>
      </w:r>
      <w:r>
        <w:rPr>
          <w:szCs w:val="22"/>
        </w:rPr>
        <w:tab/>
      </w:r>
      <w:r>
        <w:rPr>
          <w:rStyle w:val="35"/>
        </w:rPr>
        <w:t xml:space="preserve">VOCs condensation+membrane separation recovery </w:t>
      </w:r>
      <w:r>
        <w:rPr>
          <w:rStyle w:val="35"/>
          <w:rFonts w:hint="eastAsia"/>
        </w:rPr>
        <w:t>unit</w:t>
      </w:r>
      <w:r>
        <w:rPr>
          <w:rStyle w:val="35"/>
        </w:rPr>
        <w:t xml:space="preserve"> M&amp;C</w:t>
      </w:r>
      <w:r>
        <w:tab/>
      </w:r>
      <w:r>
        <w:fldChar w:fldCharType="begin"/>
      </w:r>
      <w:r>
        <w:instrText xml:space="preserve"> PAGEREF _Toc206073852 \h </w:instrText>
      </w:r>
      <w:r>
        <w:fldChar w:fldCharType="separate"/>
      </w:r>
      <w:r>
        <w:t>8</w:t>
      </w:r>
      <w:r>
        <w:fldChar w:fldCharType="end"/>
      </w:r>
      <w:r>
        <w:fldChar w:fldCharType="end"/>
      </w:r>
    </w:p>
    <w:p w14:paraId="31C4728C">
      <w:pPr>
        <w:pStyle w:val="22"/>
        <w:rPr>
          <w:sz w:val="21"/>
          <w:szCs w:val="22"/>
        </w:rPr>
      </w:pPr>
      <w:r>
        <w:fldChar w:fldCharType="begin"/>
      </w:r>
      <w:r>
        <w:instrText xml:space="preserve"> HYPERLINK \l "_Toc206073853" </w:instrText>
      </w:r>
      <w:r>
        <w:fldChar w:fldCharType="separate"/>
      </w:r>
      <w:r>
        <w:rPr>
          <w:rStyle w:val="35"/>
          <w:sz w:val="21"/>
          <w:szCs w:val="21"/>
        </w:rPr>
        <w:t>5</w:t>
      </w:r>
      <w:r>
        <w:rPr>
          <w:sz w:val="21"/>
          <w:szCs w:val="21"/>
        </w:rPr>
        <w:tab/>
      </w:r>
      <w:r>
        <w:rPr>
          <w:rStyle w:val="35"/>
          <w:sz w:val="21"/>
          <w:szCs w:val="21"/>
        </w:rPr>
        <w:t>Control system</w:t>
      </w:r>
      <w:r>
        <w:tab/>
      </w:r>
      <w:r>
        <w:rPr>
          <w:sz w:val="21"/>
          <w:szCs w:val="21"/>
        </w:rPr>
        <w:fldChar w:fldCharType="begin"/>
      </w:r>
      <w:r>
        <w:rPr>
          <w:sz w:val="21"/>
          <w:szCs w:val="21"/>
        </w:rPr>
        <w:instrText xml:space="preserve"> PAGEREF _Toc206073853 \h </w:instrText>
      </w:r>
      <w:r>
        <w:rPr>
          <w:sz w:val="21"/>
          <w:szCs w:val="21"/>
        </w:rPr>
        <w:fldChar w:fldCharType="separate"/>
      </w:r>
      <w:r>
        <w:rPr>
          <w:sz w:val="21"/>
          <w:szCs w:val="21"/>
        </w:rPr>
        <w:t>10</w:t>
      </w:r>
      <w:r>
        <w:rPr>
          <w:sz w:val="21"/>
          <w:szCs w:val="21"/>
        </w:rPr>
        <w:fldChar w:fldCharType="end"/>
      </w:r>
      <w:r>
        <w:fldChar w:fldCharType="end"/>
      </w:r>
    </w:p>
    <w:p w14:paraId="586B2EE3">
      <w:pPr>
        <w:pStyle w:val="25"/>
        <w:rPr>
          <w:szCs w:val="22"/>
        </w:rPr>
      </w:pPr>
      <w:r>
        <w:fldChar w:fldCharType="begin"/>
      </w:r>
      <w:r>
        <w:instrText xml:space="preserve"> HYPERLINK \l "_Toc206073854" </w:instrText>
      </w:r>
      <w:r>
        <w:fldChar w:fldCharType="separate"/>
      </w:r>
      <w:r>
        <w:rPr>
          <w:rStyle w:val="35"/>
        </w:rPr>
        <w:t>5.1</w:t>
      </w:r>
      <w:r>
        <w:rPr>
          <w:szCs w:val="22"/>
        </w:rPr>
        <w:tab/>
      </w:r>
      <w:r>
        <w:rPr>
          <w:rStyle w:val="35"/>
        </w:rPr>
        <w:t>Basic process control system（BPCS）</w:t>
      </w:r>
      <w:r>
        <w:tab/>
      </w:r>
      <w:r>
        <w:fldChar w:fldCharType="begin"/>
      </w:r>
      <w:r>
        <w:instrText xml:space="preserve"> PAGEREF _Toc206073854 \h </w:instrText>
      </w:r>
      <w:r>
        <w:fldChar w:fldCharType="separate"/>
      </w:r>
      <w:r>
        <w:t>10</w:t>
      </w:r>
      <w:r>
        <w:fldChar w:fldCharType="end"/>
      </w:r>
      <w:r>
        <w:fldChar w:fldCharType="end"/>
      </w:r>
    </w:p>
    <w:p w14:paraId="22F2A5FD">
      <w:pPr>
        <w:pStyle w:val="25"/>
        <w:rPr>
          <w:szCs w:val="22"/>
        </w:rPr>
      </w:pPr>
      <w:r>
        <w:fldChar w:fldCharType="begin"/>
      </w:r>
      <w:r>
        <w:instrText xml:space="preserve"> HYPERLINK \l "_Toc206073855" </w:instrText>
      </w:r>
      <w:r>
        <w:fldChar w:fldCharType="separate"/>
      </w:r>
      <w:r>
        <w:rPr>
          <w:rStyle w:val="35"/>
        </w:rPr>
        <w:t>5.2</w:t>
      </w:r>
      <w:r>
        <w:rPr>
          <w:szCs w:val="22"/>
        </w:rPr>
        <w:tab/>
      </w:r>
      <w:r>
        <w:rPr>
          <w:rStyle w:val="35"/>
        </w:rPr>
        <w:t>Gas detection and alarm system（GDS）</w:t>
      </w:r>
      <w:r>
        <w:tab/>
      </w:r>
      <w:r>
        <w:fldChar w:fldCharType="begin"/>
      </w:r>
      <w:r>
        <w:instrText xml:space="preserve"> PAGEREF _Toc206073855 \h </w:instrText>
      </w:r>
      <w:r>
        <w:fldChar w:fldCharType="separate"/>
      </w:r>
      <w:r>
        <w:t>10</w:t>
      </w:r>
      <w:r>
        <w:fldChar w:fldCharType="end"/>
      </w:r>
      <w:r>
        <w:fldChar w:fldCharType="end"/>
      </w:r>
    </w:p>
    <w:p w14:paraId="51D6A77C">
      <w:pPr>
        <w:pStyle w:val="22"/>
        <w:rPr>
          <w:sz w:val="21"/>
          <w:szCs w:val="22"/>
        </w:rPr>
      </w:pPr>
      <w:r>
        <w:fldChar w:fldCharType="begin"/>
      </w:r>
      <w:r>
        <w:instrText xml:space="preserve"> HYPERLINK \l "_Toc206073856" </w:instrText>
      </w:r>
      <w:r>
        <w:fldChar w:fldCharType="separate"/>
      </w:r>
      <w:r>
        <w:rPr>
          <w:rStyle w:val="35"/>
          <w:sz w:val="21"/>
          <w:szCs w:val="21"/>
        </w:rPr>
        <w:t>6</w:t>
      </w:r>
      <w:r>
        <w:rPr>
          <w:sz w:val="21"/>
          <w:szCs w:val="21"/>
        </w:rPr>
        <w:tab/>
      </w:r>
      <w:r>
        <w:rPr>
          <w:rStyle w:val="35"/>
          <w:sz w:val="21"/>
          <w:szCs w:val="21"/>
        </w:rPr>
        <w:t>Measurement instrument</w:t>
      </w:r>
      <w:r>
        <w:tab/>
      </w:r>
      <w:r>
        <w:rPr>
          <w:sz w:val="21"/>
          <w:szCs w:val="21"/>
        </w:rPr>
        <w:fldChar w:fldCharType="begin"/>
      </w:r>
      <w:r>
        <w:rPr>
          <w:sz w:val="21"/>
          <w:szCs w:val="21"/>
        </w:rPr>
        <w:instrText xml:space="preserve"> PAGEREF _Toc206073856 \h </w:instrText>
      </w:r>
      <w:r>
        <w:rPr>
          <w:sz w:val="21"/>
          <w:szCs w:val="21"/>
        </w:rPr>
        <w:fldChar w:fldCharType="separate"/>
      </w:r>
      <w:r>
        <w:rPr>
          <w:sz w:val="21"/>
          <w:szCs w:val="21"/>
        </w:rPr>
        <w:t>11</w:t>
      </w:r>
      <w:r>
        <w:rPr>
          <w:sz w:val="21"/>
          <w:szCs w:val="21"/>
        </w:rPr>
        <w:fldChar w:fldCharType="end"/>
      </w:r>
      <w:r>
        <w:fldChar w:fldCharType="end"/>
      </w:r>
    </w:p>
    <w:p w14:paraId="32E43250">
      <w:pPr>
        <w:pStyle w:val="25"/>
        <w:rPr>
          <w:szCs w:val="22"/>
        </w:rPr>
      </w:pPr>
      <w:r>
        <w:fldChar w:fldCharType="begin"/>
      </w:r>
      <w:r>
        <w:instrText xml:space="preserve"> HYPERLINK \l "_Toc206073857" </w:instrText>
      </w:r>
      <w:r>
        <w:fldChar w:fldCharType="separate"/>
      </w:r>
      <w:r>
        <w:rPr>
          <w:rStyle w:val="35"/>
        </w:rPr>
        <w:t>6.1</w:t>
      </w:r>
      <w:r>
        <w:rPr>
          <w:szCs w:val="22"/>
        </w:rPr>
        <w:tab/>
      </w:r>
      <w:r>
        <w:rPr>
          <w:rStyle w:val="35"/>
        </w:rPr>
        <w:t>General</w:t>
      </w:r>
      <w:r>
        <w:rPr>
          <w:rStyle w:val="35"/>
          <w:rFonts w:hint="eastAsia"/>
          <w:lang w:val="en-US" w:eastAsia="zh-CN"/>
        </w:rPr>
        <w:t xml:space="preserve"> requirement</w:t>
      </w:r>
      <w:r>
        <w:tab/>
      </w:r>
      <w:r>
        <w:fldChar w:fldCharType="begin"/>
      </w:r>
      <w:r>
        <w:instrText xml:space="preserve"> PAGEREF _Toc206073857 \h </w:instrText>
      </w:r>
      <w:r>
        <w:fldChar w:fldCharType="separate"/>
      </w:r>
      <w:r>
        <w:t>11</w:t>
      </w:r>
      <w:r>
        <w:fldChar w:fldCharType="end"/>
      </w:r>
      <w:r>
        <w:fldChar w:fldCharType="end"/>
      </w:r>
    </w:p>
    <w:p w14:paraId="776B00F9">
      <w:pPr>
        <w:pStyle w:val="25"/>
        <w:rPr>
          <w:szCs w:val="22"/>
        </w:rPr>
      </w:pPr>
      <w:r>
        <w:fldChar w:fldCharType="begin"/>
      </w:r>
      <w:r>
        <w:instrText xml:space="preserve"> HYPERLINK \l "_Toc206073858" </w:instrText>
      </w:r>
      <w:r>
        <w:fldChar w:fldCharType="separate"/>
      </w:r>
      <w:r>
        <w:rPr>
          <w:rStyle w:val="35"/>
        </w:rPr>
        <w:t>6.2</w:t>
      </w:r>
      <w:r>
        <w:rPr>
          <w:szCs w:val="22"/>
        </w:rPr>
        <w:tab/>
      </w:r>
      <w:r>
        <w:rPr>
          <w:rStyle w:val="35"/>
        </w:rPr>
        <w:t>Temperature instruments</w:t>
      </w:r>
      <w:r>
        <w:tab/>
      </w:r>
      <w:r>
        <w:fldChar w:fldCharType="begin"/>
      </w:r>
      <w:r>
        <w:instrText xml:space="preserve"> PAGEREF _Toc206073858 \h </w:instrText>
      </w:r>
      <w:r>
        <w:fldChar w:fldCharType="separate"/>
      </w:r>
      <w:r>
        <w:t>11</w:t>
      </w:r>
      <w:r>
        <w:fldChar w:fldCharType="end"/>
      </w:r>
      <w:r>
        <w:fldChar w:fldCharType="end"/>
      </w:r>
    </w:p>
    <w:p w14:paraId="5F114F75">
      <w:pPr>
        <w:pStyle w:val="25"/>
        <w:rPr>
          <w:szCs w:val="22"/>
        </w:rPr>
      </w:pPr>
      <w:r>
        <w:fldChar w:fldCharType="begin"/>
      </w:r>
      <w:r>
        <w:instrText xml:space="preserve"> HYPERLINK \l "_Toc206073859" </w:instrText>
      </w:r>
      <w:r>
        <w:fldChar w:fldCharType="separate"/>
      </w:r>
      <w:r>
        <w:rPr>
          <w:rStyle w:val="35"/>
        </w:rPr>
        <w:t>6.3</w:t>
      </w:r>
      <w:r>
        <w:rPr>
          <w:szCs w:val="22"/>
        </w:rPr>
        <w:tab/>
      </w:r>
      <w:r>
        <w:rPr>
          <w:rStyle w:val="35"/>
        </w:rPr>
        <w:t>Pressure instruments</w:t>
      </w:r>
      <w:r>
        <w:tab/>
      </w:r>
      <w:r>
        <w:fldChar w:fldCharType="begin"/>
      </w:r>
      <w:r>
        <w:instrText xml:space="preserve"> PAGEREF _Toc206073859 \h </w:instrText>
      </w:r>
      <w:r>
        <w:fldChar w:fldCharType="separate"/>
      </w:r>
      <w:r>
        <w:t>11</w:t>
      </w:r>
      <w:r>
        <w:fldChar w:fldCharType="end"/>
      </w:r>
      <w:r>
        <w:fldChar w:fldCharType="end"/>
      </w:r>
    </w:p>
    <w:p w14:paraId="36223736">
      <w:pPr>
        <w:pStyle w:val="25"/>
        <w:rPr>
          <w:szCs w:val="22"/>
        </w:rPr>
      </w:pPr>
      <w:r>
        <w:fldChar w:fldCharType="begin"/>
      </w:r>
      <w:r>
        <w:instrText xml:space="preserve"> HYPERLINK \l "_Toc206073860" </w:instrText>
      </w:r>
      <w:r>
        <w:fldChar w:fldCharType="separate"/>
      </w:r>
      <w:r>
        <w:rPr>
          <w:rStyle w:val="35"/>
        </w:rPr>
        <w:t>6.4</w:t>
      </w:r>
      <w:r>
        <w:rPr>
          <w:szCs w:val="22"/>
        </w:rPr>
        <w:tab/>
      </w:r>
      <w:r>
        <w:rPr>
          <w:rStyle w:val="35"/>
        </w:rPr>
        <w:t>Flow instruments</w:t>
      </w:r>
      <w:r>
        <w:tab/>
      </w:r>
      <w:r>
        <w:fldChar w:fldCharType="begin"/>
      </w:r>
      <w:r>
        <w:instrText xml:space="preserve"> PAGEREF _Toc206073860 \h </w:instrText>
      </w:r>
      <w:r>
        <w:fldChar w:fldCharType="separate"/>
      </w:r>
      <w:r>
        <w:t>11</w:t>
      </w:r>
      <w:r>
        <w:fldChar w:fldCharType="end"/>
      </w:r>
      <w:r>
        <w:fldChar w:fldCharType="end"/>
      </w:r>
    </w:p>
    <w:p w14:paraId="59ACE82F">
      <w:pPr>
        <w:pStyle w:val="25"/>
        <w:rPr>
          <w:szCs w:val="22"/>
        </w:rPr>
      </w:pPr>
      <w:r>
        <w:fldChar w:fldCharType="begin"/>
      </w:r>
      <w:r>
        <w:instrText xml:space="preserve"> HYPERLINK \l "_Toc206073861" </w:instrText>
      </w:r>
      <w:r>
        <w:fldChar w:fldCharType="separate"/>
      </w:r>
      <w:r>
        <w:rPr>
          <w:rStyle w:val="35"/>
        </w:rPr>
        <w:t>6.5</w:t>
      </w:r>
      <w:r>
        <w:rPr>
          <w:szCs w:val="22"/>
        </w:rPr>
        <w:tab/>
      </w:r>
      <w:r>
        <w:rPr>
          <w:rStyle w:val="35"/>
        </w:rPr>
        <w:t>Level instruments</w:t>
      </w:r>
      <w:r>
        <w:tab/>
      </w:r>
      <w:r>
        <w:fldChar w:fldCharType="begin"/>
      </w:r>
      <w:r>
        <w:instrText xml:space="preserve"> PAGEREF _Toc206073861 \h </w:instrText>
      </w:r>
      <w:r>
        <w:fldChar w:fldCharType="separate"/>
      </w:r>
      <w:r>
        <w:t>12</w:t>
      </w:r>
      <w:r>
        <w:fldChar w:fldCharType="end"/>
      </w:r>
      <w:r>
        <w:fldChar w:fldCharType="end"/>
      </w:r>
    </w:p>
    <w:p w14:paraId="59543D8C">
      <w:pPr>
        <w:pStyle w:val="25"/>
        <w:rPr>
          <w:szCs w:val="22"/>
        </w:rPr>
      </w:pPr>
      <w:r>
        <w:fldChar w:fldCharType="begin"/>
      </w:r>
      <w:r>
        <w:instrText xml:space="preserve"> HYPERLINK \l "_Toc206073862" </w:instrText>
      </w:r>
      <w:r>
        <w:fldChar w:fldCharType="separate"/>
      </w:r>
      <w:r>
        <w:rPr>
          <w:rStyle w:val="35"/>
        </w:rPr>
        <w:t>6.6</w:t>
      </w:r>
      <w:r>
        <w:rPr>
          <w:szCs w:val="22"/>
        </w:rPr>
        <w:tab/>
      </w:r>
      <w:r>
        <w:rPr>
          <w:rStyle w:val="35"/>
        </w:rPr>
        <w:t>Analysis instruments</w:t>
      </w:r>
      <w:r>
        <w:tab/>
      </w:r>
      <w:r>
        <w:fldChar w:fldCharType="begin"/>
      </w:r>
      <w:r>
        <w:instrText xml:space="preserve"> PAGEREF _Toc206073862 \h </w:instrText>
      </w:r>
      <w:r>
        <w:fldChar w:fldCharType="separate"/>
      </w:r>
      <w:r>
        <w:t>12</w:t>
      </w:r>
      <w:r>
        <w:fldChar w:fldCharType="end"/>
      </w:r>
      <w:r>
        <w:fldChar w:fldCharType="end"/>
      </w:r>
    </w:p>
    <w:p w14:paraId="0FCA01F9">
      <w:pPr>
        <w:pStyle w:val="25"/>
        <w:rPr>
          <w:szCs w:val="22"/>
        </w:rPr>
      </w:pPr>
      <w:r>
        <w:fldChar w:fldCharType="begin"/>
      </w:r>
      <w:r>
        <w:instrText xml:space="preserve"> HYPERLINK \l "_Toc206073863" </w:instrText>
      </w:r>
      <w:r>
        <w:fldChar w:fldCharType="separate"/>
      </w:r>
      <w:r>
        <w:rPr>
          <w:rStyle w:val="35"/>
        </w:rPr>
        <w:t>6.7</w:t>
      </w:r>
      <w:r>
        <w:rPr>
          <w:szCs w:val="22"/>
        </w:rPr>
        <w:tab/>
      </w:r>
      <w:r>
        <w:rPr>
          <w:rStyle w:val="35"/>
        </w:rPr>
        <w:t>Control valves</w:t>
      </w:r>
      <w:r>
        <w:tab/>
      </w:r>
      <w:r>
        <w:fldChar w:fldCharType="begin"/>
      </w:r>
      <w:r>
        <w:instrText xml:space="preserve"> PAGEREF _Toc206073863 \h </w:instrText>
      </w:r>
      <w:r>
        <w:fldChar w:fldCharType="separate"/>
      </w:r>
      <w:r>
        <w:t>13</w:t>
      </w:r>
      <w:r>
        <w:fldChar w:fldCharType="end"/>
      </w:r>
      <w:r>
        <w:fldChar w:fldCharType="end"/>
      </w:r>
    </w:p>
    <w:p w14:paraId="53BA6654">
      <w:pPr>
        <w:pStyle w:val="22"/>
        <w:rPr>
          <w:sz w:val="21"/>
          <w:szCs w:val="22"/>
        </w:rPr>
      </w:pPr>
      <w:r>
        <w:fldChar w:fldCharType="begin"/>
      </w:r>
      <w:r>
        <w:instrText xml:space="preserve"> HYPERLINK \l "_Toc206073864" </w:instrText>
      </w:r>
      <w:r>
        <w:fldChar w:fldCharType="separate"/>
      </w:r>
      <w:r>
        <w:rPr>
          <w:rStyle w:val="35"/>
          <w:sz w:val="21"/>
          <w:szCs w:val="21"/>
        </w:rPr>
        <w:t>7</w:t>
      </w:r>
      <w:r>
        <w:rPr>
          <w:sz w:val="21"/>
          <w:szCs w:val="21"/>
        </w:rPr>
        <w:tab/>
      </w:r>
      <w:r>
        <w:rPr>
          <w:rStyle w:val="35"/>
          <w:sz w:val="21"/>
          <w:szCs w:val="21"/>
        </w:rPr>
        <w:t>Emission monitoring s</w:t>
      </w:r>
      <w:r>
        <w:rPr>
          <w:rStyle w:val="35"/>
          <w:rFonts w:hint="eastAsia"/>
          <w:sz w:val="21"/>
          <w:szCs w:val="21"/>
        </w:rPr>
        <w:t>ystem</w:t>
      </w:r>
      <w:r>
        <w:tab/>
      </w:r>
      <w:r>
        <w:rPr>
          <w:sz w:val="21"/>
          <w:szCs w:val="21"/>
        </w:rPr>
        <w:fldChar w:fldCharType="begin"/>
      </w:r>
      <w:r>
        <w:rPr>
          <w:sz w:val="21"/>
          <w:szCs w:val="21"/>
        </w:rPr>
        <w:instrText xml:space="preserve"> PAGEREF _Toc206073864 \h </w:instrText>
      </w:r>
      <w:r>
        <w:rPr>
          <w:sz w:val="21"/>
          <w:szCs w:val="21"/>
        </w:rPr>
        <w:fldChar w:fldCharType="separate"/>
      </w:r>
      <w:r>
        <w:rPr>
          <w:sz w:val="21"/>
          <w:szCs w:val="21"/>
        </w:rPr>
        <w:t>15</w:t>
      </w:r>
      <w:r>
        <w:rPr>
          <w:sz w:val="21"/>
          <w:szCs w:val="21"/>
        </w:rPr>
        <w:fldChar w:fldCharType="end"/>
      </w:r>
      <w:r>
        <w:fldChar w:fldCharType="end"/>
      </w:r>
    </w:p>
    <w:p w14:paraId="30F47930">
      <w:pPr>
        <w:pStyle w:val="25"/>
        <w:rPr>
          <w:szCs w:val="22"/>
        </w:rPr>
      </w:pPr>
      <w:r>
        <w:fldChar w:fldCharType="begin"/>
      </w:r>
      <w:r>
        <w:instrText xml:space="preserve"> HYPERLINK \l "_Toc206073865" </w:instrText>
      </w:r>
      <w:r>
        <w:fldChar w:fldCharType="separate"/>
      </w:r>
      <w:r>
        <w:rPr>
          <w:rStyle w:val="35"/>
        </w:rPr>
        <w:t>7.1</w:t>
      </w:r>
      <w:r>
        <w:rPr>
          <w:szCs w:val="22"/>
        </w:rPr>
        <w:tab/>
      </w:r>
      <w:r>
        <w:rPr>
          <w:rStyle w:val="35"/>
        </w:rPr>
        <w:t>General</w:t>
      </w:r>
      <w:r>
        <w:rPr>
          <w:rStyle w:val="35"/>
          <w:rFonts w:hint="eastAsia"/>
          <w:lang w:val="en-US" w:eastAsia="zh-CN"/>
        </w:rPr>
        <w:t xml:space="preserve"> requirement</w:t>
      </w:r>
      <w:r>
        <w:tab/>
      </w:r>
      <w:r>
        <w:fldChar w:fldCharType="begin"/>
      </w:r>
      <w:r>
        <w:instrText xml:space="preserve"> PAGEREF _Toc206073865 \h </w:instrText>
      </w:r>
      <w:r>
        <w:fldChar w:fldCharType="separate"/>
      </w:r>
      <w:r>
        <w:t>15</w:t>
      </w:r>
      <w:r>
        <w:fldChar w:fldCharType="end"/>
      </w:r>
      <w:r>
        <w:fldChar w:fldCharType="end"/>
      </w:r>
    </w:p>
    <w:p w14:paraId="2DD9E3A8">
      <w:pPr>
        <w:pStyle w:val="25"/>
        <w:rPr>
          <w:szCs w:val="22"/>
        </w:rPr>
      </w:pPr>
      <w:r>
        <w:fldChar w:fldCharType="begin"/>
      </w:r>
      <w:r>
        <w:instrText xml:space="preserve"> HYPERLINK \l "_Toc206073866" </w:instrText>
      </w:r>
      <w:r>
        <w:fldChar w:fldCharType="separate"/>
      </w:r>
      <w:r>
        <w:rPr>
          <w:rStyle w:val="35"/>
        </w:rPr>
        <w:t>7.2</w:t>
      </w:r>
      <w:r>
        <w:rPr>
          <w:szCs w:val="22"/>
        </w:rPr>
        <w:tab/>
      </w:r>
      <w:r>
        <w:rPr>
          <w:szCs w:val="22"/>
        </w:rPr>
        <w:t>E</w:t>
      </w:r>
      <w:r>
        <w:rPr>
          <w:rFonts w:hint="eastAsia"/>
          <w:szCs w:val="22"/>
        </w:rPr>
        <w:t>mission</w:t>
      </w:r>
      <w:r>
        <w:rPr>
          <w:szCs w:val="22"/>
        </w:rPr>
        <w:t xml:space="preserve"> m</w:t>
      </w:r>
      <w:r>
        <w:rPr>
          <w:rFonts w:hint="eastAsia"/>
          <w:szCs w:val="22"/>
        </w:rPr>
        <w:t>onitoring</w:t>
      </w:r>
      <w:r>
        <w:rPr>
          <w:szCs w:val="22"/>
        </w:rPr>
        <w:t xml:space="preserve"> s</w:t>
      </w:r>
      <w:r>
        <w:rPr>
          <w:rFonts w:hint="eastAsia"/>
          <w:szCs w:val="22"/>
        </w:rPr>
        <w:t>ytem</w:t>
      </w:r>
      <w:r>
        <w:rPr>
          <w:szCs w:val="22"/>
        </w:rPr>
        <w:t xml:space="preserve"> c</w:t>
      </w:r>
      <w:r>
        <w:rPr>
          <w:rFonts w:hint="eastAsia"/>
          <w:szCs w:val="22"/>
        </w:rPr>
        <w:t>omposition</w:t>
      </w:r>
      <w:r>
        <w:tab/>
      </w:r>
      <w:r>
        <w:fldChar w:fldCharType="begin"/>
      </w:r>
      <w:r>
        <w:instrText xml:space="preserve"> PAGEREF _Toc206073866 \h </w:instrText>
      </w:r>
      <w:r>
        <w:fldChar w:fldCharType="separate"/>
      </w:r>
      <w:r>
        <w:t>15</w:t>
      </w:r>
      <w:r>
        <w:fldChar w:fldCharType="end"/>
      </w:r>
      <w:r>
        <w:fldChar w:fldCharType="end"/>
      </w:r>
    </w:p>
    <w:p w14:paraId="1AFF66DF">
      <w:pPr>
        <w:pStyle w:val="25"/>
        <w:rPr>
          <w:szCs w:val="22"/>
        </w:rPr>
      </w:pPr>
      <w:r>
        <w:fldChar w:fldCharType="begin"/>
      </w:r>
      <w:r>
        <w:instrText xml:space="preserve"> HYPERLINK \l "_Toc206073867" </w:instrText>
      </w:r>
      <w:r>
        <w:fldChar w:fldCharType="separate"/>
      </w:r>
      <w:r>
        <w:rPr>
          <w:rStyle w:val="35"/>
        </w:rPr>
        <w:t>7.3</w:t>
      </w:r>
      <w:r>
        <w:rPr>
          <w:szCs w:val="22"/>
        </w:rPr>
        <w:tab/>
      </w:r>
      <w:r>
        <w:rPr>
          <w:rStyle w:val="35"/>
        </w:rPr>
        <w:t>Dat</w:t>
      </w:r>
      <w:r>
        <w:rPr>
          <w:rStyle w:val="35"/>
          <w:rFonts w:hint="eastAsia"/>
        </w:rPr>
        <w:t>a</w:t>
      </w:r>
      <w:r>
        <w:rPr>
          <w:rStyle w:val="35"/>
        </w:rPr>
        <w:t xml:space="preserve"> collection and transmission</w:t>
      </w:r>
      <w:r>
        <w:tab/>
      </w:r>
      <w:r>
        <w:fldChar w:fldCharType="begin"/>
      </w:r>
      <w:r>
        <w:instrText xml:space="preserve"> PAGEREF _Toc206073867 \h </w:instrText>
      </w:r>
      <w:r>
        <w:fldChar w:fldCharType="separate"/>
      </w:r>
      <w:r>
        <w:t>15</w:t>
      </w:r>
      <w:r>
        <w:fldChar w:fldCharType="end"/>
      </w:r>
      <w:r>
        <w:fldChar w:fldCharType="end"/>
      </w:r>
    </w:p>
    <w:p w14:paraId="531A2D63">
      <w:pPr>
        <w:pStyle w:val="22"/>
        <w:rPr>
          <w:sz w:val="21"/>
          <w:szCs w:val="22"/>
        </w:rPr>
      </w:pPr>
      <w:r>
        <w:fldChar w:fldCharType="begin"/>
      </w:r>
      <w:r>
        <w:instrText xml:space="preserve"> HYPERLINK \l "_Toc206073868" </w:instrText>
      </w:r>
      <w:r>
        <w:fldChar w:fldCharType="separate"/>
      </w:r>
      <w:r>
        <w:rPr>
          <w:rStyle w:val="35"/>
          <w:sz w:val="21"/>
          <w:szCs w:val="21"/>
        </w:rPr>
        <w:t>8</w:t>
      </w:r>
      <w:r>
        <w:rPr>
          <w:sz w:val="21"/>
          <w:szCs w:val="21"/>
        </w:rPr>
        <w:tab/>
      </w:r>
      <w:r>
        <w:rPr>
          <w:rStyle w:val="35"/>
          <w:sz w:val="21"/>
          <w:szCs w:val="21"/>
        </w:rPr>
        <w:t>Monitoring station house</w:t>
      </w:r>
      <w:r>
        <w:tab/>
      </w:r>
      <w:r>
        <w:rPr>
          <w:sz w:val="21"/>
          <w:szCs w:val="21"/>
        </w:rPr>
        <w:fldChar w:fldCharType="begin"/>
      </w:r>
      <w:r>
        <w:rPr>
          <w:sz w:val="21"/>
          <w:szCs w:val="21"/>
        </w:rPr>
        <w:instrText xml:space="preserve"> PAGEREF _Toc206073868 \h </w:instrText>
      </w:r>
      <w:r>
        <w:rPr>
          <w:sz w:val="21"/>
          <w:szCs w:val="21"/>
        </w:rPr>
        <w:fldChar w:fldCharType="separate"/>
      </w:r>
      <w:r>
        <w:rPr>
          <w:sz w:val="21"/>
          <w:szCs w:val="21"/>
        </w:rPr>
        <w:t>16</w:t>
      </w:r>
      <w:r>
        <w:rPr>
          <w:sz w:val="21"/>
          <w:szCs w:val="21"/>
        </w:rPr>
        <w:fldChar w:fldCharType="end"/>
      </w:r>
      <w:r>
        <w:fldChar w:fldCharType="end"/>
      </w:r>
    </w:p>
    <w:p w14:paraId="2E4C0788">
      <w:pPr>
        <w:pStyle w:val="22"/>
        <w:rPr>
          <w:sz w:val="21"/>
          <w:szCs w:val="22"/>
        </w:rPr>
      </w:pPr>
      <w:r>
        <w:fldChar w:fldCharType="begin"/>
      </w:r>
      <w:r>
        <w:instrText xml:space="preserve"> HYPERLINK \l "_Toc206073869" </w:instrText>
      </w:r>
      <w:r>
        <w:fldChar w:fldCharType="separate"/>
      </w:r>
      <w:r>
        <w:rPr>
          <w:rStyle w:val="35"/>
          <w:sz w:val="21"/>
          <w:szCs w:val="21"/>
        </w:rPr>
        <w:t>9</w:t>
      </w:r>
      <w:r>
        <w:rPr>
          <w:sz w:val="21"/>
          <w:szCs w:val="21"/>
        </w:rPr>
        <w:tab/>
      </w:r>
      <w:r>
        <w:rPr>
          <w:rStyle w:val="35"/>
          <w:sz w:val="21"/>
          <w:szCs w:val="21"/>
        </w:rPr>
        <w:t>Installation design</w:t>
      </w:r>
      <w:r>
        <w:tab/>
      </w:r>
      <w:r>
        <w:rPr>
          <w:sz w:val="21"/>
          <w:szCs w:val="21"/>
        </w:rPr>
        <w:fldChar w:fldCharType="begin"/>
      </w:r>
      <w:r>
        <w:rPr>
          <w:sz w:val="21"/>
          <w:szCs w:val="21"/>
        </w:rPr>
        <w:instrText xml:space="preserve"> PAGEREF _Toc206073869 \h </w:instrText>
      </w:r>
      <w:r>
        <w:rPr>
          <w:sz w:val="21"/>
          <w:szCs w:val="21"/>
        </w:rPr>
        <w:fldChar w:fldCharType="separate"/>
      </w:r>
      <w:r>
        <w:rPr>
          <w:sz w:val="21"/>
          <w:szCs w:val="21"/>
        </w:rPr>
        <w:t>17</w:t>
      </w:r>
      <w:r>
        <w:rPr>
          <w:sz w:val="21"/>
          <w:szCs w:val="21"/>
        </w:rPr>
        <w:fldChar w:fldCharType="end"/>
      </w:r>
      <w:r>
        <w:fldChar w:fldCharType="end"/>
      </w:r>
    </w:p>
    <w:p w14:paraId="35C9BAB5">
      <w:pPr>
        <w:pStyle w:val="25"/>
        <w:rPr>
          <w:szCs w:val="22"/>
        </w:rPr>
      </w:pPr>
      <w:r>
        <w:fldChar w:fldCharType="begin"/>
      </w:r>
      <w:r>
        <w:instrText xml:space="preserve"> HYPERLINK \l "_Toc206073870" </w:instrText>
      </w:r>
      <w:r>
        <w:fldChar w:fldCharType="separate"/>
      </w:r>
      <w:r>
        <w:rPr>
          <w:rStyle w:val="35"/>
        </w:rPr>
        <w:t>9.1</w:t>
      </w:r>
      <w:r>
        <w:rPr>
          <w:szCs w:val="22"/>
        </w:rPr>
        <w:tab/>
      </w:r>
      <w:r>
        <w:rPr>
          <w:rStyle w:val="35"/>
        </w:rPr>
        <w:t>General</w:t>
      </w:r>
      <w:r>
        <w:rPr>
          <w:rStyle w:val="35"/>
          <w:rFonts w:hint="eastAsia"/>
          <w:lang w:val="en-US" w:eastAsia="zh-CN"/>
        </w:rPr>
        <w:t xml:space="preserve"> requirement</w:t>
      </w:r>
      <w:r>
        <w:tab/>
      </w:r>
      <w:r>
        <w:fldChar w:fldCharType="begin"/>
      </w:r>
      <w:r>
        <w:instrText xml:space="preserve"> PAGEREF _Toc206073870 \h </w:instrText>
      </w:r>
      <w:r>
        <w:fldChar w:fldCharType="separate"/>
      </w:r>
      <w:r>
        <w:t>17</w:t>
      </w:r>
      <w:r>
        <w:fldChar w:fldCharType="end"/>
      </w:r>
      <w:r>
        <w:fldChar w:fldCharType="end"/>
      </w:r>
    </w:p>
    <w:p w14:paraId="170C847A">
      <w:pPr>
        <w:pStyle w:val="25"/>
        <w:rPr>
          <w:szCs w:val="22"/>
        </w:rPr>
      </w:pPr>
      <w:r>
        <w:fldChar w:fldCharType="begin"/>
      </w:r>
      <w:r>
        <w:instrText xml:space="preserve"> HYPERLINK \l "_Toc206073871" </w:instrText>
      </w:r>
      <w:r>
        <w:fldChar w:fldCharType="separate"/>
      </w:r>
      <w:r>
        <w:rPr>
          <w:rStyle w:val="35"/>
        </w:rPr>
        <w:t>9.2</w:t>
      </w:r>
      <w:r>
        <w:rPr>
          <w:szCs w:val="22"/>
        </w:rPr>
        <w:tab/>
      </w:r>
      <w:r>
        <w:rPr>
          <w:rStyle w:val="35"/>
        </w:rPr>
        <w:t>Instrument piping and wiring</w:t>
      </w:r>
      <w:r>
        <w:tab/>
      </w:r>
      <w:r>
        <w:fldChar w:fldCharType="begin"/>
      </w:r>
      <w:r>
        <w:instrText xml:space="preserve"> PAGEREF _Toc206073871 \h </w:instrText>
      </w:r>
      <w:r>
        <w:fldChar w:fldCharType="separate"/>
      </w:r>
      <w:r>
        <w:t>17</w:t>
      </w:r>
      <w:r>
        <w:fldChar w:fldCharType="end"/>
      </w:r>
      <w:r>
        <w:fldChar w:fldCharType="end"/>
      </w:r>
    </w:p>
    <w:p w14:paraId="5643042D">
      <w:pPr>
        <w:pStyle w:val="25"/>
        <w:rPr>
          <w:szCs w:val="22"/>
        </w:rPr>
      </w:pPr>
      <w:r>
        <w:fldChar w:fldCharType="begin"/>
      </w:r>
      <w:r>
        <w:instrText xml:space="preserve"> HYPERLINK \l "_Toc206073872" </w:instrText>
      </w:r>
      <w:r>
        <w:fldChar w:fldCharType="separate"/>
      </w:r>
      <w:r>
        <w:rPr>
          <w:rStyle w:val="35"/>
        </w:rPr>
        <w:t>9.3</w:t>
      </w:r>
      <w:r>
        <w:rPr>
          <w:szCs w:val="22"/>
        </w:rPr>
        <w:tab/>
      </w:r>
      <w:r>
        <w:rPr>
          <w:rStyle w:val="35"/>
        </w:rPr>
        <w:t>Instrument heat tracing and insulation</w:t>
      </w:r>
      <w:r>
        <w:tab/>
      </w:r>
      <w:r>
        <w:fldChar w:fldCharType="begin"/>
      </w:r>
      <w:r>
        <w:instrText xml:space="preserve"> PAGEREF _Toc206073872 \h </w:instrText>
      </w:r>
      <w:r>
        <w:fldChar w:fldCharType="separate"/>
      </w:r>
      <w:r>
        <w:t>17</w:t>
      </w:r>
      <w:r>
        <w:fldChar w:fldCharType="end"/>
      </w:r>
      <w:r>
        <w:fldChar w:fldCharType="end"/>
      </w:r>
    </w:p>
    <w:p w14:paraId="6404139A">
      <w:pPr>
        <w:pStyle w:val="25"/>
        <w:rPr>
          <w:szCs w:val="22"/>
        </w:rPr>
      </w:pPr>
      <w:r>
        <w:fldChar w:fldCharType="begin"/>
      </w:r>
      <w:r>
        <w:instrText xml:space="preserve"> HYPERLINK \l "_Toc206073873" </w:instrText>
      </w:r>
      <w:r>
        <w:fldChar w:fldCharType="separate"/>
      </w:r>
      <w:r>
        <w:rPr>
          <w:rStyle w:val="35"/>
        </w:rPr>
        <w:t>9.4</w:t>
      </w:r>
      <w:r>
        <w:rPr>
          <w:szCs w:val="22"/>
        </w:rPr>
        <w:tab/>
      </w:r>
      <w:r>
        <w:rPr>
          <w:rStyle w:val="35"/>
        </w:rPr>
        <w:t>Instrument grounding and lightning protection</w:t>
      </w:r>
      <w:r>
        <w:tab/>
      </w:r>
      <w:r>
        <w:fldChar w:fldCharType="begin"/>
      </w:r>
      <w:r>
        <w:instrText xml:space="preserve"> PAGEREF _Toc206073873 \h </w:instrText>
      </w:r>
      <w:r>
        <w:fldChar w:fldCharType="separate"/>
      </w:r>
      <w:r>
        <w:t>17</w:t>
      </w:r>
      <w:r>
        <w:fldChar w:fldCharType="end"/>
      </w:r>
      <w:r>
        <w:fldChar w:fldCharType="end"/>
      </w:r>
    </w:p>
    <w:p w14:paraId="0B70F24F">
      <w:pPr>
        <w:pStyle w:val="22"/>
        <w:rPr>
          <w:sz w:val="21"/>
          <w:szCs w:val="22"/>
        </w:rPr>
      </w:pPr>
      <w:r>
        <w:fldChar w:fldCharType="begin"/>
      </w:r>
      <w:r>
        <w:instrText xml:space="preserve"> HYPERLINK \l "_Toc206073874" </w:instrText>
      </w:r>
      <w:r>
        <w:fldChar w:fldCharType="separate"/>
      </w:r>
      <w:r>
        <w:rPr>
          <w:rStyle w:val="35"/>
          <w:sz w:val="21"/>
          <w:szCs w:val="21"/>
        </w:rPr>
        <w:t>Appendix A  T</w:t>
      </w:r>
      <w:r>
        <w:rPr>
          <w:rStyle w:val="35"/>
          <w:rFonts w:hint="eastAsia"/>
          <w:sz w:val="21"/>
          <w:szCs w:val="21"/>
        </w:rPr>
        <w:t>ypical</w:t>
      </w:r>
      <w:r>
        <w:rPr>
          <w:rStyle w:val="35"/>
          <w:sz w:val="21"/>
          <w:szCs w:val="21"/>
        </w:rPr>
        <w:t xml:space="preserve"> PCD </w:t>
      </w:r>
      <w:r>
        <w:rPr>
          <w:rStyle w:val="35"/>
          <w:rFonts w:hint="eastAsia"/>
          <w:sz w:val="21"/>
          <w:szCs w:val="21"/>
        </w:rPr>
        <w:t>for</w:t>
      </w:r>
      <w:r>
        <w:rPr>
          <w:rStyle w:val="35"/>
          <w:sz w:val="21"/>
          <w:szCs w:val="21"/>
        </w:rPr>
        <w:t xml:space="preserve"> c</w:t>
      </w:r>
      <w:r>
        <w:rPr>
          <w:rStyle w:val="35"/>
          <w:rFonts w:hint="eastAsia"/>
          <w:sz w:val="21"/>
          <w:szCs w:val="21"/>
        </w:rPr>
        <w:t>ombined</w:t>
      </w:r>
      <w:r>
        <w:rPr>
          <w:rStyle w:val="35"/>
          <w:sz w:val="21"/>
          <w:szCs w:val="21"/>
        </w:rPr>
        <w:t xml:space="preserve"> c</w:t>
      </w:r>
      <w:r>
        <w:rPr>
          <w:rStyle w:val="35"/>
          <w:rFonts w:hint="eastAsia"/>
          <w:sz w:val="21"/>
          <w:szCs w:val="21"/>
        </w:rPr>
        <w:t>ondensated</w:t>
      </w:r>
      <w:r>
        <w:rPr>
          <w:rStyle w:val="35"/>
          <w:sz w:val="21"/>
          <w:szCs w:val="21"/>
        </w:rPr>
        <w:t xml:space="preserve"> r</w:t>
      </w:r>
      <w:r>
        <w:rPr>
          <w:rStyle w:val="35"/>
          <w:rFonts w:hint="eastAsia"/>
          <w:sz w:val="21"/>
          <w:szCs w:val="21"/>
        </w:rPr>
        <w:t>ecovery</w:t>
      </w:r>
      <w:r>
        <w:rPr>
          <w:rStyle w:val="35"/>
          <w:sz w:val="21"/>
          <w:szCs w:val="21"/>
        </w:rPr>
        <w:t xml:space="preserve"> m</w:t>
      </w:r>
      <w:r>
        <w:rPr>
          <w:rStyle w:val="35"/>
          <w:rFonts w:hint="eastAsia"/>
          <w:sz w:val="21"/>
          <w:szCs w:val="21"/>
        </w:rPr>
        <w:t>ethod</w:t>
      </w:r>
      <w:r>
        <w:tab/>
      </w:r>
      <w:r>
        <w:rPr>
          <w:sz w:val="21"/>
          <w:szCs w:val="21"/>
        </w:rPr>
        <w:fldChar w:fldCharType="begin"/>
      </w:r>
      <w:r>
        <w:rPr>
          <w:sz w:val="21"/>
          <w:szCs w:val="21"/>
        </w:rPr>
        <w:instrText xml:space="preserve"> PAGEREF _Toc206073874 \h </w:instrText>
      </w:r>
      <w:r>
        <w:rPr>
          <w:sz w:val="21"/>
          <w:szCs w:val="21"/>
        </w:rPr>
        <w:fldChar w:fldCharType="separate"/>
      </w:r>
      <w:r>
        <w:rPr>
          <w:sz w:val="21"/>
          <w:szCs w:val="21"/>
        </w:rPr>
        <w:t>18</w:t>
      </w:r>
      <w:r>
        <w:rPr>
          <w:sz w:val="21"/>
          <w:szCs w:val="21"/>
        </w:rPr>
        <w:fldChar w:fldCharType="end"/>
      </w:r>
      <w:r>
        <w:fldChar w:fldCharType="end"/>
      </w:r>
    </w:p>
    <w:p w14:paraId="070C81BE">
      <w:pPr>
        <w:pStyle w:val="22"/>
        <w:rPr>
          <w:sz w:val="21"/>
          <w:szCs w:val="22"/>
        </w:rPr>
      </w:pPr>
      <w:r>
        <w:fldChar w:fldCharType="begin"/>
      </w:r>
      <w:r>
        <w:instrText xml:space="preserve"> HYPERLINK \l "_Toc206073875" </w:instrText>
      </w:r>
      <w:r>
        <w:fldChar w:fldCharType="separate"/>
      </w:r>
      <w:r>
        <w:rPr>
          <w:rStyle w:val="35"/>
          <w:sz w:val="21"/>
          <w:szCs w:val="21"/>
        </w:rPr>
        <w:t>Appendix B  M</w:t>
      </w:r>
      <w:r>
        <w:rPr>
          <w:rStyle w:val="35"/>
          <w:rFonts w:hint="eastAsia"/>
          <w:sz w:val="21"/>
          <w:szCs w:val="21"/>
        </w:rPr>
        <w:t>ain</w:t>
      </w:r>
      <w:r>
        <w:rPr>
          <w:rStyle w:val="35"/>
          <w:sz w:val="21"/>
          <w:szCs w:val="21"/>
        </w:rPr>
        <w:t xml:space="preserve"> c</w:t>
      </w:r>
      <w:r>
        <w:rPr>
          <w:rStyle w:val="35"/>
          <w:rFonts w:hint="eastAsia"/>
          <w:sz w:val="21"/>
          <w:szCs w:val="21"/>
        </w:rPr>
        <w:t>ontrol</w:t>
      </w:r>
      <w:r>
        <w:rPr>
          <w:rStyle w:val="35"/>
          <w:sz w:val="21"/>
          <w:szCs w:val="21"/>
        </w:rPr>
        <w:t xml:space="preserve"> i</w:t>
      </w:r>
      <w:r>
        <w:rPr>
          <w:rStyle w:val="35"/>
          <w:rFonts w:hint="eastAsia"/>
          <w:sz w:val="21"/>
          <w:szCs w:val="21"/>
        </w:rPr>
        <w:t>tems</w:t>
      </w:r>
      <w:r>
        <w:tab/>
      </w:r>
      <w:r>
        <w:rPr>
          <w:sz w:val="21"/>
          <w:szCs w:val="21"/>
        </w:rPr>
        <w:fldChar w:fldCharType="begin"/>
      </w:r>
      <w:r>
        <w:rPr>
          <w:sz w:val="21"/>
          <w:szCs w:val="21"/>
        </w:rPr>
        <w:instrText xml:space="preserve"> PAGEREF _Toc206073875 \h </w:instrText>
      </w:r>
      <w:r>
        <w:rPr>
          <w:sz w:val="21"/>
          <w:szCs w:val="21"/>
        </w:rPr>
        <w:fldChar w:fldCharType="separate"/>
      </w:r>
      <w:r>
        <w:rPr>
          <w:sz w:val="21"/>
          <w:szCs w:val="21"/>
        </w:rPr>
        <w:t>22</w:t>
      </w:r>
      <w:r>
        <w:rPr>
          <w:sz w:val="21"/>
          <w:szCs w:val="21"/>
        </w:rPr>
        <w:fldChar w:fldCharType="end"/>
      </w:r>
      <w:r>
        <w:fldChar w:fldCharType="end"/>
      </w:r>
    </w:p>
    <w:p w14:paraId="05D9FC9E">
      <w:pPr>
        <w:pStyle w:val="22"/>
        <w:rPr>
          <w:sz w:val="21"/>
          <w:szCs w:val="22"/>
        </w:rPr>
      </w:pPr>
      <w:r>
        <w:fldChar w:fldCharType="begin"/>
      </w:r>
      <w:r>
        <w:instrText xml:space="preserve"> HYPERLINK \l "_Toc206073876" </w:instrText>
      </w:r>
      <w:r>
        <w:fldChar w:fldCharType="separate"/>
      </w:r>
      <w:r>
        <w:rPr>
          <w:rStyle w:val="35"/>
          <w:sz w:val="21"/>
          <w:szCs w:val="21"/>
        </w:rPr>
        <w:t>Appendix C  M</w:t>
      </w:r>
      <w:r>
        <w:rPr>
          <w:rStyle w:val="35"/>
          <w:rFonts w:hint="eastAsia"/>
          <w:sz w:val="21"/>
          <w:szCs w:val="21"/>
        </w:rPr>
        <w:t>ain</w:t>
      </w:r>
      <w:r>
        <w:rPr>
          <w:rStyle w:val="35"/>
          <w:sz w:val="21"/>
          <w:szCs w:val="21"/>
        </w:rPr>
        <w:t xml:space="preserve"> a</w:t>
      </w:r>
      <w:r>
        <w:rPr>
          <w:rStyle w:val="35"/>
          <w:rFonts w:hint="eastAsia"/>
          <w:sz w:val="21"/>
          <w:szCs w:val="21"/>
        </w:rPr>
        <w:t>larm</w:t>
      </w:r>
      <w:r>
        <w:rPr>
          <w:rStyle w:val="35"/>
          <w:sz w:val="21"/>
          <w:szCs w:val="21"/>
        </w:rPr>
        <w:t>&amp;i</w:t>
      </w:r>
      <w:r>
        <w:rPr>
          <w:rStyle w:val="35"/>
          <w:rFonts w:hint="eastAsia"/>
          <w:sz w:val="21"/>
          <w:szCs w:val="21"/>
        </w:rPr>
        <w:t>nterlock</w:t>
      </w:r>
      <w:r>
        <w:rPr>
          <w:rStyle w:val="35"/>
          <w:sz w:val="21"/>
          <w:szCs w:val="21"/>
        </w:rPr>
        <w:t xml:space="preserve"> i</w:t>
      </w:r>
      <w:r>
        <w:rPr>
          <w:rStyle w:val="35"/>
          <w:rFonts w:hint="eastAsia"/>
          <w:sz w:val="21"/>
          <w:szCs w:val="21"/>
        </w:rPr>
        <w:t>tems</w:t>
      </w:r>
      <w:r>
        <w:tab/>
      </w:r>
      <w:r>
        <w:rPr>
          <w:sz w:val="21"/>
          <w:szCs w:val="21"/>
        </w:rPr>
        <w:fldChar w:fldCharType="begin"/>
      </w:r>
      <w:r>
        <w:rPr>
          <w:sz w:val="21"/>
          <w:szCs w:val="21"/>
        </w:rPr>
        <w:instrText xml:space="preserve"> PAGEREF _Toc206073876 \h </w:instrText>
      </w:r>
      <w:r>
        <w:rPr>
          <w:sz w:val="21"/>
          <w:szCs w:val="21"/>
        </w:rPr>
        <w:fldChar w:fldCharType="separate"/>
      </w:r>
      <w:r>
        <w:rPr>
          <w:sz w:val="21"/>
          <w:szCs w:val="21"/>
        </w:rPr>
        <w:t>23</w:t>
      </w:r>
      <w:r>
        <w:rPr>
          <w:sz w:val="21"/>
          <w:szCs w:val="21"/>
        </w:rPr>
        <w:fldChar w:fldCharType="end"/>
      </w:r>
      <w:r>
        <w:fldChar w:fldCharType="end"/>
      </w:r>
    </w:p>
    <w:p w14:paraId="16BCDB6B">
      <w:pPr>
        <w:pStyle w:val="22"/>
        <w:rPr>
          <w:sz w:val="21"/>
          <w:szCs w:val="22"/>
        </w:rPr>
      </w:pPr>
      <w:r>
        <w:fldChar w:fldCharType="begin"/>
      </w:r>
      <w:r>
        <w:instrText xml:space="preserve"> HYPERLINK \l "_Toc206073877" </w:instrText>
      </w:r>
      <w:r>
        <w:fldChar w:fldCharType="separate"/>
      </w:r>
      <w:r>
        <w:rPr>
          <w:rStyle w:val="35"/>
          <w:rFonts w:cs="宋体"/>
          <w:bCs/>
          <w:sz w:val="21"/>
          <w:szCs w:val="21"/>
        </w:rPr>
        <w:t>Explanation of wording in this code</w:t>
      </w:r>
      <w:r>
        <w:tab/>
      </w:r>
      <w:r>
        <w:rPr>
          <w:sz w:val="21"/>
          <w:szCs w:val="21"/>
        </w:rPr>
        <w:fldChar w:fldCharType="begin"/>
      </w:r>
      <w:r>
        <w:rPr>
          <w:sz w:val="21"/>
          <w:szCs w:val="21"/>
        </w:rPr>
        <w:instrText xml:space="preserve"> PAGEREF _Toc206073877 \h </w:instrText>
      </w:r>
      <w:r>
        <w:rPr>
          <w:sz w:val="21"/>
          <w:szCs w:val="21"/>
        </w:rPr>
        <w:fldChar w:fldCharType="separate"/>
      </w:r>
      <w:r>
        <w:rPr>
          <w:sz w:val="21"/>
          <w:szCs w:val="21"/>
        </w:rPr>
        <w:t>24</w:t>
      </w:r>
      <w:r>
        <w:rPr>
          <w:sz w:val="21"/>
          <w:szCs w:val="21"/>
        </w:rPr>
        <w:fldChar w:fldCharType="end"/>
      </w:r>
      <w:r>
        <w:fldChar w:fldCharType="end"/>
      </w:r>
    </w:p>
    <w:p w14:paraId="663A5D2E">
      <w:pPr>
        <w:pStyle w:val="22"/>
        <w:rPr>
          <w:sz w:val="21"/>
          <w:szCs w:val="22"/>
        </w:rPr>
      </w:pPr>
      <w:r>
        <w:fldChar w:fldCharType="begin"/>
      </w:r>
      <w:r>
        <w:instrText xml:space="preserve"> HYPERLINK \l "_Toc206073878" </w:instrText>
      </w:r>
      <w:r>
        <w:fldChar w:fldCharType="separate"/>
      </w:r>
      <w:r>
        <w:rPr>
          <w:rStyle w:val="35"/>
          <w:rFonts w:cs="宋体"/>
          <w:bCs/>
          <w:sz w:val="21"/>
          <w:szCs w:val="21"/>
        </w:rPr>
        <w:t>List of quoted standards</w:t>
      </w:r>
      <w:r>
        <w:tab/>
      </w:r>
      <w:r>
        <w:rPr>
          <w:sz w:val="21"/>
          <w:szCs w:val="21"/>
        </w:rPr>
        <w:fldChar w:fldCharType="begin"/>
      </w:r>
      <w:r>
        <w:rPr>
          <w:sz w:val="21"/>
          <w:szCs w:val="21"/>
        </w:rPr>
        <w:instrText xml:space="preserve"> PAGEREF _Toc206073878 \h </w:instrText>
      </w:r>
      <w:r>
        <w:rPr>
          <w:sz w:val="21"/>
          <w:szCs w:val="21"/>
        </w:rPr>
        <w:fldChar w:fldCharType="separate"/>
      </w:r>
      <w:r>
        <w:rPr>
          <w:sz w:val="21"/>
          <w:szCs w:val="21"/>
        </w:rPr>
        <w:t>25</w:t>
      </w:r>
      <w:r>
        <w:rPr>
          <w:sz w:val="21"/>
          <w:szCs w:val="21"/>
        </w:rPr>
        <w:fldChar w:fldCharType="end"/>
      </w:r>
      <w:r>
        <w:fldChar w:fldCharType="end"/>
      </w:r>
    </w:p>
    <w:p w14:paraId="68158839">
      <w:pPr>
        <w:pStyle w:val="22"/>
        <w:rPr>
          <w:sz w:val="21"/>
          <w:szCs w:val="22"/>
        </w:rPr>
      </w:pPr>
      <w:r>
        <w:rPr>
          <w:rFonts w:hint="eastAsia"/>
          <w:sz w:val="21"/>
          <w:szCs w:val="21"/>
          <w:lang w:val="en-US" w:eastAsia="zh-CN"/>
        </w:rPr>
        <w:t xml:space="preserve">Addition: </w:t>
      </w:r>
      <w:r>
        <w:rPr>
          <w:sz w:val="21"/>
          <w:szCs w:val="21"/>
        </w:rPr>
        <w:fldChar w:fldCharType="begin"/>
      </w:r>
      <w:r>
        <w:rPr>
          <w:sz w:val="21"/>
          <w:szCs w:val="21"/>
        </w:rPr>
        <w:instrText xml:space="preserve"> HYPERLINK \l "_Toc206073879" </w:instrText>
      </w:r>
      <w:r>
        <w:rPr>
          <w:sz w:val="21"/>
          <w:szCs w:val="21"/>
        </w:rPr>
        <w:fldChar w:fldCharType="separate"/>
      </w:r>
      <w:r>
        <w:rPr>
          <w:rStyle w:val="35"/>
          <w:rFonts w:cs="宋体"/>
          <w:bCs/>
          <w:sz w:val="21"/>
          <w:szCs w:val="21"/>
        </w:rPr>
        <w:t>Explanation of provisions</w:t>
      </w:r>
      <w:r>
        <w:rPr>
          <w:sz w:val="21"/>
          <w:szCs w:val="21"/>
        </w:rPr>
        <w:tab/>
      </w:r>
      <w:r>
        <w:rPr>
          <w:sz w:val="21"/>
          <w:szCs w:val="21"/>
        </w:rPr>
        <w:fldChar w:fldCharType="begin"/>
      </w:r>
      <w:r>
        <w:rPr>
          <w:sz w:val="21"/>
          <w:szCs w:val="21"/>
        </w:rPr>
        <w:instrText xml:space="preserve"> PAGEREF _Toc206073879 \h </w:instrText>
      </w:r>
      <w:r>
        <w:rPr>
          <w:sz w:val="21"/>
          <w:szCs w:val="21"/>
        </w:rPr>
        <w:fldChar w:fldCharType="separate"/>
      </w:r>
      <w:r>
        <w:rPr>
          <w:sz w:val="21"/>
          <w:szCs w:val="21"/>
        </w:rPr>
        <w:t>26</w:t>
      </w:r>
      <w:r>
        <w:rPr>
          <w:sz w:val="21"/>
          <w:szCs w:val="21"/>
        </w:rPr>
        <w:fldChar w:fldCharType="end"/>
      </w:r>
      <w:r>
        <w:rPr>
          <w:sz w:val="21"/>
          <w:szCs w:val="21"/>
        </w:rPr>
        <w:fldChar w:fldCharType="end"/>
      </w:r>
    </w:p>
    <w:p w14:paraId="6BAD397F">
      <w:pPr>
        <w:widowControl/>
        <w:spacing w:line="360" w:lineRule="auto"/>
        <w:jc w:val="left"/>
      </w:pPr>
      <w:r>
        <w:fldChar w:fldCharType="end"/>
      </w:r>
    </w:p>
    <w:p w14:paraId="64D28774">
      <w:pPr>
        <w:pStyle w:val="2"/>
        <w:numPr>
          <w:ilvl w:val="0"/>
          <w:numId w:val="2"/>
        </w:numPr>
        <w:spacing w:after="360" w:line="360" w:lineRule="auto"/>
        <w:jc w:val="center"/>
        <w:rPr>
          <w:sz w:val="28"/>
          <w:szCs w:val="21"/>
        </w:rPr>
        <w:sectPr>
          <w:pgSz w:w="11906" w:h="16838"/>
          <w:pgMar w:top="1440" w:right="1797" w:bottom="851" w:left="1797" w:header="851" w:footer="992" w:gutter="0"/>
          <w:pgNumType w:fmt="upperRoman"/>
          <w:cols w:space="425" w:num="1"/>
          <w:docGrid w:type="lines" w:linePitch="312" w:charSpace="0"/>
        </w:sectPr>
      </w:pPr>
      <w:bookmarkStart w:id="2" w:name="_Toc464744970"/>
      <w:bookmarkStart w:id="3" w:name="_Toc464744221"/>
    </w:p>
    <w:p w14:paraId="2768F961">
      <w:pPr>
        <w:pStyle w:val="2"/>
        <w:numPr>
          <w:ilvl w:val="0"/>
          <w:numId w:val="2"/>
        </w:numPr>
        <w:spacing w:after="360" w:line="360" w:lineRule="auto"/>
        <w:jc w:val="center"/>
        <w:rPr>
          <w:sz w:val="28"/>
          <w:szCs w:val="21"/>
        </w:rPr>
      </w:pPr>
      <w:bookmarkStart w:id="4" w:name="_Toc206073843"/>
      <w:bookmarkStart w:id="5" w:name="_Toc206160046"/>
      <w:bookmarkStart w:id="6" w:name="_Toc206080455"/>
      <w:bookmarkStart w:id="7" w:name="_Toc206171691"/>
      <w:r>
        <w:rPr>
          <w:sz w:val="28"/>
          <w:szCs w:val="21"/>
        </w:rPr>
        <w:t>总则</w:t>
      </w:r>
      <w:bookmarkEnd w:id="2"/>
      <w:bookmarkEnd w:id="3"/>
      <w:bookmarkEnd w:id="4"/>
      <w:bookmarkEnd w:id="5"/>
      <w:bookmarkEnd w:id="6"/>
      <w:bookmarkEnd w:id="7"/>
    </w:p>
    <w:p w14:paraId="0133B9F6">
      <w:pPr>
        <w:tabs>
          <w:tab w:val="left" w:pos="426"/>
          <w:tab w:val="left" w:pos="567"/>
        </w:tabs>
        <w:spacing w:line="360" w:lineRule="auto"/>
        <w:rPr>
          <w:rFonts w:cstheme="minorHAnsi"/>
          <w:color w:val="000000"/>
        </w:rPr>
      </w:pPr>
      <w:r>
        <w:rPr>
          <w:rFonts w:cstheme="minorHAnsi"/>
        </w:rPr>
        <w:t>1.0.1 为规范化工</w:t>
      </w:r>
      <w:r>
        <w:rPr>
          <w:rFonts w:hint="eastAsia" w:cstheme="minorHAnsi"/>
        </w:rPr>
        <w:t>企业挥发性有机物（</w:t>
      </w:r>
      <w:r>
        <w:rPr>
          <w:rFonts w:cstheme="minorHAnsi"/>
        </w:rPr>
        <w:t>VOCs</w:t>
      </w:r>
      <w:r>
        <w:rPr>
          <w:rFonts w:hint="eastAsia" w:cstheme="minorHAnsi"/>
        </w:rPr>
        <w:t>）</w:t>
      </w:r>
      <w:r>
        <w:rPr>
          <w:rFonts w:cstheme="minorHAnsi"/>
        </w:rPr>
        <w:t>冷凝</w:t>
      </w:r>
      <w:r>
        <w:rPr>
          <w:rFonts w:hint="eastAsia" w:cstheme="minorHAnsi"/>
        </w:rPr>
        <w:t>法</w:t>
      </w:r>
      <w:r>
        <w:rPr>
          <w:rFonts w:cstheme="minorHAnsi"/>
        </w:rPr>
        <w:t>回收</w:t>
      </w:r>
      <w:r>
        <w:rPr>
          <w:rFonts w:hint="eastAsia" w:cstheme="minorHAnsi"/>
        </w:rPr>
        <w:t>装置仪表</w:t>
      </w:r>
      <w:r>
        <w:rPr>
          <w:rFonts w:cstheme="minorHAnsi"/>
        </w:rPr>
        <w:t>工程设计，制定本规范。</w:t>
      </w:r>
    </w:p>
    <w:p w14:paraId="7E69B087">
      <w:pPr>
        <w:tabs>
          <w:tab w:val="left" w:pos="426"/>
          <w:tab w:val="left" w:pos="567"/>
        </w:tabs>
        <w:spacing w:line="360" w:lineRule="auto"/>
        <w:rPr>
          <w:rFonts w:cstheme="minorHAnsi"/>
        </w:rPr>
      </w:pPr>
      <w:r>
        <w:rPr>
          <w:rFonts w:cstheme="minorHAnsi"/>
        </w:rPr>
        <w:t>1.0.2 本规范适用于化工企业新建、扩建和改建项目中</w:t>
      </w:r>
      <w:r>
        <w:rPr>
          <w:rFonts w:hint="eastAsia" w:cstheme="minorHAnsi"/>
        </w:rPr>
        <w:t>V</w:t>
      </w:r>
      <w:r>
        <w:rPr>
          <w:rFonts w:cstheme="minorHAnsi"/>
        </w:rPr>
        <w:t>OC</w:t>
      </w:r>
      <w:r>
        <w:rPr>
          <w:rFonts w:hint="eastAsia" w:cstheme="minorHAnsi"/>
        </w:rPr>
        <w:t>s冷凝法回收装置</w:t>
      </w:r>
      <w:r>
        <w:rPr>
          <w:rFonts w:cstheme="minorHAnsi"/>
        </w:rPr>
        <w:t>的仪表工程设计。</w:t>
      </w:r>
    </w:p>
    <w:p w14:paraId="37A62DF2">
      <w:pPr>
        <w:tabs>
          <w:tab w:val="left" w:pos="426"/>
          <w:tab w:val="left" w:pos="567"/>
        </w:tabs>
        <w:spacing w:line="360" w:lineRule="auto"/>
        <w:rPr>
          <w:rFonts w:cstheme="minorHAnsi"/>
        </w:rPr>
      </w:pPr>
      <w:r>
        <w:rPr>
          <w:rFonts w:cstheme="minorHAnsi"/>
        </w:rPr>
        <w:t xml:space="preserve">1.0.3 </w:t>
      </w:r>
      <w:r>
        <w:rPr>
          <w:rFonts w:hint="eastAsia" w:cstheme="minorHAnsi"/>
        </w:rPr>
        <w:t>化工企业</w:t>
      </w:r>
      <w:r>
        <w:rPr>
          <w:rFonts w:cstheme="minorHAnsi"/>
        </w:rPr>
        <w:t>VOCs冷凝</w:t>
      </w:r>
      <w:r>
        <w:rPr>
          <w:rFonts w:hint="eastAsia" w:cstheme="minorHAnsi"/>
        </w:rPr>
        <w:t>法</w:t>
      </w:r>
      <w:r>
        <w:rPr>
          <w:rFonts w:cstheme="minorHAnsi"/>
        </w:rPr>
        <w:t>回收</w:t>
      </w:r>
      <w:r>
        <w:rPr>
          <w:rFonts w:hint="eastAsia" w:cstheme="minorHAnsi"/>
        </w:rPr>
        <w:t>装置</w:t>
      </w:r>
      <w:r>
        <w:rPr>
          <w:rFonts w:cstheme="minorHAnsi"/>
        </w:rPr>
        <w:t>的</w:t>
      </w:r>
      <w:r>
        <w:rPr>
          <w:rFonts w:hint="eastAsia" w:cstheme="minorHAnsi"/>
        </w:rPr>
        <w:t>仪表</w:t>
      </w:r>
      <w:r>
        <w:rPr>
          <w:rFonts w:cstheme="minorHAnsi"/>
        </w:rPr>
        <w:t>工程设计，除应符合本规范要求外，尚应符合国家现行有关标准的规定。</w:t>
      </w:r>
    </w:p>
    <w:p w14:paraId="3C23FD2C">
      <w:pPr>
        <w:tabs>
          <w:tab w:val="left" w:pos="426"/>
          <w:tab w:val="left" w:pos="567"/>
        </w:tabs>
        <w:spacing w:line="360" w:lineRule="auto"/>
        <w:rPr>
          <w:rFonts w:cstheme="minorHAnsi"/>
          <w:color w:val="000000"/>
        </w:rPr>
      </w:pPr>
    </w:p>
    <w:p w14:paraId="4BB44F5C">
      <w:pPr>
        <w:widowControl/>
        <w:spacing w:line="360" w:lineRule="auto"/>
        <w:jc w:val="left"/>
        <w:rPr>
          <w:rFonts w:cs="Arial"/>
          <w:color w:val="000000"/>
        </w:rPr>
      </w:pPr>
      <w:r>
        <w:rPr>
          <w:rFonts w:cs="Arial"/>
          <w:color w:val="000000"/>
        </w:rPr>
        <w:br w:type="page"/>
      </w:r>
    </w:p>
    <w:p w14:paraId="5F55561C">
      <w:pPr>
        <w:pStyle w:val="2"/>
        <w:numPr>
          <w:ilvl w:val="0"/>
          <w:numId w:val="2"/>
        </w:numPr>
        <w:spacing w:after="360" w:line="360" w:lineRule="auto"/>
        <w:jc w:val="center"/>
        <w:rPr>
          <w:rFonts w:hAnsi="宋体"/>
          <w:sz w:val="28"/>
          <w:szCs w:val="21"/>
        </w:rPr>
      </w:pPr>
      <w:bookmarkStart w:id="8" w:name="_Toc206080456"/>
      <w:bookmarkStart w:id="9" w:name="_Toc206171692"/>
      <w:bookmarkStart w:id="10" w:name="_Toc206160047"/>
      <w:bookmarkStart w:id="11" w:name="_Toc206073844"/>
      <w:r>
        <w:rPr>
          <w:rFonts w:hAnsi="宋体"/>
          <w:sz w:val="28"/>
          <w:szCs w:val="21"/>
        </w:rPr>
        <w:t>术语和缩略语</w:t>
      </w:r>
      <w:bookmarkEnd w:id="8"/>
      <w:bookmarkEnd w:id="9"/>
      <w:bookmarkEnd w:id="10"/>
      <w:bookmarkEnd w:id="11"/>
    </w:p>
    <w:p w14:paraId="67D55A45">
      <w:pPr>
        <w:pStyle w:val="3"/>
        <w:numPr>
          <w:ilvl w:val="1"/>
          <w:numId w:val="2"/>
        </w:numPr>
        <w:spacing w:after="100" w:line="360" w:lineRule="auto"/>
        <w:ind w:left="426" w:hanging="426"/>
        <w:jc w:val="center"/>
        <w:rPr>
          <w:sz w:val="21"/>
        </w:rPr>
      </w:pPr>
      <w:bookmarkStart w:id="12" w:name="_Toc74558638"/>
      <w:bookmarkEnd w:id="12"/>
      <w:bookmarkStart w:id="13" w:name="_Toc206080457"/>
      <w:bookmarkStart w:id="14" w:name="_Toc206160048"/>
      <w:bookmarkStart w:id="15" w:name="_Toc206073845"/>
      <w:bookmarkStart w:id="16" w:name="_Toc206171693"/>
      <w:bookmarkStart w:id="17" w:name="_Toc464745028"/>
      <w:bookmarkStart w:id="18" w:name="_Toc464744279"/>
      <w:r>
        <w:rPr>
          <w:sz w:val="21"/>
        </w:rPr>
        <w:t>术语</w:t>
      </w:r>
      <w:bookmarkEnd w:id="13"/>
      <w:bookmarkEnd w:id="14"/>
      <w:bookmarkEnd w:id="15"/>
      <w:bookmarkEnd w:id="16"/>
    </w:p>
    <w:p w14:paraId="14DCA282">
      <w:pPr>
        <w:pStyle w:val="56"/>
        <w:numPr>
          <w:ilvl w:val="0"/>
          <w:numId w:val="0"/>
        </w:numPr>
        <w:tabs>
          <w:tab w:val="clear" w:pos="426"/>
        </w:tabs>
        <w:spacing w:line="360" w:lineRule="auto"/>
        <w:rPr>
          <w:rFonts w:hint="eastAsia" w:eastAsia="黑体"/>
          <w:lang w:val="en-US" w:eastAsia="zh-CN"/>
        </w:rPr>
      </w:pPr>
      <w:r>
        <w:rPr>
          <w:rFonts w:hint="eastAsia"/>
        </w:rPr>
        <w:t>2</w:t>
      </w:r>
      <w:r>
        <w:t xml:space="preserve">.1.1 </w:t>
      </w:r>
      <w:r>
        <w:rPr>
          <w:rFonts w:hint="eastAsia"/>
        </w:rPr>
        <w:t xml:space="preserve">挥发性有机物 </w:t>
      </w:r>
      <w:r>
        <w:t>v</w:t>
      </w:r>
      <w:r>
        <w:rPr>
          <w:rFonts w:eastAsia="黑体"/>
        </w:rPr>
        <w:t>olatile organic compounds</w:t>
      </w:r>
      <w:r>
        <w:rPr>
          <w:rFonts w:hint="eastAsia" w:eastAsia="黑体"/>
          <w:lang w:val="en-US" w:eastAsia="zh-CN"/>
        </w:rPr>
        <w:t>;</w:t>
      </w:r>
      <w:r>
        <w:rPr>
          <w:rFonts w:hint="eastAsia"/>
        </w:rPr>
        <w:t>VOCs</w:t>
      </w:r>
    </w:p>
    <w:p w14:paraId="6F5301CE">
      <w:pPr>
        <w:pStyle w:val="48"/>
        <w:spacing w:line="360" w:lineRule="auto"/>
        <w:jc w:val="left"/>
        <w:textAlignment w:val="baseline"/>
        <w:rPr>
          <w:rFonts w:cs="Arial"/>
          <w:color w:val="000000"/>
        </w:rPr>
      </w:pPr>
      <w:r>
        <w:rPr>
          <w:rFonts w:hint="eastAsia" w:cs="Arial"/>
          <w:color w:val="000000"/>
        </w:rPr>
        <w:t>参与大气光化学反应的有机化合物，或者根据有关规定确定的有机化合物。在表征 VOCs总体排放情况时，根据行业特征和环境管理要求，可采用总挥发性有机物（以TVOC表示）、非甲烷总烃（以NMHC表示）作为污染物控制项目。</w:t>
      </w:r>
    </w:p>
    <w:p w14:paraId="6C713869">
      <w:pPr>
        <w:pStyle w:val="56"/>
        <w:numPr>
          <w:ilvl w:val="0"/>
          <w:numId w:val="0"/>
        </w:numPr>
        <w:tabs>
          <w:tab w:val="clear" w:pos="426"/>
        </w:tabs>
        <w:spacing w:line="360" w:lineRule="auto"/>
        <w:rPr>
          <w:rFonts w:hint="eastAsia" w:eastAsiaTheme="minorEastAsia"/>
          <w:lang w:val="en-US" w:eastAsia="zh-CN"/>
        </w:rPr>
      </w:pPr>
      <w:r>
        <w:rPr>
          <w:rFonts w:hint="eastAsia"/>
        </w:rPr>
        <w:t>2</w:t>
      </w:r>
      <w:r>
        <w:t xml:space="preserve">.1.2 </w:t>
      </w:r>
      <w:r>
        <w:rPr>
          <w:rFonts w:hint="eastAsia"/>
        </w:rPr>
        <w:t>总挥发有机物</w:t>
      </w:r>
      <w:r>
        <w:t xml:space="preserve"> total volatile organic compounds</w:t>
      </w:r>
      <w:r>
        <w:rPr>
          <w:rFonts w:hint="eastAsia"/>
          <w:lang w:val="en-US" w:eastAsia="zh-CN"/>
        </w:rPr>
        <w:t>;</w:t>
      </w:r>
      <w:r>
        <w:t>TVOC</w:t>
      </w:r>
    </w:p>
    <w:p w14:paraId="4E8DF434">
      <w:pPr>
        <w:pStyle w:val="48"/>
        <w:spacing w:line="360" w:lineRule="auto"/>
        <w:jc w:val="left"/>
        <w:textAlignment w:val="baseline"/>
        <w:rPr>
          <w:rFonts w:cs="Arial"/>
          <w:color w:val="000000"/>
        </w:rPr>
      </w:pPr>
      <w:r>
        <w:rPr>
          <w:rFonts w:hint="eastAsia" w:cs="Arial"/>
          <w:color w:val="000000"/>
        </w:rPr>
        <w:t>采用规定的监测方法，对废气中的单项</w:t>
      </w:r>
      <w:r>
        <w:rPr>
          <w:rFonts w:cs="Arial"/>
          <w:color w:val="000000"/>
        </w:rPr>
        <w:t>VOCs</w:t>
      </w:r>
      <w:r>
        <w:rPr>
          <w:rFonts w:hint="eastAsia" w:cs="Arial"/>
          <w:color w:val="000000"/>
        </w:rPr>
        <w:t>物质进行测量，加和得到</w:t>
      </w:r>
      <w:r>
        <w:rPr>
          <w:rFonts w:cs="Arial"/>
          <w:color w:val="000000"/>
        </w:rPr>
        <w:t>VOCs</w:t>
      </w:r>
      <w:r>
        <w:rPr>
          <w:rFonts w:hint="eastAsia" w:cs="Arial"/>
          <w:color w:val="000000"/>
        </w:rPr>
        <w:t>物质的总量，以单项</w:t>
      </w:r>
      <w:r>
        <w:rPr>
          <w:rFonts w:cs="Arial"/>
          <w:color w:val="000000"/>
        </w:rPr>
        <w:t>VOCs</w:t>
      </w:r>
      <w:r>
        <w:rPr>
          <w:rFonts w:hint="eastAsia" w:cs="Arial"/>
          <w:color w:val="000000"/>
        </w:rPr>
        <w:t>物质的质量浓度之和计。实际工作中，应按预期分析结果，对占总量</w:t>
      </w:r>
      <w:r>
        <w:rPr>
          <w:rFonts w:cs="Arial"/>
          <w:color w:val="000000"/>
        </w:rPr>
        <w:t>90%</w:t>
      </w:r>
      <w:r>
        <w:rPr>
          <w:rFonts w:hint="eastAsia" w:cs="Arial"/>
          <w:color w:val="000000"/>
        </w:rPr>
        <w:t>以上的单项</w:t>
      </w:r>
      <w:r>
        <w:rPr>
          <w:rFonts w:cs="Arial"/>
          <w:color w:val="000000"/>
        </w:rPr>
        <w:t xml:space="preserve"> VOCs</w:t>
      </w:r>
      <w:r>
        <w:rPr>
          <w:rFonts w:hint="eastAsia" w:cs="Arial"/>
          <w:color w:val="000000"/>
        </w:rPr>
        <w:t>物质进行测量，加和得出。</w:t>
      </w:r>
      <w:r>
        <w:rPr>
          <w:rFonts w:cs="Arial"/>
          <w:color w:val="000000"/>
        </w:rPr>
        <w:t xml:space="preserve"> </w:t>
      </w:r>
    </w:p>
    <w:p w14:paraId="07D58867">
      <w:pPr>
        <w:pStyle w:val="56"/>
        <w:numPr>
          <w:ilvl w:val="0"/>
          <w:numId w:val="0"/>
        </w:numPr>
        <w:tabs>
          <w:tab w:val="clear" w:pos="426"/>
        </w:tabs>
        <w:spacing w:line="360" w:lineRule="auto"/>
        <w:rPr>
          <w:rFonts w:hint="eastAsia" w:eastAsiaTheme="minorEastAsia"/>
          <w:lang w:val="en-US" w:eastAsia="zh-CN"/>
        </w:rPr>
      </w:pPr>
      <w:r>
        <w:rPr>
          <w:rFonts w:hint="eastAsia"/>
        </w:rPr>
        <w:t>2</w:t>
      </w:r>
      <w:r>
        <w:t xml:space="preserve">.1.3 </w:t>
      </w:r>
      <w:r>
        <w:rPr>
          <w:rFonts w:hint="eastAsia"/>
        </w:rPr>
        <w:t xml:space="preserve">非甲烷总烃 </w:t>
      </w:r>
      <w:r>
        <w:t>n</w:t>
      </w:r>
      <w:r>
        <w:rPr>
          <w:rFonts w:hint="eastAsia"/>
        </w:rPr>
        <w:t>on-</w:t>
      </w:r>
      <w:r>
        <w:t>m</w:t>
      </w:r>
      <w:r>
        <w:rPr>
          <w:rFonts w:hint="eastAsia"/>
        </w:rPr>
        <w:t xml:space="preserve">ethane </w:t>
      </w:r>
      <w:r>
        <w:t>h</w:t>
      </w:r>
      <w:r>
        <w:rPr>
          <w:rFonts w:hint="eastAsia"/>
        </w:rPr>
        <w:t>ydro</w:t>
      </w:r>
      <w:r>
        <w:t>c</w:t>
      </w:r>
      <w:r>
        <w:rPr>
          <w:rFonts w:hint="eastAsia"/>
        </w:rPr>
        <w:t>arbon</w:t>
      </w:r>
      <w:r>
        <w:rPr>
          <w:rFonts w:hint="eastAsia"/>
          <w:lang w:val="en-US" w:eastAsia="zh-CN"/>
        </w:rPr>
        <w:t>;</w:t>
      </w:r>
      <w:r>
        <w:rPr>
          <w:rFonts w:hint="eastAsia"/>
        </w:rPr>
        <w:t>NMHC</w:t>
      </w:r>
    </w:p>
    <w:p w14:paraId="29466879">
      <w:pPr>
        <w:pStyle w:val="48"/>
        <w:spacing w:line="360" w:lineRule="auto"/>
        <w:jc w:val="left"/>
        <w:textAlignment w:val="baseline"/>
        <w:rPr>
          <w:rFonts w:cs="Arial"/>
          <w:color w:val="000000"/>
        </w:rPr>
      </w:pPr>
      <w:r>
        <w:rPr>
          <w:rFonts w:hint="eastAsia" w:cs="Arial"/>
          <w:color w:val="000000"/>
        </w:rPr>
        <w:t>采用规定的监测方法，氢火焰离子化检测器有响应的除甲烷外的气态有机化合物的总和，以碳的质量浓度计。</w:t>
      </w:r>
    </w:p>
    <w:p w14:paraId="728A3FC6">
      <w:pPr>
        <w:pStyle w:val="56"/>
        <w:numPr>
          <w:ilvl w:val="0"/>
          <w:numId w:val="0"/>
        </w:numPr>
        <w:tabs>
          <w:tab w:val="clear" w:pos="426"/>
        </w:tabs>
        <w:spacing w:line="360" w:lineRule="auto"/>
      </w:pPr>
      <w:r>
        <w:t xml:space="preserve">2.1.4 </w:t>
      </w:r>
      <w:r>
        <w:rPr>
          <w:rFonts w:hint="eastAsia"/>
        </w:rPr>
        <w:t xml:space="preserve">VOCs冷凝法回收装置 </w:t>
      </w:r>
      <w:r>
        <w:t>VOCs c</w:t>
      </w:r>
      <w:r>
        <w:rPr>
          <w:rFonts w:hint="eastAsia"/>
        </w:rPr>
        <w:t xml:space="preserve">ondensation </w:t>
      </w:r>
      <w:r>
        <w:t>r</w:t>
      </w:r>
      <w:r>
        <w:rPr>
          <w:rFonts w:hint="eastAsia"/>
        </w:rPr>
        <w:t xml:space="preserve">ecovery </w:t>
      </w:r>
      <w:r>
        <w:t>unit</w:t>
      </w:r>
    </w:p>
    <w:p w14:paraId="3CBD8FA8">
      <w:pPr>
        <w:pStyle w:val="48"/>
        <w:spacing w:line="360" w:lineRule="auto"/>
        <w:jc w:val="left"/>
        <w:textAlignment w:val="baseline"/>
        <w:rPr>
          <w:rFonts w:cs="Arial"/>
          <w:color w:val="000000"/>
        </w:rPr>
      </w:pPr>
      <w:r>
        <w:rPr>
          <w:rFonts w:hint="eastAsia" w:cs="Arial"/>
          <w:color w:val="000000"/>
        </w:rPr>
        <w:t>利用冷负荷，通过与VOCs有机气体进行热交换，降低有机气体的温度，使其温度降低至露点以下，在低温下产生相变，从气态转变为液态，得到液态回收物的VOCs回收工艺。</w:t>
      </w:r>
    </w:p>
    <w:p w14:paraId="357EAB91">
      <w:pPr>
        <w:pStyle w:val="56"/>
        <w:numPr>
          <w:ilvl w:val="0"/>
          <w:numId w:val="0"/>
        </w:numPr>
        <w:tabs>
          <w:tab w:val="clear" w:pos="426"/>
        </w:tabs>
        <w:spacing w:line="360" w:lineRule="auto"/>
        <w:rPr>
          <w:color w:val="auto"/>
        </w:rPr>
      </w:pPr>
      <w:r>
        <w:rPr>
          <w:rFonts w:hint="eastAsia"/>
          <w:color w:val="auto"/>
        </w:rPr>
        <w:t>2</w:t>
      </w:r>
      <w:r>
        <w:rPr>
          <w:color w:val="auto"/>
        </w:rPr>
        <w:t xml:space="preserve">.1.5 </w:t>
      </w:r>
      <w:r>
        <w:rPr>
          <w:rFonts w:hint="eastAsia"/>
          <w:color w:val="auto"/>
        </w:rPr>
        <w:t xml:space="preserve">排放监测系统 </w:t>
      </w:r>
      <w:r>
        <w:rPr>
          <w:color w:val="auto"/>
        </w:rPr>
        <w:t>e</w:t>
      </w:r>
      <w:r>
        <w:rPr>
          <w:rFonts w:hint="eastAsia"/>
          <w:color w:val="auto"/>
        </w:rPr>
        <w:t>mission</w:t>
      </w:r>
      <w:r>
        <w:rPr>
          <w:color w:val="auto"/>
        </w:rPr>
        <w:t xml:space="preserve"> m</w:t>
      </w:r>
      <w:r>
        <w:rPr>
          <w:rFonts w:hint="eastAsia"/>
          <w:color w:val="auto"/>
        </w:rPr>
        <w:t>onitoring</w:t>
      </w:r>
      <w:r>
        <w:rPr>
          <w:color w:val="auto"/>
        </w:rPr>
        <w:t xml:space="preserve"> s</w:t>
      </w:r>
      <w:r>
        <w:rPr>
          <w:rFonts w:hint="eastAsia"/>
          <w:color w:val="auto"/>
        </w:rPr>
        <w:t>ystem</w:t>
      </w:r>
    </w:p>
    <w:p w14:paraId="5788B5E9">
      <w:pPr>
        <w:pStyle w:val="48"/>
        <w:spacing w:line="360" w:lineRule="auto"/>
        <w:jc w:val="left"/>
        <w:textAlignment w:val="baseline"/>
        <w:rPr>
          <w:rFonts w:cs="Arial"/>
          <w:color w:val="000000"/>
        </w:rPr>
      </w:pPr>
      <w:r>
        <w:rPr>
          <w:rFonts w:hint="eastAsia" w:cs="Arial"/>
          <w:color w:val="000000"/>
        </w:rPr>
        <w:t>连续监测固定污染源废气条件参数（温度、压力、流量、污染物浓度等）所需要的全部仪器和设备。</w:t>
      </w:r>
    </w:p>
    <w:p w14:paraId="47491DEC">
      <w:pPr>
        <w:pStyle w:val="56"/>
        <w:numPr>
          <w:ilvl w:val="0"/>
          <w:numId w:val="0"/>
        </w:numPr>
        <w:tabs>
          <w:tab w:val="clear" w:pos="426"/>
        </w:tabs>
        <w:spacing w:line="360" w:lineRule="auto"/>
        <w:rPr>
          <w:color w:val="auto"/>
        </w:rPr>
      </w:pPr>
      <w:r>
        <w:rPr>
          <w:rFonts w:hint="eastAsia"/>
          <w:color w:val="auto"/>
        </w:rPr>
        <w:t>2</w:t>
      </w:r>
      <w:r>
        <w:rPr>
          <w:color w:val="auto"/>
        </w:rPr>
        <w:t>.1.6</w:t>
      </w:r>
      <w:r>
        <w:rPr>
          <w:rFonts w:hint="eastAsia"/>
          <w:color w:val="auto"/>
        </w:rPr>
        <w:t xml:space="preserve">监测站房 </w:t>
      </w:r>
      <w:r>
        <w:rPr>
          <w:color w:val="auto"/>
        </w:rPr>
        <w:t>emission m</w:t>
      </w:r>
      <w:r>
        <w:rPr>
          <w:rFonts w:hint="eastAsia"/>
          <w:color w:val="auto"/>
        </w:rPr>
        <w:t>onitoring</w:t>
      </w:r>
      <w:r>
        <w:rPr>
          <w:color w:val="auto"/>
        </w:rPr>
        <w:t xml:space="preserve"> house</w:t>
      </w:r>
    </w:p>
    <w:p w14:paraId="307CCDEA">
      <w:pPr>
        <w:pStyle w:val="48"/>
        <w:spacing w:line="360" w:lineRule="auto"/>
        <w:jc w:val="left"/>
        <w:textAlignment w:val="baseline"/>
        <w:rPr>
          <w:rFonts w:cstheme="minorHAnsi"/>
          <w:kern w:val="0"/>
          <w:szCs w:val="20"/>
        </w:rPr>
      </w:pPr>
      <w:r>
        <w:rPr>
          <w:rFonts w:hint="eastAsia"/>
        </w:rPr>
        <w:t>保护V</w:t>
      </w:r>
      <w:r>
        <w:t>OC</w:t>
      </w:r>
      <w:r>
        <w:rPr>
          <w:rFonts w:hint="eastAsia"/>
        </w:rPr>
        <w:t>s排放监测设备及满足恒温、恒湿、防尘、防雷等要求的专用设施。</w:t>
      </w:r>
    </w:p>
    <w:p w14:paraId="2033D53B">
      <w:pPr>
        <w:pStyle w:val="3"/>
        <w:numPr>
          <w:ilvl w:val="1"/>
          <w:numId w:val="2"/>
        </w:numPr>
        <w:spacing w:after="100" w:line="360" w:lineRule="auto"/>
        <w:ind w:left="426" w:hanging="426"/>
        <w:jc w:val="center"/>
        <w:rPr>
          <w:sz w:val="21"/>
        </w:rPr>
      </w:pPr>
      <w:bookmarkStart w:id="19" w:name="_Toc206080458"/>
      <w:bookmarkStart w:id="20" w:name="_Toc206160049"/>
      <w:bookmarkStart w:id="21" w:name="_Toc206171694"/>
      <w:bookmarkStart w:id="22" w:name="_Toc206073846"/>
      <w:bookmarkStart w:id="23" w:name="_Toc464744973"/>
      <w:bookmarkStart w:id="24" w:name="_Toc464744224"/>
      <w:r>
        <w:rPr>
          <w:sz w:val="21"/>
        </w:rPr>
        <w:t>缩略语</w:t>
      </w:r>
      <w:bookmarkEnd w:id="19"/>
      <w:bookmarkEnd w:id="20"/>
      <w:bookmarkEnd w:id="21"/>
      <w:bookmarkEnd w:id="22"/>
    </w:p>
    <w:bookmarkEnd w:id="23"/>
    <w:bookmarkEnd w:id="24"/>
    <w:p w14:paraId="1F8897C1">
      <w:pPr>
        <w:spacing w:line="360" w:lineRule="auto"/>
        <w:rPr>
          <w:rFonts w:cstheme="minorHAnsi"/>
        </w:rPr>
      </w:pPr>
      <w:r>
        <w:rPr>
          <w:rFonts w:cstheme="minorHAnsi"/>
        </w:rPr>
        <w:t>挥发性有机物（Volatile Organic Compounds，VOCs）</w:t>
      </w:r>
    </w:p>
    <w:p w14:paraId="56328BD2">
      <w:pPr>
        <w:spacing w:line="360" w:lineRule="auto"/>
        <w:rPr>
          <w:rFonts w:cstheme="minorHAnsi"/>
          <w:color w:val="000000"/>
        </w:rPr>
      </w:pPr>
      <w:r>
        <w:rPr>
          <w:rFonts w:cstheme="minorHAnsi"/>
          <w:color w:val="000000"/>
        </w:rPr>
        <w:t>基本过程控制系统（Basic Process Control System，BPCS）</w:t>
      </w:r>
    </w:p>
    <w:p w14:paraId="6C2AE6C8">
      <w:pPr>
        <w:spacing w:line="360" w:lineRule="auto"/>
        <w:rPr>
          <w:rFonts w:cstheme="minorHAnsi"/>
        </w:rPr>
      </w:pPr>
      <w:r>
        <w:rPr>
          <w:rFonts w:cstheme="minorHAnsi"/>
        </w:rPr>
        <w:t>分散控制系统（Distributed Control System，DCS）</w:t>
      </w:r>
    </w:p>
    <w:p w14:paraId="44E46B49">
      <w:pPr>
        <w:spacing w:line="360" w:lineRule="auto"/>
        <w:rPr>
          <w:rFonts w:cstheme="minorHAnsi"/>
          <w:color w:val="000000"/>
        </w:rPr>
      </w:pPr>
      <w:r>
        <w:rPr>
          <w:rFonts w:cstheme="minorHAnsi"/>
          <w:color w:val="000000"/>
        </w:rPr>
        <w:t>可编程逻辑控制器（Programmable Logic Controller，PLC）</w:t>
      </w:r>
    </w:p>
    <w:p w14:paraId="09F4A744">
      <w:pPr>
        <w:spacing w:line="360" w:lineRule="auto"/>
        <w:rPr>
          <w:rFonts w:cstheme="minorHAnsi"/>
          <w:color w:val="000000"/>
        </w:rPr>
      </w:pPr>
      <w:r>
        <w:rPr>
          <w:rFonts w:cstheme="minorHAnsi"/>
          <w:color w:val="000000"/>
        </w:rPr>
        <w:t>安全仪表系统（Safety Instrumented System，SIS）</w:t>
      </w:r>
    </w:p>
    <w:p w14:paraId="09C183B8">
      <w:pPr>
        <w:spacing w:line="360" w:lineRule="auto"/>
        <w:rPr>
          <w:rFonts w:cstheme="minorHAnsi"/>
          <w:color w:val="000000"/>
        </w:rPr>
      </w:pPr>
      <w:r>
        <w:rPr>
          <w:rFonts w:cstheme="minorHAnsi"/>
          <w:color w:val="000000"/>
        </w:rPr>
        <w:t>气体检测报警系统（Gas Detection System，GDS）</w:t>
      </w:r>
    </w:p>
    <w:p w14:paraId="5FE6DD2B">
      <w:pPr>
        <w:spacing w:line="360" w:lineRule="auto"/>
        <w:rPr>
          <w:rFonts w:cstheme="minorHAnsi"/>
          <w:color w:val="000000"/>
        </w:rPr>
      </w:pPr>
      <w:r>
        <w:rPr>
          <w:rFonts w:cstheme="minorHAnsi"/>
          <w:color w:val="000000"/>
        </w:rPr>
        <w:t>不间断电源（Uninterruptable Power Supply，UPS）</w:t>
      </w:r>
    </w:p>
    <w:p w14:paraId="36BFA4B8">
      <w:pPr>
        <w:spacing w:line="360" w:lineRule="auto"/>
        <w:rPr>
          <w:rFonts w:cstheme="minorHAnsi"/>
          <w:color w:val="000000"/>
        </w:rPr>
      </w:pPr>
      <w:r>
        <w:rPr>
          <w:rFonts w:cstheme="minorHAnsi"/>
          <w:color w:val="000000"/>
        </w:rPr>
        <w:t>危险和可操作性分析（Hazard and Operability Study，HAZOP）</w:t>
      </w:r>
    </w:p>
    <w:p w14:paraId="44D94E0E">
      <w:pPr>
        <w:spacing w:line="360" w:lineRule="auto"/>
        <w:rPr>
          <w:rFonts w:cs="Arial"/>
          <w:b/>
          <w:color w:val="000000"/>
        </w:rPr>
      </w:pPr>
      <w:r>
        <w:rPr>
          <w:rFonts w:cstheme="minorHAnsi"/>
          <w:color w:val="000000"/>
        </w:rPr>
        <w:t>数据采集系统（</w:t>
      </w:r>
      <w:r>
        <w:rPr>
          <w:rFonts w:hint="eastAsia" w:cstheme="minorHAnsi"/>
          <w:color w:val="000000"/>
        </w:rPr>
        <w:t>Data</w:t>
      </w:r>
      <w:r>
        <w:rPr>
          <w:rFonts w:cstheme="minorHAnsi"/>
          <w:color w:val="000000"/>
        </w:rPr>
        <w:t xml:space="preserve"> A</w:t>
      </w:r>
      <w:r>
        <w:rPr>
          <w:rFonts w:hint="eastAsia" w:cstheme="minorHAnsi"/>
          <w:color w:val="000000"/>
        </w:rPr>
        <w:t>cquisition</w:t>
      </w:r>
      <w:r>
        <w:rPr>
          <w:rFonts w:cstheme="minorHAnsi"/>
          <w:color w:val="000000"/>
        </w:rPr>
        <w:t xml:space="preserve"> S</w:t>
      </w:r>
      <w:r>
        <w:rPr>
          <w:rFonts w:hint="eastAsia" w:cstheme="minorHAnsi"/>
          <w:color w:val="000000"/>
        </w:rPr>
        <w:t>ystem</w:t>
      </w:r>
      <w:r>
        <w:rPr>
          <w:rFonts w:cstheme="minorHAnsi"/>
          <w:color w:val="000000"/>
        </w:rPr>
        <w:t>，</w:t>
      </w:r>
      <w:r>
        <w:rPr>
          <w:rFonts w:hint="eastAsia" w:cstheme="minorHAnsi"/>
          <w:color w:val="000000"/>
        </w:rPr>
        <w:t>D</w:t>
      </w:r>
      <w:r>
        <w:rPr>
          <w:rFonts w:cstheme="minorHAnsi"/>
          <w:color w:val="000000"/>
        </w:rPr>
        <w:t>AS）</w:t>
      </w:r>
    </w:p>
    <w:p w14:paraId="5F944BD8">
      <w:pPr>
        <w:pStyle w:val="2"/>
        <w:numPr>
          <w:ilvl w:val="0"/>
          <w:numId w:val="2"/>
        </w:numPr>
        <w:spacing w:after="360" w:line="360" w:lineRule="auto"/>
        <w:jc w:val="center"/>
        <w:rPr>
          <w:rFonts w:hAnsi="宋体"/>
          <w:sz w:val="28"/>
          <w:szCs w:val="21"/>
        </w:rPr>
      </w:pPr>
      <w:bookmarkStart w:id="25" w:name="_Toc145683582"/>
      <w:bookmarkStart w:id="26" w:name="_Toc145683523"/>
      <w:bookmarkStart w:id="27" w:name="_Toc206160050"/>
      <w:bookmarkStart w:id="28" w:name="_Toc206080459"/>
      <w:bookmarkStart w:id="29" w:name="_Toc206073847"/>
      <w:bookmarkStart w:id="30" w:name="_Toc206171695"/>
      <w:r>
        <w:rPr>
          <w:rFonts w:hint="eastAsia" w:hAnsi="宋体"/>
          <w:sz w:val="28"/>
          <w:szCs w:val="21"/>
        </w:rPr>
        <w:t>基本规定</w:t>
      </w:r>
      <w:bookmarkEnd w:id="25"/>
      <w:bookmarkEnd w:id="26"/>
      <w:bookmarkEnd w:id="27"/>
      <w:bookmarkEnd w:id="28"/>
      <w:bookmarkEnd w:id="29"/>
      <w:bookmarkEnd w:id="30"/>
    </w:p>
    <w:p w14:paraId="46C02815">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3.0.1 VOC</w:t>
      </w:r>
      <w:r>
        <w:rPr>
          <w:rFonts w:hint="eastAsia" w:eastAsia="宋体" w:cstheme="minorHAnsi"/>
          <w:kern w:val="0"/>
          <w:szCs w:val="20"/>
        </w:rPr>
        <w:t>s冷凝法回收装置应满足适用标准规范要求，保障安全性和可靠性。</w:t>
      </w:r>
    </w:p>
    <w:p w14:paraId="31A5E9B1">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3.0.2 VOCs冷凝法回收装置宜采用基本过程控制系统</w:t>
      </w:r>
      <w:r>
        <w:rPr>
          <w:rFonts w:hint="eastAsia" w:eastAsia="宋体" w:cstheme="minorHAnsi"/>
          <w:kern w:val="0"/>
          <w:szCs w:val="20"/>
        </w:rPr>
        <w:t>（</w:t>
      </w:r>
      <w:r>
        <w:rPr>
          <w:rFonts w:eastAsia="宋体" w:cstheme="minorHAnsi"/>
          <w:kern w:val="0"/>
          <w:szCs w:val="20"/>
        </w:rPr>
        <w:t>BPCS</w:t>
      </w:r>
      <w:r>
        <w:rPr>
          <w:rFonts w:hint="eastAsia" w:eastAsia="宋体" w:cstheme="minorHAnsi"/>
          <w:kern w:val="0"/>
          <w:szCs w:val="20"/>
        </w:rPr>
        <w:t>）</w:t>
      </w:r>
      <w:r>
        <w:rPr>
          <w:rFonts w:eastAsia="宋体" w:cstheme="minorHAnsi"/>
          <w:kern w:val="0"/>
          <w:szCs w:val="20"/>
        </w:rPr>
        <w:t>实现过程参数的监视、控制及报警等，</w:t>
      </w:r>
      <w:r>
        <w:rPr>
          <w:rFonts w:hint="eastAsia" w:eastAsia="宋体" w:cstheme="minorHAnsi"/>
          <w:kern w:val="0"/>
          <w:szCs w:val="20"/>
        </w:rPr>
        <w:t>B</w:t>
      </w:r>
      <w:r>
        <w:rPr>
          <w:rFonts w:eastAsia="宋体" w:cstheme="minorHAnsi"/>
          <w:kern w:val="0"/>
          <w:szCs w:val="20"/>
        </w:rPr>
        <w:t>PCS</w:t>
      </w:r>
      <w:r>
        <w:rPr>
          <w:rFonts w:hint="eastAsia" w:eastAsia="宋体" w:cstheme="minorHAnsi"/>
          <w:kern w:val="0"/>
          <w:szCs w:val="20"/>
        </w:rPr>
        <w:t>宜</w:t>
      </w:r>
      <w:r>
        <w:rPr>
          <w:rFonts w:eastAsia="宋体" w:cstheme="minorHAnsi"/>
          <w:kern w:val="0"/>
          <w:szCs w:val="20"/>
        </w:rPr>
        <w:t>与</w:t>
      </w:r>
      <w:r>
        <w:rPr>
          <w:rFonts w:hint="eastAsia" w:eastAsia="宋体" w:cstheme="minorHAnsi"/>
          <w:kern w:val="0"/>
          <w:szCs w:val="20"/>
        </w:rPr>
        <w:t>相关装置共</w:t>
      </w:r>
      <w:r>
        <w:rPr>
          <w:rFonts w:eastAsia="宋体" w:cstheme="minorHAnsi"/>
          <w:kern w:val="0"/>
          <w:szCs w:val="20"/>
        </w:rPr>
        <w:t>用。</w:t>
      </w:r>
    </w:p>
    <w:p w14:paraId="7BD8FD69">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3.0.3 VOCs冷凝法回收装置应根据泄露危险介质的特性设置可燃</w:t>
      </w:r>
      <w:r>
        <w:rPr>
          <w:rFonts w:hint="eastAsia" w:eastAsia="宋体" w:cstheme="minorHAnsi"/>
          <w:kern w:val="0"/>
          <w:szCs w:val="20"/>
        </w:rPr>
        <w:t>气体和</w:t>
      </w:r>
      <w:r>
        <w:rPr>
          <w:rFonts w:eastAsia="宋体" w:cstheme="minorHAnsi"/>
          <w:kern w:val="0"/>
          <w:szCs w:val="20"/>
        </w:rPr>
        <w:t>有毒气体检测报警系统（GDS）。GDS的设计选用应符合现行标准《石油化工可燃气体和有毒气体检测报警设计标准》GB/T 50493要求。</w:t>
      </w:r>
      <w:r>
        <w:rPr>
          <w:rFonts w:hint="eastAsia" w:eastAsia="宋体" w:cstheme="minorHAnsi"/>
          <w:kern w:val="0"/>
          <w:szCs w:val="20"/>
        </w:rPr>
        <w:t>G</w:t>
      </w:r>
      <w:r>
        <w:rPr>
          <w:rFonts w:eastAsia="宋体" w:cstheme="minorHAnsi"/>
          <w:kern w:val="0"/>
          <w:szCs w:val="20"/>
        </w:rPr>
        <w:t>DS</w:t>
      </w:r>
      <w:r>
        <w:rPr>
          <w:rFonts w:hint="eastAsia" w:eastAsia="宋体" w:cstheme="minorHAnsi"/>
          <w:kern w:val="0"/>
          <w:szCs w:val="20"/>
        </w:rPr>
        <w:t>宜</w:t>
      </w:r>
      <w:r>
        <w:rPr>
          <w:rFonts w:eastAsia="宋体" w:cstheme="minorHAnsi"/>
          <w:kern w:val="0"/>
          <w:szCs w:val="20"/>
        </w:rPr>
        <w:t>与相关装置</w:t>
      </w:r>
      <w:r>
        <w:rPr>
          <w:rFonts w:hint="eastAsia" w:eastAsia="宋体" w:cstheme="minorHAnsi"/>
          <w:kern w:val="0"/>
          <w:szCs w:val="20"/>
        </w:rPr>
        <w:t>共</w:t>
      </w:r>
      <w:r>
        <w:rPr>
          <w:rFonts w:eastAsia="宋体" w:cstheme="minorHAnsi"/>
          <w:kern w:val="0"/>
          <w:szCs w:val="20"/>
        </w:rPr>
        <w:t>用。</w:t>
      </w:r>
    </w:p>
    <w:p w14:paraId="6B609BAA">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3.0.4 VOCs冷凝</w:t>
      </w:r>
      <w:r>
        <w:rPr>
          <w:rFonts w:hint="eastAsia" w:eastAsia="宋体" w:cstheme="minorHAnsi"/>
          <w:kern w:val="0"/>
          <w:szCs w:val="20"/>
        </w:rPr>
        <w:t>法</w:t>
      </w:r>
      <w:r>
        <w:rPr>
          <w:rFonts w:eastAsia="宋体" w:cstheme="minorHAnsi"/>
          <w:kern w:val="0"/>
          <w:szCs w:val="20"/>
        </w:rPr>
        <w:t>回收</w:t>
      </w:r>
      <w:r>
        <w:rPr>
          <w:rFonts w:hint="eastAsia" w:eastAsia="宋体" w:cstheme="minorHAnsi"/>
          <w:kern w:val="0"/>
          <w:szCs w:val="20"/>
        </w:rPr>
        <w:t>装置</w:t>
      </w:r>
      <w:r>
        <w:rPr>
          <w:rFonts w:eastAsia="宋体" w:cstheme="minorHAnsi"/>
          <w:kern w:val="0"/>
          <w:szCs w:val="20"/>
        </w:rPr>
        <w:t>排放监测分析仪表的设置和技术要求应符合现行国标《</w:t>
      </w:r>
      <w:r>
        <w:rPr>
          <w:rFonts w:hint="eastAsia" w:eastAsia="宋体" w:cstheme="minorHAnsi"/>
          <w:kern w:val="0"/>
          <w:szCs w:val="20"/>
        </w:rPr>
        <w:t>固定污染源废气非甲烷总烃连续监测系统技术要求及检测方法</w:t>
      </w:r>
      <w:r>
        <w:rPr>
          <w:rFonts w:eastAsia="宋体" w:cstheme="minorHAnsi"/>
          <w:kern w:val="0"/>
          <w:szCs w:val="20"/>
        </w:rPr>
        <w:t>》HJ 1013及相关行业标准要求。</w:t>
      </w:r>
    </w:p>
    <w:p w14:paraId="7A1592BA">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3.0.5 </w:t>
      </w:r>
      <w:r>
        <w:rPr>
          <w:rFonts w:hint="eastAsia" w:eastAsia="宋体" w:cstheme="minorHAnsi"/>
          <w:kern w:val="0"/>
          <w:szCs w:val="20"/>
        </w:rPr>
        <w:t>VOCs冷凝法回收装置可根据生产操作、管理模式、安全保护等实际情况宜与相关装置机柜间共用，也可采用远程I</w:t>
      </w:r>
      <w:r>
        <w:rPr>
          <w:rFonts w:eastAsia="宋体" w:cstheme="minorHAnsi"/>
          <w:kern w:val="0"/>
          <w:szCs w:val="20"/>
        </w:rPr>
        <w:t>O</w:t>
      </w:r>
      <w:r>
        <w:rPr>
          <w:rFonts w:hint="eastAsia" w:eastAsia="宋体" w:cstheme="minorHAnsi"/>
          <w:kern w:val="0"/>
          <w:szCs w:val="20"/>
        </w:rPr>
        <w:t>机柜模式。</w:t>
      </w:r>
    </w:p>
    <w:p w14:paraId="6196143B">
      <w:pPr>
        <w:numPr>
          <w:ilvl w:val="2"/>
          <w:numId w:val="0"/>
        </w:numPr>
        <w:tabs>
          <w:tab w:val="left" w:pos="426"/>
          <w:tab w:val="left" w:pos="567"/>
        </w:tabs>
        <w:spacing w:line="360" w:lineRule="auto"/>
        <w:rPr>
          <w:rFonts w:cs="Arial"/>
          <w:color w:val="000000"/>
        </w:rPr>
      </w:pPr>
      <w:r>
        <w:rPr>
          <w:rFonts w:cs="Arial"/>
          <w:color w:val="000000"/>
        </w:rPr>
        <w:t>3.0.6 VOC</w:t>
      </w:r>
      <w:r>
        <w:rPr>
          <w:rFonts w:hint="eastAsia" w:cs="Arial"/>
          <w:color w:val="000000"/>
        </w:rPr>
        <w:t>s冷凝法回收装置现场电子式仪表应满足爆炸危险等级的要求，应选用符合国家防爆标准、具有相关防爆合格证的产品。</w:t>
      </w:r>
    </w:p>
    <w:p w14:paraId="559305AE">
      <w:pPr>
        <w:numPr>
          <w:ilvl w:val="2"/>
          <w:numId w:val="0"/>
        </w:numPr>
        <w:tabs>
          <w:tab w:val="left" w:pos="426"/>
          <w:tab w:val="left" w:pos="567"/>
        </w:tabs>
        <w:spacing w:line="360" w:lineRule="auto"/>
        <w:rPr>
          <w:rFonts w:cs="Arial"/>
          <w:color w:val="000000"/>
        </w:rPr>
      </w:pPr>
      <w:r>
        <w:rPr>
          <w:rFonts w:cs="Arial"/>
          <w:color w:val="000000"/>
        </w:rPr>
        <w:t>3.0.7 VOC</w:t>
      </w:r>
      <w:r>
        <w:rPr>
          <w:rFonts w:hint="eastAsia" w:cs="Arial"/>
          <w:color w:val="000000"/>
        </w:rPr>
        <w:t>s冷凝法回收装置</w:t>
      </w:r>
      <w:r>
        <w:rPr>
          <w:rFonts w:ascii="宋体" w:hAnsi="宋体"/>
        </w:rPr>
        <w:t>现场安装的电子式仪表应满足</w:t>
      </w:r>
      <w:r>
        <w:rPr>
          <w:rFonts w:hint="eastAsia" w:ascii="宋体" w:hAnsi="宋体"/>
        </w:rPr>
        <w:t>现行国家标准《</w:t>
      </w:r>
      <w:r>
        <w:t>外壳防护等级(</w:t>
      </w:r>
      <w:r>
        <w:rPr>
          <w:rFonts w:ascii="宋体" w:hAnsi="宋体"/>
        </w:rPr>
        <w:t>IP</w:t>
      </w:r>
      <w:r>
        <w:t>代码)》</w:t>
      </w:r>
      <w:r>
        <w:rPr>
          <w:rFonts w:ascii="宋体" w:hAnsi="宋体"/>
        </w:rPr>
        <w:t>GB/T</w:t>
      </w:r>
      <w:r>
        <w:rPr>
          <w:rFonts w:hint="eastAsia" w:ascii="宋体" w:hAnsi="宋体"/>
        </w:rPr>
        <w:t xml:space="preserve"> </w:t>
      </w:r>
      <w:r>
        <w:rPr>
          <w:rFonts w:ascii="宋体" w:hAnsi="宋体"/>
        </w:rPr>
        <w:t>4208规定的IP65</w:t>
      </w:r>
      <w:r>
        <w:rPr>
          <w:rFonts w:hint="eastAsia" w:ascii="宋体" w:hAnsi="宋体"/>
        </w:rPr>
        <w:t>及以上</w:t>
      </w:r>
      <w:r>
        <w:rPr>
          <w:rFonts w:ascii="宋体" w:hAnsi="宋体"/>
        </w:rPr>
        <w:t>防护等级</w:t>
      </w:r>
      <w:r>
        <w:rPr>
          <w:rFonts w:hint="eastAsia" w:ascii="宋体" w:hAnsi="宋体"/>
        </w:rPr>
        <w:t>，</w:t>
      </w:r>
      <w:r>
        <w:rPr>
          <w:rFonts w:ascii="宋体" w:hAnsi="宋体"/>
        </w:rPr>
        <w:t>非电子式现场仪表应满足IP55</w:t>
      </w:r>
      <w:r>
        <w:rPr>
          <w:rFonts w:hint="eastAsia" w:ascii="宋体" w:hAnsi="宋体"/>
        </w:rPr>
        <w:t>及以上</w:t>
      </w:r>
      <w:r>
        <w:rPr>
          <w:rFonts w:ascii="宋体" w:hAnsi="宋体"/>
        </w:rPr>
        <w:t>防护等级</w:t>
      </w:r>
      <w:r>
        <w:rPr>
          <w:rFonts w:hint="eastAsia" w:ascii="宋体" w:hAnsi="宋体"/>
        </w:rPr>
        <w:t>。</w:t>
      </w:r>
    </w:p>
    <w:p w14:paraId="652A198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6989DB3A">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bookmarkEnd w:id="17"/>
    <w:bookmarkEnd w:id="18"/>
    <w:p w14:paraId="68AC3FBF">
      <w:pPr>
        <w:pStyle w:val="2"/>
        <w:numPr>
          <w:ilvl w:val="0"/>
          <w:numId w:val="2"/>
        </w:numPr>
        <w:spacing w:after="360" w:line="360" w:lineRule="auto"/>
        <w:jc w:val="center"/>
        <w:rPr>
          <w:rFonts w:hAnsi="宋体"/>
          <w:sz w:val="28"/>
          <w:szCs w:val="21"/>
        </w:rPr>
      </w:pPr>
      <w:bookmarkStart w:id="31" w:name="_Toc206171696"/>
      <w:bookmarkStart w:id="32" w:name="_Toc206073848"/>
      <w:bookmarkStart w:id="33" w:name="_Toc145683524"/>
      <w:bookmarkStart w:id="34" w:name="_Toc145683583"/>
      <w:bookmarkStart w:id="35" w:name="_Toc206080460"/>
      <w:bookmarkStart w:id="36" w:name="_Toc206160051"/>
      <w:r>
        <w:rPr>
          <w:rFonts w:hint="eastAsia" w:hAnsi="宋体"/>
          <w:sz w:val="28"/>
          <w:szCs w:val="21"/>
        </w:rPr>
        <w:t>测控要求</w:t>
      </w:r>
      <w:bookmarkEnd w:id="31"/>
      <w:bookmarkEnd w:id="32"/>
      <w:bookmarkEnd w:id="33"/>
      <w:bookmarkEnd w:id="34"/>
      <w:bookmarkEnd w:id="35"/>
      <w:bookmarkEnd w:id="36"/>
    </w:p>
    <w:p w14:paraId="61B6F204">
      <w:pPr>
        <w:pStyle w:val="3"/>
        <w:numPr>
          <w:ilvl w:val="1"/>
          <w:numId w:val="2"/>
        </w:numPr>
        <w:spacing w:after="100" w:line="360" w:lineRule="auto"/>
        <w:ind w:left="426" w:hanging="426"/>
        <w:jc w:val="center"/>
        <w:rPr>
          <w:sz w:val="21"/>
        </w:rPr>
      </w:pPr>
      <w:bookmarkStart w:id="37" w:name="_Toc206073849"/>
      <w:bookmarkStart w:id="38" w:name="_Toc206160052"/>
      <w:bookmarkStart w:id="39" w:name="_Toc206171697"/>
      <w:bookmarkStart w:id="40" w:name="_Toc206080461"/>
      <w:r>
        <w:rPr>
          <w:rFonts w:hint="eastAsia"/>
          <w:sz w:val="21"/>
        </w:rPr>
        <w:t>V</w:t>
      </w:r>
      <w:r>
        <w:rPr>
          <w:sz w:val="21"/>
        </w:rPr>
        <w:t>OC</w:t>
      </w:r>
      <w:r>
        <w:rPr>
          <w:rFonts w:hint="eastAsia"/>
          <w:sz w:val="21"/>
        </w:rPr>
        <w:t>s冷凝法回收装置测控要求</w:t>
      </w:r>
      <w:bookmarkEnd w:id="37"/>
      <w:bookmarkEnd w:id="38"/>
      <w:bookmarkEnd w:id="39"/>
      <w:bookmarkEnd w:id="40"/>
    </w:p>
    <w:p w14:paraId="0EE8FF85">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4.1.1 待处理气体压力可采用引风机频率或调节阀开度等</w:t>
      </w:r>
      <w:r>
        <w:rPr>
          <w:rFonts w:hint="eastAsia" w:eastAsia="宋体" w:cstheme="minorHAnsi"/>
          <w:kern w:val="0"/>
          <w:szCs w:val="20"/>
        </w:rPr>
        <w:t>调节</w:t>
      </w:r>
      <w:r>
        <w:rPr>
          <w:rFonts w:eastAsia="宋体" w:cstheme="minorHAnsi"/>
          <w:kern w:val="0"/>
          <w:szCs w:val="20"/>
        </w:rPr>
        <w:t>措施。气体温度可采用制冷剂流量、相变制冷剂回气压力等</w:t>
      </w:r>
      <w:r>
        <w:rPr>
          <w:rFonts w:hint="eastAsia" w:eastAsia="宋体" w:cstheme="minorHAnsi"/>
          <w:kern w:val="0"/>
          <w:szCs w:val="20"/>
        </w:rPr>
        <w:t>调节</w:t>
      </w:r>
      <w:r>
        <w:rPr>
          <w:rFonts w:eastAsia="宋体" w:cstheme="minorHAnsi"/>
          <w:kern w:val="0"/>
          <w:szCs w:val="20"/>
        </w:rPr>
        <w:t>措施。各储罐或塔</w:t>
      </w:r>
      <w:r>
        <w:rPr>
          <w:rFonts w:hint="eastAsia" w:eastAsia="宋体" w:cstheme="minorHAnsi"/>
          <w:kern w:val="0"/>
          <w:szCs w:val="20"/>
        </w:rPr>
        <w:t>釜</w:t>
      </w:r>
      <w:r>
        <w:rPr>
          <w:rFonts w:eastAsia="宋体" w:cstheme="minorHAnsi"/>
          <w:kern w:val="0"/>
          <w:szCs w:val="20"/>
        </w:rPr>
        <w:t>液位可采用出口调节阀、泵运转频率、泵启停等</w:t>
      </w:r>
      <w:r>
        <w:rPr>
          <w:rFonts w:hint="eastAsia" w:eastAsia="宋体" w:cstheme="minorHAnsi"/>
          <w:kern w:val="0"/>
          <w:szCs w:val="20"/>
        </w:rPr>
        <w:t>调节</w:t>
      </w:r>
      <w:r>
        <w:rPr>
          <w:rFonts w:eastAsia="宋体" w:cstheme="minorHAnsi"/>
          <w:kern w:val="0"/>
          <w:szCs w:val="20"/>
        </w:rPr>
        <w:t>措施。</w:t>
      </w:r>
    </w:p>
    <w:p w14:paraId="7DDB8CC6">
      <w:pPr>
        <w:widowControl/>
        <w:tabs>
          <w:tab w:val="center" w:pos="4201"/>
          <w:tab w:val="left" w:pos="5925"/>
        </w:tabs>
        <w:autoSpaceDE w:val="0"/>
        <w:autoSpaceDN w:val="0"/>
        <w:spacing w:line="360" w:lineRule="auto"/>
        <w:rPr>
          <w:rFonts w:eastAsia="宋体" w:cstheme="minorHAnsi"/>
          <w:kern w:val="0"/>
          <w:szCs w:val="20"/>
        </w:rPr>
      </w:pPr>
      <w:r>
        <w:rPr>
          <w:rFonts w:eastAsia="宋体" w:cstheme="minorHAnsi"/>
          <w:kern w:val="0"/>
          <w:szCs w:val="20"/>
        </w:rPr>
        <w:t xml:space="preserve">4.1.2 </w:t>
      </w:r>
      <w:r>
        <w:rPr>
          <w:rFonts w:hint="eastAsia" w:eastAsia="宋体" w:cstheme="minorHAnsi"/>
          <w:kern w:val="0"/>
          <w:szCs w:val="20"/>
        </w:rPr>
        <w:t>待处理气体管路及</w:t>
      </w:r>
      <w:r>
        <w:rPr>
          <w:rFonts w:eastAsia="宋体" w:cstheme="minorHAnsi"/>
          <w:kern w:val="0"/>
          <w:szCs w:val="20"/>
        </w:rPr>
        <w:t>处理后</w:t>
      </w:r>
      <w:r>
        <w:rPr>
          <w:rFonts w:hint="eastAsia" w:eastAsia="宋体" w:cstheme="minorHAnsi"/>
          <w:kern w:val="0"/>
          <w:szCs w:val="20"/>
        </w:rPr>
        <w:t>排放</w:t>
      </w:r>
      <w:r>
        <w:rPr>
          <w:rFonts w:eastAsia="宋体" w:cstheme="minorHAnsi"/>
          <w:kern w:val="0"/>
          <w:szCs w:val="20"/>
        </w:rPr>
        <w:t>气体管路应设置永久性采样口</w:t>
      </w:r>
      <w:r>
        <w:rPr>
          <w:rFonts w:hint="eastAsia" w:eastAsia="宋体" w:cstheme="minorHAnsi"/>
          <w:kern w:val="0"/>
          <w:szCs w:val="20"/>
        </w:rPr>
        <w:t>或在线分析仪。</w:t>
      </w:r>
    </w:p>
    <w:p w14:paraId="46E38EE8">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4.1.3 冷凝</w:t>
      </w:r>
      <w:r>
        <w:rPr>
          <w:rFonts w:hint="eastAsia" w:eastAsia="宋体" w:cstheme="minorHAnsi"/>
          <w:kern w:val="0"/>
          <w:szCs w:val="20"/>
        </w:rPr>
        <w:t>法</w:t>
      </w:r>
      <w:r>
        <w:rPr>
          <w:rFonts w:eastAsia="宋体" w:cstheme="minorHAnsi"/>
          <w:kern w:val="0"/>
          <w:szCs w:val="20"/>
        </w:rPr>
        <w:t>回收</w:t>
      </w:r>
      <w:r>
        <w:rPr>
          <w:rFonts w:hint="eastAsia" w:eastAsia="宋体" w:cstheme="minorHAnsi"/>
          <w:kern w:val="0"/>
          <w:szCs w:val="20"/>
        </w:rPr>
        <w:t>装置主</w:t>
      </w:r>
      <w:r>
        <w:rPr>
          <w:rFonts w:eastAsia="宋体" w:cstheme="minorHAnsi"/>
          <w:kern w:val="0"/>
          <w:szCs w:val="20"/>
        </w:rPr>
        <w:t>要控制</w:t>
      </w:r>
      <w:r>
        <w:rPr>
          <w:rFonts w:hint="eastAsia" w:eastAsia="宋体" w:cstheme="minorHAnsi"/>
          <w:kern w:val="0"/>
          <w:szCs w:val="20"/>
        </w:rPr>
        <w:t>项目宜</w:t>
      </w:r>
      <w:r>
        <w:rPr>
          <w:rFonts w:eastAsia="宋体" w:cstheme="minorHAnsi"/>
          <w:kern w:val="0"/>
          <w:szCs w:val="20"/>
        </w:rPr>
        <w:t>包括：气体压力控制、各处气体温度控制、制冷机负荷或制冷剂流量控制、储液罐液位控制等。</w:t>
      </w:r>
      <w:r>
        <w:rPr>
          <w:rFonts w:hint="eastAsia" w:eastAsia="宋体" w:cstheme="minorHAnsi"/>
          <w:kern w:val="0"/>
          <w:szCs w:val="20"/>
        </w:rPr>
        <w:t>主要控制项目详见附录B。</w:t>
      </w:r>
    </w:p>
    <w:p w14:paraId="63EFD6D5">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4.1.4 冷凝</w:t>
      </w:r>
      <w:r>
        <w:rPr>
          <w:rFonts w:hint="eastAsia" w:eastAsia="宋体" w:cstheme="minorHAnsi"/>
          <w:kern w:val="0"/>
          <w:szCs w:val="20"/>
        </w:rPr>
        <w:t>法</w:t>
      </w:r>
      <w:r>
        <w:rPr>
          <w:rFonts w:eastAsia="宋体" w:cstheme="minorHAnsi"/>
          <w:kern w:val="0"/>
          <w:szCs w:val="20"/>
        </w:rPr>
        <w:t>回收</w:t>
      </w:r>
      <w:r>
        <w:rPr>
          <w:rFonts w:hint="eastAsia" w:eastAsia="宋体" w:cstheme="minorHAnsi"/>
          <w:kern w:val="0"/>
          <w:szCs w:val="20"/>
        </w:rPr>
        <w:t>装置主要</w:t>
      </w:r>
      <w:r>
        <w:rPr>
          <w:rFonts w:eastAsia="宋体" w:cstheme="minorHAnsi"/>
          <w:kern w:val="0"/>
          <w:szCs w:val="20"/>
        </w:rPr>
        <w:t>报警联锁</w:t>
      </w:r>
      <w:r>
        <w:rPr>
          <w:rFonts w:hint="eastAsia" w:eastAsia="宋体" w:cstheme="minorHAnsi"/>
          <w:kern w:val="0"/>
          <w:szCs w:val="20"/>
        </w:rPr>
        <w:t>项目宜</w:t>
      </w:r>
      <w:r>
        <w:rPr>
          <w:rFonts w:eastAsia="宋体" w:cstheme="minorHAnsi"/>
          <w:kern w:val="0"/>
          <w:szCs w:val="20"/>
        </w:rPr>
        <w:t>包括：气体压力高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气体温度高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气体温度低</w:t>
      </w:r>
      <w:r>
        <w:rPr>
          <w:rFonts w:hint="eastAsia" w:eastAsia="宋体" w:cstheme="minorHAnsi"/>
          <w:kern w:val="0"/>
          <w:szCs w:val="20"/>
        </w:rPr>
        <w:t>报警</w:t>
      </w:r>
      <w:r>
        <w:rPr>
          <w:rFonts w:eastAsia="宋体" w:cstheme="minorHAnsi"/>
          <w:kern w:val="0"/>
          <w:szCs w:val="20"/>
        </w:rPr>
        <w:t>、低低</w:t>
      </w:r>
      <w:r>
        <w:rPr>
          <w:rFonts w:hint="eastAsia" w:eastAsia="宋体" w:cstheme="minorHAnsi"/>
          <w:kern w:val="0"/>
          <w:szCs w:val="20"/>
        </w:rPr>
        <w:t>联锁；</w:t>
      </w:r>
      <w:r>
        <w:rPr>
          <w:rFonts w:eastAsia="宋体" w:cstheme="minorHAnsi"/>
          <w:kern w:val="0"/>
          <w:szCs w:val="20"/>
        </w:rPr>
        <w:t>制冷剂流量低</w:t>
      </w:r>
      <w:r>
        <w:rPr>
          <w:rFonts w:hint="eastAsia" w:eastAsia="宋体" w:cstheme="minorHAnsi"/>
          <w:kern w:val="0"/>
          <w:szCs w:val="20"/>
        </w:rPr>
        <w:t>报警；</w:t>
      </w:r>
      <w:r>
        <w:rPr>
          <w:rFonts w:eastAsia="宋体" w:cstheme="minorHAnsi"/>
          <w:kern w:val="0"/>
          <w:szCs w:val="20"/>
        </w:rPr>
        <w:t>储液罐液位高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储液罐液位低</w:t>
      </w:r>
      <w:r>
        <w:rPr>
          <w:rFonts w:hint="eastAsia" w:eastAsia="宋体" w:cstheme="minorHAnsi"/>
          <w:kern w:val="0"/>
          <w:szCs w:val="20"/>
        </w:rPr>
        <w:t>报警、</w:t>
      </w:r>
      <w:r>
        <w:rPr>
          <w:rFonts w:eastAsia="宋体" w:cstheme="minorHAnsi"/>
          <w:kern w:val="0"/>
          <w:szCs w:val="20"/>
        </w:rPr>
        <w:t>低低</w:t>
      </w:r>
      <w:r>
        <w:rPr>
          <w:rFonts w:hint="eastAsia" w:eastAsia="宋体" w:cstheme="minorHAnsi"/>
          <w:kern w:val="0"/>
          <w:szCs w:val="20"/>
        </w:rPr>
        <w:t>联锁；</w:t>
      </w:r>
      <w:r>
        <w:rPr>
          <w:rFonts w:eastAsia="宋体" w:cstheme="minorHAnsi"/>
          <w:kern w:val="0"/>
          <w:szCs w:val="20"/>
        </w:rPr>
        <w:t>冷凝器压差高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等。</w:t>
      </w:r>
      <w:r>
        <w:rPr>
          <w:rFonts w:hint="eastAsia" w:eastAsia="宋体" w:cstheme="minorHAnsi"/>
          <w:kern w:val="0"/>
          <w:szCs w:val="20"/>
        </w:rPr>
        <w:t>主要报警联锁项目详见附录C。</w:t>
      </w:r>
    </w:p>
    <w:p w14:paraId="2B5F9894">
      <w:pPr>
        <w:widowControl/>
        <w:tabs>
          <w:tab w:val="center" w:pos="4201"/>
          <w:tab w:val="right" w:leader="dot" w:pos="9298"/>
        </w:tabs>
        <w:autoSpaceDE w:val="0"/>
        <w:autoSpaceDN w:val="0"/>
        <w:spacing w:line="360" w:lineRule="auto"/>
      </w:pPr>
      <w:r>
        <w:rPr>
          <w:rFonts w:hint="eastAsia"/>
        </w:rPr>
        <w:t>4</w:t>
      </w:r>
      <w:r>
        <w:t xml:space="preserve">.1.5 </w:t>
      </w:r>
      <w:r>
        <w:rPr>
          <w:rFonts w:hint="eastAsia"/>
        </w:rPr>
        <w:t>冷凝法回收装置典型工艺控制流程图详见附录A</w:t>
      </w:r>
      <w:r>
        <w:rPr>
          <w:rFonts w:hint="eastAsia"/>
          <w:lang w:eastAsia="zh-CN"/>
        </w:rPr>
        <w:t>中图</w:t>
      </w:r>
      <w:r>
        <w:rPr>
          <w:rFonts w:hint="eastAsia"/>
          <w:lang w:val="en-US" w:eastAsia="zh-CN"/>
        </w:rPr>
        <w:t>A-1和图A-2</w:t>
      </w:r>
      <w:r>
        <w:rPr>
          <w:rFonts w:hint="eastAsia"/>
        </w:rPr>
        <w:t>。</w:t>
      </w:r>
    </w:p>
    <w:p w14:paraId="288023D4">
      <w:pPr>
        <w:pStyle w:val="3"/>
        <w:numPr>
          <w:ilvl w:val="1"/>
          <w:numId w:val="2"/>
        </w:numPr>
        <w:spacing w:after="100" w:line="360" w:lineRule="auto"/>
        <w:ind w:left="426" w:hanging="426"/>
        <w:jc w:val="center"/>
        <w:rPr>
          <w:sz w:val="21"/>
        </w:rPr>
      </w:pPr>
      <w:bookmarkStart w:id="41" w:name="_Toc206080462"/>
      <w:bookmarkStart w:id="42" w:name="_Toc206073850"/>
      <w:bookmarkStart w:id="43" w:name="_Toc206160053"/>
      <w:bookmarkStart w:id="44" w:name="_Toc206171698"/>
      <w:r>
        <w:rPr>
          <w:rFonts w:hint="eastAsia"/>
          <w:sz w:val="21"/>
        </w:rPr>
        <w:t>V</w:t>
      </w:r>
      <w:r>
        <w:rPr>
          <w:sz w:val="21"/>
        </w:rPr>
        <w:t>OC</w:t>
      </w:r>
      <w:r>
        <w:rPr>
          <w:rFonts w:hint="eastAsia"/>
          <w:sz w:val="21"/>
        </w:rPr>
        <w:t>s冷凝+吸附法回收装置测控要求</w:t>
      </w:r>
      <w:bookmarkEnd w:id="41"/>
      <w:bookmarkEnd w:id="42"/>
      <w:bookmarkEnd w:id="43"/>
      <w:bookmarkEnd w:id="44"/>
    </w:p>
    <w:p w14:paraId="421C1583">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4.2.1 </w:t>
      </w:r>
      <w:r>
        <w:rPr>
          <w:rFonts w:cstheme="minorHAnsi"/>
        </w:rPr>
        <w:t>冷凝+吸附</w:t>
      </w:r>
      <w:r>
        <w:rPr>
          <w:rFonts w:hint="eastAsia" w:cstheme="minorHAnsi"/>
        </w:rPr>
        <w:t>法回收装置</w:t>
      </w:r>
      <w:r>
        <w:rPr>
          <w:rFonts w:eastAsia="宋体" w:cstheme="minorHAnsi"/>
          <w:kern w:val="0"/>
          <w:szCs w:val="20"/>
        </w:rPr>
        <w:t>在满足4.1</w:t>
      </w:r>
      <w:r>
        <w:rPr>
          <w:rFonts w:hint="eastAsia" w:eastAsia="宋体" w:cstheme="minorHAnsi"/>
          <w:kern w:val="0"/>
          <w:szCs w:val="20"/>
        </w:rPr>
        <w:t>节要求</w:t>
      </w:r>
      <w:r>
        <w:rPr>
          <w:rFonts w:eastAsia="宋体" w:cstheme="minorHAnsi"/>
          <w:kern w:val="0"/>
          <w:szCs w:val="20"/>
        </w:rPr>
        <w:t>的基础上还需满足吸附工艺的</w:t>
      </w:r>
      <w:r>
        <w:rPr>
          <w:rFonts w:hint="eastAsia" w:eastAsia="宋体" w:cstheme="minorHAnsi"/>
          <w:kern w:val="0"/>
          <w:szCs w:val="20"/>
        </w:rPr>
        <w:t>测控</w:t>
      </w:r>
      <w:r>
        <w:rPr>
          <w:rFonts w:eastAsia="宋体" w:cstheme="minorHAnsi"/>
          <w:kern w:val="0"/>
          <w:szCs w:val="20"/>
        </w:rPr>
        <w:t>要求。</w:t>
      </w:r>
    </w:p>
    <w:p w14:paraId="18951A6C">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4.2.2 吸附系统的净化效率</w:t>
      </w:r>
      <w:r>
        <w:rPr>
          <w:rFonts w:hint="eastAsia" w:eastAsia="宋体" w:cstheme="minorHAnsi"/>
          <w:kern w:val="0"/>
          <w:szCs w:val="20"/>
        </w:rPr>
        <w:t>应</w:t>
      </w:r>
      <w:r>
        <w:rPr>
          <w:rFonts w:eastAsia="宋体" w:cstheme="minorHAnsi"/>
          <w:kern w:val="0"/>
          <w:szCs w:val="20"/>
        </w:rPr>
        <w:t>不低于90%</w:t>
      </w:r>
      <w:r>
        <w:rPr>
          <w:rFonts w:hint="eastAsia" w:eastAsia="宋体" w:cstheme="minorHAnsi"/>
          <w:kern w:val="0"/>
          <w:szCs w:val="20"/>
        </w:rPr>
        <w:t>，宜设置差压变送器测量吸附罐压降。</w:t>
      </w:r>
    </w:p>
    <w:p w14:paraId="26936DDE">
      <w:pPr>
        <w:widowControl/>
        <w:tabs>
          <w:tab w:val="center" w:pos="4201"/>
          <w:tab w:val="right" w:leader="dot" w:pos="9298"/>
        </w:tabs>
        <w:autoSpaceDE w:val="0"/>
        <w:autoSpaceDN w:val="0"/>
        <w:spacing w:line="360" w:lineRule="auto"/>
        <w:rPr>
          <w:rFonts w:cstheme="minorHAnsi"/>
        </w:rPr>
      </w:pPr>
      <w:r>
        <w:rPr>
          <w:rFonts w:eastAsia="宋体" w:cstheme="minorHAnsi"/>
          <w:kern w:val="0"/>
          <w:szCs w:val="20"/>
        </w:rPr>
        <w:t xml:space="preserve">4.2.3 </w:t>
      </w:r>
      <w:r>
        <w:rPr>
          <w:rFonts w:cstheme="minorHAnsi"/>
        </w:rPr>
        <w:t>冷凝+吸附</w:t>
      </w:r>
      <w:r>
        <w:rPr>
          <w:rFonts w:hint="eastAsia" w:cstheme="minorHAnsi"/>
        </w:rPr>
        <w:t>法</w:t>
      </w:r>
      <w:r>
        <w:rPr>
          <w:rFonts w:cstheme="minorHAnsi"/>
        </w:rPr>
        <w:t>回收</w:t>
      </w:r>
      <w:r>
        <w:rPr>
          <w:rFonts w:hint="eastAsia" w:cstheme="minorHAnsi"/>
        </w:rPr>
        <w:t>装置主</w:t>
      </w:r>
      <w:r>
        <w:rPr>
          <w:rFonts w:eastAsia="宋体" w:cstheme="minorHAnsi"/>
          <w:kern w:val="0"/>
          <w:szCs w:val="20"/>
        </w:rPr>
        <w:t>要</w:t>
      </w:r>
      <w:r>
        <w:rPr>
          <w:rFonts w:hint="eastAsia" w:eastAsia="宋体" w:cstheme="minorHAnsi"/>
          <w:kern w:val="0"/>
          <w:szCs w:val="20"/>
        </w:rPr>
        <w:t>项目</w:t>
      </w:r>
      <w:r>
        <w:rPr>
          <w:rFonts w:eastAsia="宋体" w:cstheme="minorHAnsi"/>
          <w:kern w:val="0"/>
          <w:szCs w:val="20"/>
        </w:rPr>
        <w:t>包括：吸附罐再生周期等。对于双罐或多罐的吸附系统可采用顺序控制。</w:t>
      </w:r>
    </w:p>
    <w:p w14:paraId="00EA9D6B">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4.2.4 </w:t>
      </w:r>
      <w:r>
        <w:rPr>
          <w:rFonts w:cstheme="minorHAnsi"/>
        </w:rPr>
        <w:t>冷凝+吸附</w:t>
      </w:r>
      <w:r>
        <w:rPr>
          <w:rFonts w:hint="eastAsia" w:cstheme="minorHAnsi"/>
        </w:rPr>
        <w:t>法</w:t>
      </w:r>
      <w:r>
        <w:rPr>
          <w:rFonts w:cstheme="minorHAnsi"/>
        </w:rPr>
        <w:t>回收</w:t>
      </w:r>
      <w:r>
        <w:rPr>
          <w:rFonts w:hint="eastAsia" w:cstheme="minorHAnsi"/>
        </w:rPr>
        <w:t>装置主要</w:t>
      </w:r>
      <w:r>
        <w:rPr>
          <w:rFonts w:eastAsia="宋体" w:cstheme="minorHAnsi"/>
          <w:kern w:val="0"/>
          <w:szCs w:val="20"/>
        </w:rPr>
        <w:t>报警联锁包括：吸附罐温度高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吸附罐压差高</w:t>
      </w:r>
      <w:r>
        <w:rPr>
          <w:rFonts w:hint="eastAsia" w:eastAsia="宋体" w:cstheme="minorHAnsi"/>
          <w:kern w:val="0"/>
          <w:szCs w:val="20"/>
        </w:rPr>
        <w:t>报警</w:t>
      </w:r>
      <w:r>
        <w:rPr>
          <w:rFonts w:eastAsia="宋体" w:cstheme="minorHAnsi"/>
          <w:kern w:val="0"/>
          <w:szCs w:val="20"/>
        </w:rPr>
        <w:t>、</w:t>
      </w:r>
      <w:r>
        <w:rPr>
          <w:rFonts w:hint="eastAsia" w:eastAsia="宋体" w:cstheme="minorHAnsi"/>
          <w:kern w:val="0"/>
          <w:szCs w:val="20"/>
        </w:rPr>
        <w:t>高</w:t>
      </w:r>
      <w:r>
        <w:rPr>
          <w:rFonts w:eastAsia="宋体" w:cstheme="minorHAnsi"/>
          <w:kern w:val="0"/>
          <w:szCs w:val="20"/>
        </w:rPr>
        <w:t>高</w:t>
      </w:r>
      <w:r>
        <w:rPr>
          <w:rFonts w:hint="eastAsia" w:eastAsia="宋体" w:cstheme="minorHAnsi"/>
          <w:kern w:val="0"/>
          <w:szCs w:val="20"/>
        </w:rPr>
        <w:t>联锁</w:t>
      </w:r>
      <w:r>
        <w:rPr>
          <w:rFonts w:eastAsia="宋体" w:cstheme="minorHAnsi"/>
          <w:kern w:val="0"/>
          <w:szCs w:val="20"/>
        </w:rPr>
        <w:t>等。</w:t>
      </w:r>
    </w:p>
    <w:p w14:paraId="37936E15">
      <w:pPr>
        <w:widowControl/>
        <w:tabs>
          <w:tab w:val="center" w:pos="4201"/>
          <w:tab w:val="right" w:leader="dot" w:pos="9298"/>
        </w:tabs>
        <w:autoSpaceDE w:val="0"/>
        <w:autoSpaceDN w:val="0"/>
        <w:spacing w:line="360" w:lineRule="auto"/>
      </w:pPr>
      <w:r>
        <w:rPr>
          <w:rFonts w:hint="eastAsia"/>
        </w:rPr>
        <w:t>4</w:t>
      </w:r>
      <w:r>
        <w:t xml:space="preserve">.2.5 </w:t>
      </w:r>
      <w:r>
        <w:rPr>
          <w:rFonts w:hint="eastAsia"/>
        </w:rPr>
        <w:t>冷凝+吸附法回收装置典型工艺控制流程图详见附录A</w:t>
      </w:r>
      <w:r>
        <w:rPr>
          <w:rFonts w:hint="eastAsia"/>
          <w:lang w:eastAsia="zh-CN"/>
        </w:rPr>
        <w:t>中</w:t>
      </w:r>
      <w:r>
        <w:rPr>
          <w:rFonts w:hint="eastAsia"/>
        </w:rPr>
        <w:t>图A</w:t>
      </w:r>
      <w:r>
        <w:t>-</w:t>
      </w:r>
      <w:r>
        <w:rPr>
          <w:rFonts w:hint="eastAsia"/>
          <w:lang w:val="en-US" w:eastAsia="zh-CN"/>
        </w:rPr>
        <w:t>3</w:t>
      </w:r>
      <w:r>
        <w:rPr>
          <w:rFonts w:hint="eastAsia"/>
        </w:rPr>
        <w:t>。</w:t>
      </w:r>
    </w:p>
    <w:p w14:paraId="1F8F4089">
      <w:pPr>
        <w:pStyle w:val="3"/>
        <w:numPr>
          <w:ilvl w:val="1"/>
          <w:numId w:val="2"/>
        </w:numPr>
        <w:spacing w:after="100" w:line="360" w:lineRule="auto"/>
        <w:ind w:left="426" w:hanging="426"/>
        <w:jc w:val="center"/>
        <w:rPr>
          <w:sz w:val="21"/>
        </w:rPr>
      </w:pPr>
      <w:bookmarkStart w:id="45" w:name="_Toc206160054"/>
      <w:bookmarkStart w:id="46" w:name="_Toc206171699"/>
      <w:bookmarkStart w:id="47" w:name="_Toc206080463"/>
      <w:bookmarkStart w:id="48" w:name="_Toc206073851"/>
      <w:r>
        <w:rPr>
          <w:sz w:val="21"/>
        </w:rPr>
        <w:t>VOC</w:t>
      </w:r>
      <w:r>
        <w:rPr>
          <w:rFonts w:hint="eastAsia"/>
          <w:sz w:val="21"/>
        </w:rPr>
        <w:t>s冷凝+吸收法回收装置测控要求</w:t>
      </w:r>
      <w:bookmarkEnd w:id="45"/>
      <w:bookmarkEnd w:id="46"/>
      <w:bookmarkEnd w:id="47"/>
      <w:bookmarkEnd w:id="48"/>
    </w:p>
    <w:p w14:paraId="3472238C">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4.3.1 </w:t>
      </w:r>
      <w:r>
        <w:rPr>
          <w:rFonts w:cstheme="minorHAnsi"/>
        </w:rPr>
        <w:t>冷凝+吸收</w:t>
      </w:r>
      <w:r>
        <w:rPr>
          <w:rFonts w:hint="eastAsia" w:cstheme="minorHAnsi"/>
        </w:rPr>
        <w:t>法</w:t>
      </w:r>
      <w:r>
        <w:rPr>
          <w:rFonts w:cstheme="minorHAnsi"/>
        </w:rPr>
        <w:t>回收</w:t>
      </w:r>
      <w:r>
        <w:rPr>
          <w:rFonts w:hint="eastAsia" w:cstheme="minorHAnsi"/>
        </w:rPr>
        <w:t>装置</w:t>
      </w:r>
      <w:r>
        <w:rPr>
          <w:rFonts w:eastAsia="宋体" w:cstheme="minorHAnsi"/>
          <w:kern w:val="0"/>
          <w:szCs w:val="20"/>
        </w:rPr>
        <w:t>在满足4.1</w:t>
      </w:r>
      <w:r>
        <w:rPr>
          <w:rFonts w:hint="eastAsia" w:eastAsia="宋体" w:cstheme="minorHAnsi"/>
          <w:kern w:val="0"/>
          <w:szCs w:val="20"/>
        </w:rPr>
        <w:t>节要求</w:t>
      </w:r>
      <w:r>
        <w:rPr>
          <w:rFonts w:eastAsia="宋体" w:cstheme="minorHAnsi"/>
          <w:kern w:val="0"/>
          <w:szCs w:val="20"/>
        </w:rPr>
        <w:t>的基础上还需满足吸收工艺的</w:t>
      </w:r>
      <w:r>
        <w:rPr>
          <w:rFonts w:hint="eastAsia" w:eastAsia="宋体" w:cstheme="minorHAnsi"/>
          <w:kern w:val="0"/>
          <w:szCs w:val="20"/>
        </w:rPr>
        <w:t>测控</w:t>
      </w:r>
      <w:r>
        <w:rPr>
          <w:rFonts w:eastAsia="宋体" w:cstheme="minorHAnsi"/>
          <w:kern w:val="0"/>
          <w:szCs w:val="20"/>
        </w:rPr>
        <w:t>要求。</w:t>
      </w:r>
    </w:p>
    <w:p w14:paraId="08EE3442">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4.3.2 </w:t>
      </w:r>
      <w:r>
        <w:rPr>
          <w:rFonts w:hint="eastAsia" w:eastAsia="宋体" w:cstheme="minorHAnsi"/>
          <w:kern w:val="0"/>
          <w:szCs w:val="20"/>
        </w:rPr>
        <w:t>吸收塔填料压降不应大于1k</w:t>
      </w:r>
      <w:r>
        <w:rPr>
          <w:rFonts w:eastAsia="宋体" w:cstheme="minorHAnsi"/>
          <w:kern w:val="0"/>
          <w:szCs w:val="20"/>
        </w:rPr>
        <w:t>P</w:t>
      </w:r>
      <w:r>
        <w:rPr>
          <w:rFonts w:hint="eastAsia" w:eastAsia="宋体" w:cstheme="minorHAnsi"/>
          <w:kern w:val="0"/>
          <w:szCs w:val="20"/>
        </w:rPr>
        <w:t>a，宜设置差压变送器测量吸附塔压降。</w:t>
      </w:r>
    </w:p>
    <w:p w14:paraId="1BC62FC1">
      <w:pPr>
        <w:widowControl/>
        <w:tabs>
          <w:tab w:val="center" w:pos="4201"/>
          <w:tab w:val="right" w:leader="dot" w:pos="9298"/>
        </w:tabs>
        <w:autoSpaceDE w:val="0"/>
        <w:autoSpaceDN w:val="0"/>
        <w:spacing w:line="360" w:lineRule="auto"/>
        <w:rPr>
          <w:rFonts w:cstheme="minorHAnsi"/>
        </w:rPr>
      </w:pPr>
      <w:r>
        <w:rPr>
          <w:rFonts w:eastAsia="宋体" w:cstheme="minorHAnsi"/>
          <w:kern w:val="0"/>
          <w:szCs w:val="20"/>
        </w:rPr>
        <w:t xml:space="preserve">4.3.3 </w:t>
      </w:r>
      <w:r>
        <w:rPr>
          <w:rFonts w:cstheme="minorHAnsi"/>
        </w:rPr>
        <w:t>冷凝+吸</w:t>
      </w:r>
      <w:r>
        <w:rPr>
          <w:rFonts w:hint="eastAsia" w:cstheme="minorHAnsi"/>
        </w:rPr>
        <w:t>收法</w:t>
      </w:r>
      <w:r>
        <w:rPr>
          <w:rFonts w:cstheme="minorHAnsi"/>
        </w:rPr>
        <w:t>回收</w:t>
      </w:r>
      <w:r>
        <w:rPr>
          <w:rFonts w:hint="eastAsia" w:cstheme="minorHAnsi"/>
        </w:rPr>
        <w:t>装置主</w:t>
      </w:r>
      <w:r>
        <w:rPr>
          <w:rFonts w:eastAsia="宋体" w:cstheme="minorHAnsi"/>
          <w:kern w:val="0"/>
          <w:szCs w:val="20"/>
        </w:rPr>
        <w:t>要控制</w:t>
      </w:r>
      <w:r>
        <w:rPr>
          <w:rFonts w:hint="eastAsia" w:eastAsia="宋体" w:cstheme="minorHAnsi"/>
          <w:kern w:val="0"/>
          <w:szCs w:val="20"/>
        </w:rPr>
        <w:t>项目</w:t>
      </w:r>
      <w:r>
        <w:rPr>
          <w:rFonts w:eastAsia="宋体" w:cstheme="minorHAnsi"/>
          <w:kern w:val="0"/>
          <w:szCs w:val="20"/>
        </w:rPr>
        <w:t>包括：吸收塔液位、吸收液温度、吸收液流量等。</w:t>
      </w:r>
    </w:p>
    <w:p w14:paraId="3493E014">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4.3.4 </w:t>
      </w:r>
      <w:r>
        <w:rPr>
          <w:rFonts w:cstheme="minorHAnsi"/>
        </w:rPr>
        <w:t>冷凝+吸</w:t>
      </w:r>
      <w:r>
        <w:rPr>
          <w:rFonts w:hint="eastAsia" w:cstheme="minorHAnsi"/>
        </w:rPr>
        <w:t>收法</w:t>
      </w:r>
      <w:r>
        <w:rPr>
          <w:rFonts w:cstheme="minorHAnsi"/>
        </w:rPr>
        <w:t>回收</w:t>
      </w:r>
      <w:r>
        <w:rPr>
          <w:rFonts w:hint="eastAsia" w:cstheme="minorHAnsi"/>
        </w:rPr>
        <w:t>装置主要</w:t>
      </w:r>
      <w:r>
        <w:rPr>
          <w:rFonts w:eastAsia="宋体" w:cstheme="minorHAnsi"/>
          <w:kern w:val="0"/>
          <w:szCs w:val="20"/>
        </w:rPr>
        <w:t>报警联锁</w:t>
      </w:r>
      <w:r>
        <w:rPr>
          <w:rFonts w:hint="eastAsia" w:eastAsia="宋体" w:cstheme="minorHAnsi"/>
          <w:kern w:val="0"/>
          <w:szCs w:val="20"/>
        </w:rPr>
        <w:t>项目</w:t>
      </w:r>
      <w:r>
        <w:rPr>
          <w:rFonts w:eastAsia="宋体" w:cstheme="minorHAnsi"/>
          <w:kern w:val="0"/>
          <w:szCs w:val="20"/>
        </w:rPr>
        <w:t>包括：吸收塔液位高</w:t>
      </w:r>
      <w:r>
        <w:rPr>
          <w:rFonts w:hint="eastAsia" w:eastAsia="宋体" w:cstheme="minorHAnsi"/>
          <w:kern w:val="0"/>
          <w:szCs w:val="20"/>
        </w:rPr>
        <w:t>报警；吸收塔</w:t>
      </w:r>
      <w:r>
        <w:rPr>
          <w:rFonts w:eastAsia="宋体" w:cstheme="minorHAnsi"/>
          <w:kern w:val="0"/>
          <w:szCs w:val="20"/>
        </w:rPr>
        <w:t>液位低</w:t>
      </w:r>
      <w:r>
        <w:rPr>
          <w:rFonts w:hint="eastAsia" w:eastAsia="宋体" w:cstheme="minorHAnsi"/>
          <w:kern w:val="0"/>
          <w:szCs w:val="20"/>
        </w:rPr>
        <w:t>报警</w:t>
      </w:r>
      <w:r>
        <w:rPr>
          <w:rFonts w:eastAsia="宋体" w:cstheme="minorHAnsi"/>
          <w:kern w:val="0"/>
          <w:szCs w:val="20"/>
        </w:rPr>
        <w:t>、液位低低</w:t>
      </w:r>
      <w:r>
        <w:rPr>
          <w:rFonts w:hint="eastAsia" w:eastAsia="宋体" w:cstheme="minorHAnsi"/>
          <w:kern w:val="0"/>
          <w:szCs w:val="20"/>
        </w:rPr>
        <w:t>联锁；</w:t>
      </w:r>
      <w:r>
        <w:rPr>
          <w:rFonts w:eastAsia="宋体" w:cstheme="minorHAnsi"/>
          <w:kern w:val="0"/>
          <w:szCs w:val="20"/>
        </w:rPr>
        <w:t>吸收液温度高</w:t>
      </w:r>
      <w:r>
        <w:rPr>
          <w:rFonts w:hint="eastAsia" w:eastAsia="宋体" w:cstheme="minorHAnsi"/>
          <w:kern w:val="0"/>
          <w:szCs w:val="20"/>
        </w:rPr>
        <w:t>报警；</w:t>
      </w:r>
      <w:r>
        <w:rPr>
          <w:rFonts w:eastAsia="宋体" w:cstheme="minorHAnsi"/>
          <w:kern w:val="0"/>
          <w:szCs w:val="20"/>
        </w:rPr>
        <w:t>吸收塔压降高</w:t>
      </w:r>
      <w:r>
        <w:rPr>
          <w:rFonts w:hint="eastAsia" w:eastAsia="宋体" w:cstheme="minorHAnsi"/>
          <w:kern w:val="0"/>
          <w:szCs w:val="20"/>
        </w:rPr>
        <w:t>报警</w:t>
      </w:r>
      <w:r>
        <w:rPr>
          <w:rFonts w:eastAsia="宋体" w:cstheme="minorHAnsi"/>
          <w:kern w:val="0"/>
          <w:szCs w:val="20"/>
        </w:rPr>
        <w:t>等。</w:t>
      </w:r>
    </w:p>
    <w:p w14:paraId="462FB879">
      <w:pPr>
        <w:widowControl/>
        <w:tabs>
          <w:tab w:val="center" w:pos="4201"/>
          <w:tab w:val="right" w:leader="dot" w:pos="9298"/>
        </w:tabs>
        <w:autoSpaceDE w:val="0"/>
        <w:autoSpaceDN w:val="0"/>
        <w:spacing w:line="360" w:lineRule="auto"/>
      </w:pPr>
      <w:r>
        <w:rPr>
          <w:rFonts w:hint="eastAsia"/>
        </w:rPr>
        <w:t>4</w:t>
      </w:r>
      <w:r>
        <w:t xml:space="preserve">.3.5 </w:t>
      </w:r>
      <w:r>
        <w:rPr>
          <w:rFonts w:hint="eastAsia"/>
        </w:rPr>
        <w:t>冷凝+吸收法回收装置典型工艺控制流程图详见附录A</w:t>
      </w:r>
      <w:r>
        <w:rPr>
          <w:rFonts w:hint="eastAsia"/>
          <w:lang w:eastAsia="zh-CN"/>
        </w:rPr>
        <w:t>中</w:t>
      </w:r>
      <w:r>
        <w:rPr>
          <w:rFonts w:hint="eastAsia"/>
        </w:rPr>
        <w:t>图A</w:t>
      </w:r>
      <w:r>
        <w:t>-</w:t>
      </w:r>
      <w:r>
        <w:rPr>
          <w:rFonts w:hint="eastAsia"/>
          <w:lang w:val="en-US" w:eastAsia="zh-CN"/>
        </w:rPr>
        <w:t>4</w:t>
      </w:r>
      <w:r>
        <w:rPr>
          <w:rFonts w:hint="eastAsia"/>
        </w:rPr>
        <w:t>。</w:t>
      </w:r>
    </w:p>
    <w:p w14:paraId="60AEDDC1">
      <w:pPr>
        <w:pStyle w:val="3"/>
        <w:numPr>
          <w:ilvl w:val="1"/>
          <w:numId w:val="2"/>
        </w:numPr>
        <w:spacing w:after="100" w:line="360" w:lineRule="auto"/>
        <w:ind w:left="426" w:hanging="426"/>
        <w:jc w:val="center"/>
        <w:rPr>
          <w:sz w:val="21"/>
        </w:rPr>
      </w:pPr>
      <w:bookmarkStart w:id="49" w:name="_Toc206171700"/>
      <w:bookmarkStart w:id="50" w:name="_Toc206160055"/>
      <w:bookmarkStart w:id="51" w:name="_Toc206080464"/>
      <w:bookmarkStart w:id="52" w:name="_Toc206073852"/>
      <w:r>
        <w:rPr>
          <w:rFonts w:hint="eastAsia"/>
          <w:sz w:val="21"/>
        </w:rPr>
        <w:t>V</w:t>
      </w:r>
      <w:r>
        <w:rPr>
          <w:sz w:val="21"/>
        </w:rPr>
        <w:t>OC</w:t>
      </w:r>
      <w:r>
        <w:rPr>
          <w:rFonts w:hint="eastAsia"/>
          <w:sz w:val="21"/>
        </w:rPr>
        <w:t>s冷凝+膜分离法回收装置测控要求</w:t>
      </w:r>
      <w:bookmarkEnd w:id="49"/>
      <w:bookmarkEnd w:id="50"/>
      <w:bookmarkEnd w:id="51"/>
      <w:bookmarkEnd w:id="52"/>
    </w:p>
    <w:p w14:paraId="57926B27">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4.4.1 冷凝+</w:t>
      </w:r>
      <w:r>
        <w:rPr>
          <w:rFonts w:cstheme="minorHAnsi"/>
        </w:rPr>
        <w:t>膜分离</w:t>
      </w:r>
      <w:r>
        <w:rPr>
          <w:rFonts w:hint="eastAsia" w:cstheme="minorHAnsi"/>
        </w:rPr>
        <w:t>法</w:t>
      </w:r>
      <w:r>
        <w:rPr>
          <w:rFonts w:eastAsia="宋体" w:cstheme="minorHAnsi"/>
          <w:kern w:val="0"/>
          <w:szCs w:val="20"/>
        </w:rPr>
        <w:t>回收</w:t>
      </w:r>
      <w:r>
        <w:rPr>
          <w:rFonts w:hint="eastAsia" w:eastAsia="宋体" w:cstheme="minorHAnsi"/>
          <w:kern w:val="0"/>
          <w:szCs w:val="20"/>
        </w:rPr>
        <w:t>装置</w:t>
      </w:r>
      <w:r>
        <w:rPr>
          <w:rFonts w:eastAsia="宋体" w:cstheme="minorHAnsi"/>
          <w:kern w:val="0"/>
          <w:szCs w:val="20"/>
        </w:rPr>
        <w:t>在满足4.1</w:t>
      </w:r>
      <w:r>
        <w:rPr>
          <w:rFonts w:hint="eastAsia" w:eastAsia="宋体" w:cstheme="minorHAnsi"/>
          <w:kern w:val="0"/>
          <w:szCs w:val="20"/>
        </w:rPr>
        <w:t>节要求</w:t>
      </w:r>
      <w:r>
        <w:rPr>
          <w:rFonts w:eastAsia="宋体" w:cstheme="minorHAnsi"/>
          <w:kern w:val="0"/>
          <w:szCs w:val="20"/>
        </w:rPr>
        <w:t>的基础上还需满足</w:t>
      </w:r>
      <w:r>
        <w:rPr>
          <w:rFonts w:cstheme="minorHAnsi"/>
        </w:rPr>
        <w:t>膜分离</w:t>
      </w:r>
      <w:r>
        <w:rPr>
          <w:rFonts w:hint="eastAsia" w:cstheme="minorHAnsi"/>
        </w:rPr>
        <w:t>工艺</w:t>
      </w:r>
      <w:r>
        <w:rPr>
          <w:rFonts w:eastAsia="宋体" w:cstheme="minorHAnsi"/>
          <w:kern w:val="0"/>
          <w:szCs w:val="20"/>
        </w:rPr>
        <w:t>的</w:t>
      </w:r>
      <w:r>
        <w:rPr>
          <w:rFonts w:hint="eastAsia" w:eastAsia="宋体" w:cstheme="minorHAnsi"/>
          <w:kern w:val="0"/>
          <w:szCs w:val="20"/>
        </w:rPr>
        <w:t>测控</w:t>
      </w:r>
      <w:r>
        <w:rPr>
          <w:rFonts w:eastAsia="宋体" w:cstheme="minorHAnsi"/>
          <w:kern w:val="0"/>
          <w:szCs w:val="20"/>
        </w:rPr>
        <w:t>要求。</w:t>
      </w:r>
    </w:p>
    <w:p w14:paraId="0DBE367B">
      <w:pPr>
        <w:widowControl/>
        <w:tabs>
          <w:tab w:val="center" w:pos="4201"/>
          <w:tab w:val="right" w:leader="dot" w:pos="9298"/>
        </w:tabs>
        <w:autoSpaceDE w:val="0"/>
        <w:autoSpaceDN w:val="0"/>
        <w:spacing w:line="360" w:lineRule="auto"/>
        <w:rPr>
          <w:rFonts w:cstheme="minorHAnsi"/>
        </w:rPr>
      </w:pPr>
      <w:r>
        <w:rPr>
          <w:rFonts w:eastAsia="宋体" w:cstheme="minorHAnsi"/>
          <w:kern w:val="0"/>
          <w:szCs w:val="20"/>
        </w:rPr>
        <w:t xml:space="preserve">4.4.2 </w:t>
      </w:r>
      <w:r>
        <w:rPr>
          <w:rFonts w:cstheme="minorHAnsi"/>
        </w:rPr>
        <w:t>膜</w:t>
      </w:r>
      <w:r>
        <w:rPr>
          <w:rFonts w:hint="eastAsia" w:cstheme="minorHAnsi"/>
        </w:rPr>
        <w:t>材料选择应与气体的操作温度相适应。</w:t>
      </w:r>
      <w:r>
        <w:rPr>
          <w:rFonts w:hint="eastAsia" w:eastAsia="宋体" w:cstheme="minorHAnsi"/>
          <w:kern w:val="0"/>
          <w:szCs w:val="20"/>
        </w:rPr>
        <w:t>宜设置温度变送器测量膜组件入口温度。</w:t>
      </w:r>
    </w:p>
    <w:p w14:paraId="7B684292">
      <w:pPr>
        <w:widowControl/>
        <w:tabs>
          <w:tab w:val="center" w:pos="4201"/>
          <w:tab w:val="right" w:leader="dot" w:pos="9298"/>
        </w:tabs>
        <w:autoSpaceDE w:val="0"/>
        <w:autoSpaceDN w:val="0"/>
        <w:spacing w:line="360" w:lineRule="auto"/>
        <w:rPr>
          <w:rFonts w:cstheme="minorHAnsi"/>
        </w:rPr>
      </w:pPr>
      <w:r>
        <w:rPr>
          <w:rFonts w:eastAsia="宋体" w:cstheme="minorHAnsi"/>
          <w:kern w:val="0"/>
          <w:szCs w:val="20"/>
        </w:rPr>
        <w:t xml:space="preserve">4.4.3 </w:t>
      </w:r>
      <w:r>
        <w:rPr>
          <w:rFonts w:cstheme="minorHAnsi"/>
        </w:rPr>
        <w:t>冷凝+膜分离</w:t>
      </w:r>
      <w:r>
        <w:rPr>
          <w:rFonts w:hint="eastAsia" w:cstheme="minorHAnsi"/>
        </w:rPr>
        <w:t>法</w:t>
      </w:r>
      <w:r>
        <w:rPr>
          <w:rFonts w:cstheme="minorHAnsi"/>
        </w:rPr>
        <w:t>回收</w:t>
      </w:r>
      <w:r>
        <w:rPr>
          <w:rFonts w:hint="eastAsia" w:cstheme="minorHAnsi"/>
        </w:rPr>
        <w:t>装置主要</w:t>
      </w:r>
      <w:r>
        <w:rPr>
          <w:rFonts w:eastAsia="宋体" w:cstheme="minorHAnsi"/>
          <w:kern w:val="0"/>
          <w:szCs w:val="20"/>
        </w:rPr>
        <w:t>控制</w:t>
      </w:r>
      <w:r>
        <w:rPr>
          <w:rFonts w:hint="eastAsia" w:eastAsia="宋体" w:cstheme="minorHAnsi"/>
          <w:kern w:val="0"/>
          <w:szCs w:val="20"/>
        </w:rPr>
        <w:t>项目</w:t>
      </w:r>
      <w:r>
        <w:rPr>
          <w:rFonts w:eastAsia="宋体" w:cstheme="minorHAnsi"/>
          <w:kern w:val="0"/>
          <w:szCs w:val="20"/>
        </w:rPr>
        <w:t>包括：真空泵进口压力</w:t>
      </w:r>
      <w:r>
        <w:rPr>
          <w:rFonts w:hint="eastAsia" w:eastAsia="宋体" w:cstheme="minorHAnsi"/>
          <w:kern w:val="0"/>
          <w:szCs w:val="20"/>
        </w:rPr>
        <w:t>、膜组件压降</w:t>
      </w:r>
      <w:r>
        <w:rPr>
          <w:rFonts w:eastAsia="宋体" w:cstheme="minorHAnsi"/>
          <w:kern w:val="0"/>
          <w:szCs w:val="20"/>
        </w:rPr>
        <w:t>等。</w:t>
      </w:r>
    </w:p>
    <w:p w14:paraId="1FAEF00D">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 xml:space="preserve">4.4.4 </w:t>
      </w:r>
      <w:r>
        <w:rPr>
          <w:rFonts w:cstheme="minorHAnsi"/>
        </w:rPr>
        <w:t>冷凝+膜分离</w:t>
      </w:r>
      <w:r>
        <w:rPr>
          <w:rFonts w:hint="eastAsia" w:cstheme="minorHAnsi"/>
        </w:rPr>
        <w:t>法</w:t>
      </w:r>
      <w:r>
        <w:rPr>
          <w:rFonts w:cstheme="minorHAnsi"/>
        </w:rPr>
        <w:t>回收</w:t>
      </w:r>
      <w:r>
        <w:rPr>
          <w:rFonts w:hint="eastAsia" w:cstheme="minorHAnsi"/>
        </w:rPr>
        <w:t>装置主要</w:t>
      </w:r>
      <w:r>
        <w:rPr>
          <w:rFonts w:eastAsia="宋体" w:cstheme="minorHAnsi"/>
          <w:kern w:val="0"/>
          <w:szCs w:val="20"/>
        </w:rPr>
        <w:t>报警联锁</w:t>
      </w:r>
      <w:r>
        <w:rPr>
          <w:rFonts w:hint="eastAsia" w:eastAsia="宋体" w:cstheme="minorHAnsi"/>
          <w:kern w:val="0"/>
          <w:szCs w:val="20"/>
        </w:rPr>
        <w:t>项目</w:t>
      </w:r>
      <w:r>
        <w:rPr>
          <w:rFonts w:eastAsia="宋体" w:cstheme="minorHAnsi"/>
          <w:kern w:val="0"/>
          <w:szCs w:val="20"/>
        </w:rPr>
        <w:t>包括：膜组件压降高</w:t>
      </w:r>
      <w:r>
        <w:rPr>
          <w:rFonts w:hint="eastAsia" w:eastAsia="宋体" w:cstheme="minorHAnsi"/>
          <w:kern w:val="0"/>
          <w:szCs w:val="20"/>
        </w:rPr>
        <w:t>报警</w:t>
      </w:r>
      <w:r>
        <w:rPr>
          <w:rFonts w:eastAsia="宋体" w:cstheme="minorHAnsi"/>
          <w:kern w:val="0"/>
          <w:szCs w:val="20"/>
        </w:rPr>
        <w:t>、高高</w:t>
      </w:r>
      <w:r>
        <w:rPr>
          <w:rFonts w:hint="eastAsia" w:eastAsia="宋体" w:cstheme="minorHAnsi"/>
          <w:kern w:val="0"/>
          <w:szCs w:val="20"/>
        </w:rPr>
        <w:t>联锁</w:t>
      </w:r>
      <w:r>
        <w:rPr>
          <w:rFonts w:eastAsia="宋体" w:cstheme="minorHAnsi"/>
          <w:kern w:val="0"/>
          <w:szCs w:val="20"/>
        </w:rPr>
        <w:t>等。</w:t>
      </w:r>
    </w:p>
    <w:p w14:paraId="152BB3B5">
      <w:pPr>
        <w:widowControl/>
        <w:tabs>
          <w:tab w:val="center" w:pos="4201"/>
          <w:tab w:val="right" w:leader="dot" w:pos="9298"/>
        </w:tabs>
        <w:autoSpaceDE w:val="0"/>
        <w:autoSpaceDN w:val="0"/>
        <w:spacing w:line="360" w:lineRule="auto"/>
      </w:pPr>
      <w:r>
        <w:rPr>
          <w:rFonts w:hint="eastAsia"/>
        </w:rPr>
        <w:t>4</w:t>
      </w:r>
      <w:r>
        <w:t xml:space="preserve">.4.5 </w:t>
      </w:r>
      <w:r>
        <w:rPr>
          <w:rFonts w:hint="eastAsia"/>
        </w:rPr>
        <w:t>冷凝+膜分离法回收装置典型工艺控制流程图详见附录A</w:t>
      </w:r>
      <w:r>
        <w:rPr>
          <w:rFonts w:hint="eastAsia"/>
          <w:lang w:eastAsia="zh-CN"/>
        </w:rPr>
        <w:t>中</w:t>
      </w:r>
      <w:r>
        <w:rPr>
          <w:rFonts w:hint="eastAsia"/>
        </w:rPr>
        <w:t>图A</w:t>
      </w:r>
      <w:r>
        <w:t>-</w:t>
      </w:r>
      <w:r>
        <w:rPr>
          <w:rFonts w:hint="eastAsia"/>
          <w:lang w:val="en-US" w:eastAsia="zh-CN"/>
        </w:rPr>
        <w:t>5</w:t>
      </w:r>
      <w:r>
        <w:rPr>
          <w:rFonts w:hint="eastAsia"/>
        </w:rPr>
        <w:t>。</w:t>
      </w:r>
    </w:p>
    <w:p w14:paraId="2A92B367">
      <w:pPr>
        <w:widowControl/>
        <w:tabs>
          <w:tab w:val="center" w:pos="4201"/>
          <w:tab w:val="right" w:leader="dot" w:pos="9298"/>
        </w:tabs>
        <w:autoSpaceDE w:val="0"/>
        <w:autoSpaceDN w:val="0"/>
        <w:spacing w:line="360" w:lineRule="auto"/>
        <w:rPr>
          <w:rFonts w:eastAsia="宋体" w:cstheme="minorHAnsi"/>
          <w:kern w:val="0"/>
          <w:szCs w:val="20"/>
        </w:rPr>
      </w:pPr>
    </w:p>
    <w:p w14:paraId="45F983C1">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br w:type="page"/>
      </w:r>
    </w:p>
    <w:p w14:paraId="104050F8">
      <w:pPr>
        <w:pStyle w:val="2"/>
        <w:numPr>
          <w:ilvl w:val="0"/>
          <w:numId w:val="2"/>
        </w:numPr>
        <w:spacing w:after="360" w:line="360" w:lineRule="auto"/>
        <w:jc w:val="center"/>
        <w:rPr>
          <w:rFonts w:hAnsi="宋体"/>
          <w:sz w:val="28"/>
          <w:szCs w:val="21"/>
        </w:rPr>
      </w:pPr>
      <w:bookmarkStart w:id="53" w:name="_Toc145683525"/>
      <w:bookmarkStart w:id="54" w:name="_Toc206073853"/>
      <w:bookmarkStart w:id="55" w:name="_Toc206160056"/>
      <w:bookmarkStart w:id="56" w:name="_Toc145683584"/>
      <w:bookmarkStart w:id="57" w:name="_Toc206080465"/>
      <w:bookmarkStart w:id="58" w:name="_Toc206171701"/>
      <w:bookmarkStart w:id="59" w:name="_Hlk141177223"/>
      <w:r>
        <w:rPr>
          <w:rFonts w:hint="eastAsia" w:hAnsi="宋体"/>
          <w:sz w:val="28"/>
          <w:szCs w:val="21"/>
        </w:rPr>
        <w:t>控制系统</w:t>
      </w:r>
      <w:bookmarkEnd w:id="53"/>
      <w:bookmarkEnd w:id="54"/>
      <w:bookmarkEnd w:id="55"/>
      <w:bookmarkEnd w:id="56"/>
      <w:bookmarkEnd w:id="57"/>
      <w:bookmarkEnd w:id="58"/>
    </w:p>
    <w:p w14:paraId="407A4AB7">
      <w:pPr>
        <w:pStyle w:val="3"/>
        <w:numPr>
          <w:ilvl w:val="1"/>
          <w:numId w:val="2"/>
        </w:numPr>
        <w:spacing w:after="100" w:line="360" w:lineRule="auto"/>
        <w:ind w:left="426" w:hanging="426"/>
        <w:jc w:val="center"/>
        <w:rPr>
          <w:sz w:val="21"/>
        </w:rPr>
      </w:pPr>
      <w:bookmarkStart w:id="60" w:name="_Toc206171702"/>
      <w:bookmarkStart w:id="61" w:name="_Toc206160057"/>
      <w:bookmarkStart w:id="62" w:name="_Toc206080466"/>
      <w:bookmarkStart w:id="63" w:name="_Toc206073854"/>
      <w:r>
        <w:rPr>
          <w:rFonts w:hint="eastAsia"/>
          <w:sz w:val="21"/>
        </w:rPr>
        <w:t>基本过程控制系统（B</w:t>
      </w:r>
      <w:r>
        <w:rPr>
          <w:sz w:val="21"/>
        </w:rPr>
        <w:t>PCS</w:t>
      </w:r>
      <w:r>
        <w:rPr>
          <w:rFonts w:hint="eastAsia"/>
          <w:sz w:val="21"/>
        </w:rPr>
        <w:t>）</w:t>
      </w:r>
      <w:bookmarkEnd w:id="60"/>
      <w:bookmarkEnd w:id="61"/>
      <w:bookmarkEnd w:id="62"/>
      <w:bookmarkEnd w:id="63"/>
    </w:p>
    <w:p w14:paraId="0B9F8F8E">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5.1.1 VOC</w:t>
      </w:r>
      <w:r>
        <w:rPr>
          <w:rFonts w:hint="eastAsia" w:eastAsia="宋体" w:cstheme="minorHAnsi"/>
          <w:kern w:val="0"/>
          <w:szCs w:val="20"/>
        </w:rPr>
        <w:t>s冷凝法回收装置的基本过程控制系统可采用</w:t>
      </w:r>
      <w:r>
        <w:rPr>
          <w:rFonts w:cstheme="minorHAnsi"/>
        </w:rPr>
        <w:t>DCS</w:t>
      </w:r>
      <w:r>
        <w:rPr>
          <w:rFonts w:hint="eastAsia" w:cstheme="minorHAnsi"/>
        </w:rPr>
        <w:t>或</w:t>
      </w:r>
      <w:r>
        <w:rPr>
          <w:rFonts w:cstheme="minorHAnsi"/>
        </w:rPr>
        <w:t>PLC</w:t>
      </w:r>
      <w:r>
        <w:rPr>
          <w:rFonts w:hint="eastAsia" w:cstheme="minorHAnsi"/>
        </w:rPr>
        <w:t>等</w:t>
      </w:r>
      <w:r>
        <w:rPr>
          <w:rFonts w:cstheme="minorHAnsi"/>
        </w:rPr>
        <w:t>。</w:t>
      </w:r>
    </w:p>
    <w:p w14:paraId="75ED0503">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5.1.2 VOC</w:t>
      </w:r>
      <w:r>
        <w:rPr>
          <w:rFonts w:hint="eastAsia" w:eastAsia="宋体" w:cstheme="minorHAnsi"/>
          <w:kern w:val="0"/>
          <w:szCs w:val="20"/>
        </w:rPr>
        <w:t>s冷凝法回收装置</w:t>
      </w:r>
      <w:r>
        <w:rPr>
          <w:rFonts w:eastAsia="宋体" w:cstheme="minorHAnsi"/>
          <w:kern w:val="0"/>
          <w:szCs w:val="20"/>
        </w:rPr>
        <w:t>DCS</w:t>
      </w:r>
      <w:r>
        <w:rPr>
          <w:rFonts w:hint="eastAsia" w:eastAsia="宋体" w:cstheme="minorHAnsi"/>
          <w:kern w:val="0"/>
          <w:szCs w:val="20"/>
        </w:rPr>
        <w:t>设计</w:t>
      </w:r>
      <w:r>
        <w:rPr>
          <w:rFonts w:eastAsia="宋体" w:cstheme="minorHAnsi"/>
          <w:kern w:val="0"/>
          <w:szCs w:val="20"/>
        </w:rPr>
        <w:t>应符合现行行业标准《分散型控制系统》HG/T 20573的规定。</w:t>
      </w:r>
    </w:p>
    <w:p w14:paraId="7FA05F0B">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5.1.3 VOC</w:t>
      </w:r>
      <w:r>
        <w:rPr>
          <w:rFonts w:hint="eastAsia" w:eastAsia="宋体" w:cstheme="minorHAnsi"/>
          <w:kern w:val="0"/>
          <w:szCs w:val="20"/>
        </w:rPr>
        <w:t>s冷凝法回收装置P</w:t>
      </w:r>
      <w:r>
        <w:rPr>
          <w:rFonts w:eastAsia="宋体" w:cstheme="minorHAnsi"/>
          <w:kern w:val="0"/>
          <w:szCs w:val="20"/>
        </w:rPr>
        <w:t>LC</w:t>
      </w:r>
      <w:r>
        <w:rPr>
          <w:rFonts w:hint="eastAsia" w:eastAsia="宋体" w:cstheme="minorHAnsi"/>
          <w:kern w:val="0"/>
          <w:szCs w:val="20"/>
        </w:rPr>
        <w:t>设计</w:t>
      </w:r>
      <w:r>
        <w:rPr>
          <w:rFonts w:eastAsia="宋体" w:cstheme="minorHAnsi"/>
          <w:kern w:val="0"/>
          <w:szCs w:val="20"/>
        </w:rPr>
        <w:t>应符合现行行业标准《可编程序控制器系统工程设计规范》HG/T 20700的规定。</w:t>
      </w:r>
    </w:p>
    <w:p w14:paraId="11ABAEF7">
      <w:pPr>
        <w:widowControl/>
        <w:tabs>
          <w:tab w:val="center" w:pos="4201"/>
          <w:tab w:val="right" w:leader="dot" w:pos="9298"/>
        </w:tabs>
        <w:autoSpaceDE w:val="0"/>
        <w:autoSpaceDN w:val="0"/>
        <w:spacing w:line="360" w:lineRule="auto"/>
        <w:rPr>
          <w:rFonts w:asciiTheme="majorHAnsi" w:hAnsiTheme="majorHAnsi"/>
        </w:rPr>
      </w:pPr>
      <w:r>
        <w:rPr>
          <w:rFonts w:eastAsia="宋体" w:cs="Times New Roman" w:asciiTheme="majorHAnsi" w:hAnsiTheme="majorHAnsi"/>
          <w:kern w:val="0"/>
          <w:szCs w:val="20"/>
        </w:rPr>
        <w:t xml:space="preserve">5.1.4 </w:t>
      </w:r>
      <w:r>
        <w:rPr>
          <w:rFonts w:hint="eastAsia" w:eastAsia="宋体" w:cs="Times New Roman" w:asciiTheme="majorHAnsi" w:hAnsiTheme="majorHAnsi"/>
          <w:kern w:val="0"/>
          <w:szCs w:val="20"/>
        </w:rPr>
        <w:t>基本过程控制</w:t>
      </w:r>
      <w:r>
        <w:rPr>
          <w:rFonts w:eastAsia="宋体" w:cs="Times New Roman" w:asciiTheme="majorHAnsi" w:hAnsiTheme="majorHAnsi"/>
          <w:kern w:val="0"/>
          <w:szCs w:val="20"/>
        </w:rPr>
        <w:t>系统应具备</w:t>
      </w:r>
      <w:r>
        <w:t>VOCs冷凝法处理装置</w:t>
      </w:r>
      <w:r>
        <w:rPr>
          <w:rFonts w:asciiTheme="majorHAnsi" w:hAnsiTheme="majorHAnsi"/>
        </w:rPr>
        <w:t>运行的过程控制、信号检测、数据处理、记录存储、人机接口、生产操作、报表、数据服务等功能。</w:t>
      </w:r>
    </w:p>
    <w:p w14:paraId="319CCC58">
      <w:pPr>
        <w:widowControl/>
        <w:tabs>
          <w:tab w:val="center" w:pos="4201"/>
          <w:tab w:val="right" w:leader="dot" w:pos="9298"/>
        </w:tabs>
        <w:autoSpaceDE w:val="0"/>
        <w:autoSpaceDN w:val="0"/>
        <w:spacing w:line="360" w:lineRule="auto"/>
        <w:rPr>
          <w:rFonts w:eastAsia="宋体" w:cs="Times New Roman" w:asciiTheme="majorHAnsi" w:hAnsiTheme="majorHAnsi"/>
          <w:kern w:val="0"/>
          <w:szCs w:val="20"/>
        </w:rPr>
      </w:pPr>
      <w:r>
        <w:rPr>
          <w:rFonts w:eastAsia="宋体" w:cs="Times New Roman" w:asciiTheme="majorHAnsi" w:hAnsiTheme="majorHAnsi"/>
          <w:kern w:val="0"/>
          <w:szCs w:val="20"/>
        </w:rPr>
        <w:t xml:space="preserve">5.1.5 </w:t>
      </w:r>
      <w:r>
        <w:rPr>
          <w:rFonts w:hint="eastAsia" w:eastAsia="宋体" w:cs="Times New Roman" w:asciiTheme="majorHAnsi" w:hAnsiTheme="majorHAnsi"/>
          <w:kern w:val="0"/>
          <w:szCs w:val="20"/>
        </w:rPr>
        <w:t>基本过程控制系统</w:t>
      </w:r>
      <w:r>
        <w:rPr>
          <w:rFonts w:eastAsia="宋体" w:cs="Times New Roman" w:asciiTheme="majorHAnsi" w:hAnsiTheme="majorHAnsi"/>
          <w:kern w:val="0"/>
          <w:szCs w:val="20"/>
        </w:rPr>
        <w:t>独立设置时，应与全厂DCS系统</w:t>
      </w:r>
      <w:r>
        <w:rPr>
          <w:rFonts w:hint="eastAsia" w:eastAsia="宋体" w:cs="Times New Roman" w:asciiTheme="majorHAnsi" w:hAnsiTheme="majorHAnsi"/>
          <w:kern w:val="0"/>
          <w:szCs w:val="20"/>
        </w:rPr>
        <w:t>通信</w:t>
      </w:r>
      <w:r>
        <w:rPr>
          <w:rFonts w:eastAsia="宋体" w:cs="Times New Roman" w:asciiTheme="majorHAnsi" w:hAnsiTheme="majorHAnsi"/>
          <w:kern w:val="0"/>
          <w:szCs w:val="20"/>
        </w:rPr>
        <w:t>。</w:t>
      </w:r>
    </w:p>
    <w:p w14:paraId="1F47FA28">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5.1.6 现场撬块</w:t>
      </w:r>
      <w:r>
        <w:rPr>
          <w:rFonts w:hint="eastAsia" w:eastAsia="宋体" w:cstheme="minorHAnsi"/>
          <w:kern w:val="0"/>
          <w:szCs w:val="20"/>
        </w:rPr>
        <w:t>安装的</w:t>
      </w:r>
      <w:r>
        <w:rPr>
          <w:rFonts w:eastAsia="宋体" w:cstheme="minorHAnsi"/>
          <w:kern w:val="0"/>
          <w:szCs w:val="20"/>
        </w:rPr>
        <w:t>PLC</w:t>
      </w:r>
      <w:r>
        <w:rPr>
          <w:rFonts w:hint="eastAsia" w:eastAsia="宋体" w:cstheme="minorHAnsi"/>
          <w:kern w:val="0"/>
          <w:szCs w:val="20"/>
        </w:rPr>
        <w:t>宜</w:t>
      </w:r>
      <w:r>
        <w:rPr>
          <w:rFonts w:eastAsia="宋体" w:cstheme="minorHAnsi"/>
          <w:kern w:val="0"/>
          <w:szCs w:val="20"/>
        </w:rPr>
        <w:t>配置现场操作屏</w:t>
      </w:r>
      <w:r>
        <w:rPr>
          <w:rFonts w:hint="eastAsia" w:eastAsia="宋体" w:cstheme="minorHAnsi"/>
          <w:kern w:val="0"/>
          <w:szCs w:val="20"/>
        </w:rPr>
        <w:t>。</w:t>
      </w:r>
    </w:p>
    <w:p w14:paraId="7B79A31E">
      <w:pPr>
        <w:pStyle w:val="3"/>
        <w:numPr>
          <w:ilvl w:val="1"/>
          <w:numId w:val="2"/>
        </w:numPr>
        <w:spacing w:after="100" w:line="360" w:lineRule="auto"/>
        <w:ind w:left="426" w:hanging="426"/>
        <w:jc w:val="center"/>
        <w:rPr>
          <w:sz w:val="21"/>
        </w:rPr>
      </w:pPr>
      <w:bookmarkStart w:id="64" w:name="_Toc206073855"/>
      <w:bookmarkStart w:id="65" w:name="_Toc206160058"/>
      <w:bookmarkStart w:id="66" w:name="_Toc206171703"/>
      <w:bookmarkStart w:id="67" w:name="_Toc206080467"/>
      <w:r>
        <w:rPr>
          <w:rFonts w:hint="eastAsia"/>
          <w:sz w:val="21"/>
        </w:rPr>
        <w:t>气体检测报警系统（G</w:t>
      </w:r>
      <w:r>
        <w:rPr>
          <w:sz w:val="21"/>
        </w:rPr>
        <w:t>DS</w:t>
      </w:r>
      <w:r>
        <w:rPr>
          <w:rFonts w:hint="eastAsia"/>
          <w:sz w:val="21"/>
        </w:rPr>
        <w:t>）</w:t>
      </w:r>
      <w:bookmarkEnd w:id="64"/>
      <w:bookmarkEnd w:id="65"/>
      <w:bookmarkEnd w:id="66"/>
      <w:bookmarkEnd w:id="67"/>
    </w:p>
    <w:p w14:paraId="71644FA6">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5.2.1</w:t>
      </w:r>
      <w:r>
        <w:rPr>
          <w:rFonts w:hint="eastAsia" w:eastAsia="宋体" w:cstheme="minorHAnsi"/>
          <w:kern w:val="0"/>
          <w:szCs w:val="20"/>
        </w:rPr>
        <w:t xml:space="preserve"> VOCs冷凝法回收装置内存在可燃气体、有毒气体泄漏的场合，应设置可燃和有毒气体检测器。</w:t>
      </w:r>
    </w:p>
    <w:p w14:paraId="38F387F5">
      <w:pPr>
        <w:widowControl/>
        <w:tabs>
          <w:tab w:val="center" w:pos="4201"/>
          <w:tab w:val="right" w:leader="dot" w:pos="9298"/>
        </w:tabs>
        <w:autoSpaceDE w:val="0"/>
        <w:autoSpaceDN w:val="0"/>
        <w:spacing w:line="360" w:lineRule="auto"/>
        <w:rPr>
          <w:rFonts w:eastAsia="宋体" w:cstheme="minorHAnsi"/>
          <w:kern w:val="0"/>
          <w:szCs w:val="20"/>
        </w:rPr>
      </w:pPr>
      <w:r>
        <w:rPr>
          <w:rFonts w:hint="eastAsia" w:eastAsia="宋体" w:cstheme="minorHAnsi"/>
          <w:kern w:val="0"/>
          <w:szCs w:val="20"/>
        </w:rPr>
        <w:t>5</w:t>
      </w:r>
      <w:r>
        <w:rPr>
          <w:rFonts w:eastAsia="宋体" w:cstheme="minorHAnsi"/>
          <w:kern w:val="0"/>
          <w:szCs w:val="20"/>
        </w:rPr>
        <w:t xml:space="preserve">.2.2 </w:t>
      </w:r>
      <w:r>
        <w:rPr>
          <w:rFonts w:hint="eastAsia" w:eastAsia="宋体" w:cstheme="minorHAnsi"/>
          <w:kern w:val="0"/>
          <w:szCs w:val="20"/>
        </w:rPr>
        <w:t>气体检测报警系统可采用气体报警盘或远程I</w:t>
      </w:r>
      <w:r>
        <w:rPr>
          <w:rFonts w:eastAsia="宋体" w:cstheme="minorHAnsi"/>
          <w:kern w:val="0"/>
          <w:szCs w:val="20"/>
        </w:rPr>
        <w:t>O</w:t>
      </w:r>
      <w:r>
        <w:rPr>
          <w:rFonts w:hint="eastAsia" w:eastAsia="宋体" w:cstheme="minorHAnsi"/>
          <w:kern w:val="0"/>
          <w:szCs w:val="20"/>
        </w:rPr>
        <w:t>机柜模式。</w:t>
      </w:r>
    </w:p>
    <w:p w14:paraId="0E4D3C7B">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5.2.3 VOCs</w:t>
      </w:r>
      <w:r>
        <w:rPr>
          <w:rFonts w:hint="eastAsia" w:eastAsia="宋体" w:cstheme="minorHAnsi"/>
          <w:kern w:val="0"/>
          <w:szCs w:val="20"/>
        </w:rPr>
        <w:t>冷凝法回收</w:t>
      </w:r>
      <w:r>
        <w:rPr>
          <w:rFonts w:eastAsia="宋体" w:cstheme="minorHAnsi"/>
          <w:kern w:val="0"/>
          <w:szCs w:val="20"/>
        </w:rPr>
        <w:t>装置的可燃、有毒气体检测器信号宜接入全厂GDS系统。</w:t>
      </w:r>
    </w:p>
    <w:p w14:paraId="6A9CCFCB">
      <w:pPr>
        <w:widowControl/>
        <w:tabs>
          <w:tab w:val="center" w:pos="4201"/>
          <w:tab w:val="right" w:leader="dot" w:pos="9298"/>
        </w:tabs>
        <w:autoSpaceDE w:val="0"/>
        <w:autoSpaceDN w:val="0"/>
        <w:spacing w:line="360" w:lineRule="auto"/>
        <w:rPr>
          <w:rFonts w:eastAsia="宋体" w:cstheme="minorHAnsi"/>
          <w:kern w:val="0"/>
          <w:szCs w:val="20"/>
        </w:rPr>
      </w:pPr>
      <w:r>
        <w:rPr>
          <w:rFonts w:eastAsia="宋体" w:cstheme="minorHAnsi"/>
          <w:kern w:val="0"/>
          <w:szCs w:val="20"/>
        </w:rPr>
        <w:t>5.2.4 监测</w:t>
      </w:r>
      <w:r>
        <w:rPr>
          <w:rFonts w:hint="eastAsia" w:eastAsia="宋体" w:cstheme="minorHAnsi"/>
          <w:kern w:val="0"/>
          <w:szCs w:val="20"/>
        </w:rPr>
        <w:t>站房</w:t>
      </w:r>
      <w:r>
        <w:rPr>
          <w:rFonts w:eastAsia="宋体" w:cstheme="minorHAnsi"/>
          <w:kern w:val="0"/>
          <w:szCs w:val="20"/>
        </w:rPr>
        <w:t>内的可燃、有毒气体检测器信号宜接入全厂GDS系统。</w:t>
      </w:r>
    </w:p>
    <w:p w14:paraId="61307AFC">
      <w:pPr>
        <w:widowControl/>
        <w:tabs>
          <w:tab w:val="center" w:pos="4201"/>
          <w:tab w:val="right" w:leader="dot" w:pos="9298"/>
        </w:tabs>
        <w:autoSpaceDE w:val="0"/>
        <w:autoSpaceDN w:val="0"/>
        <w:spacing w:line="360" w:lineRule="auto"/>
        <w:rPr>
          <w:rFonts w:ascii="宋体" w:hAnsi="Times New Roman" w:eastAsia="宋体" w:cs="Times New Roman"/>
          <w:color w:val="0000FF"/>
          <w:kern w:val="0"/>
          <w:szCs w:val="20"/>
        </w:rPr>
      </w:pPr>
    </w:p>
    <w:p w14:paraId="1CDC8DCB">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46DB7A8B">
      <w:pPr>
        <w:pStyle w:val="2"/>
        <w:numPr>
          <w:ilvl w:val="0"/>
          <w:numId w:val="2"/>
        </w:numPr>
        <w:spacing w:after="360" w:line="360" w:lineRule="auto"/>
        <w:jc w:val="center"/>
        <w:rPr>
          <w:rFonts w:hAnsi="宋体"/>
          <w:sz w:val="28"/>
          <w:szCs w:val="21"/>
        </w:rPr>
      </w:pPr>
      <w:bookmarkStart w:id="68" w:name="_Toc145683526"/>
      <w:bookmarkStart w:id="69" w:name="_Toc206160059"/>
      <w:bookmarkStart w:id="70" w:name="_Toc145683585"/>
      <w:bookmarkStart w:id="71" w:name="_Toc206073856"/>
      <w:bookmarkStart w:id="72" w:name="_Toc206171704"/>
      <w:bookmarkStart w:id="73" w:name="_Toc206080468"/>
      <w:r>
        <w:rPr>
          <w:rFonts w:hint="eastAsia" w:hAnsi="宋体"/>
          <w:sz w:val="28"/>
          <w:szCs w:val="21"/>
        </w:rPr>
        <w:t>检测仪表</w:t>
      </w:r>
      <w:bookmarkEnd w:id="68"/>
      <w:bookmarkEnd w:id="69"/>
      <w:bookmarkEnd w:id="70"/>
      <w:bookmarkEnd w:id="71"/>
      <w:bookmarkEnd w:id="72"/>
      <w:bookmarkEnd w:id="73"/>
    </w:p>
    <w:p w14:paraId="6CF8F70B">
      <w:pPr>
        <w:pStyle w:val="3"/>
        <w:numPr>
          <w:ilvl w:val="1"/>
          <w:numId w:val="2"/>
        </w:numPr>
        <w:spacing w:after="100" w:line="360" w:lineRule="auto"/>
        <w:ind w:left="426" w:hanging="426"/>
        <w:jc w:val="center"/>
        <w:rPr>
          <w:sz w:val="21"/>
        </w:rPr>
      </w:pPr>
      <w:bookmarkStart w:id="74" w:name="_Toc206073857"/>
      <w:bookmarkStart w:id="75" w:name="_Toc206160060"/>
      <w:bookmarkStart w:id="76" w:name="_Toc206171705"/>
      <w:bookmarkStart w:id="77" w:name="_Toc206080469"/>
      <w:r>
        <w:rPr>
          <w:rFonts w:hint="eastAsia"/>
          <w:sz w:val="21"/>
        </w:rPr>
        <w:t>一般规定</w:t>
      </w:r>
      <w:bookmarkEnd w:id="74"/>
      <w:bookmarkEnd w:id="75"/>
      <w:bookmarkEnd w:id="76"/>
      <w:bookmarkEnd w:id="77"/>
    </w:p>
    <w:p w14:paraId="4F0C9E13">
      <w:pPr>
        <w:numPr>
          <w:ilvl w:val="2"/>
          <w:numId w:val="0"/>
        </w:numPr>
        <w:tabs>
          <w:tab w:val="left" w:pos="426"/>
          <w:tab w:val="left" w:pos="567"/>
        </w:tabs>
        <w:spacing w:line="360" w:lineRule="auto"/>
        <w:rPr>
          <w:rFonts w:cs="Arial"/>
          <w:color w:val="000000"/>
        </w:rPr>
      </w:pPr>
      <w:r>
        <w:rPr>
          <w:rFonts w:cs="Arial"/>
          <w:color w:val="000000"/>
        </w:rPr>
        <w:t>6.1.1 VOCs冷凝</w:t>
      </w:r>
      <w:r>
        <w:rPr>
          <w:rFonts w:hint="eastAsia" w:cs="Arial"/>
          <w:color w:val="000000"/>
        </w:rPr>
        <w:t>法</w:t>
      </w:r>
      <w:r>
        <w:rPr>
          <w:rFonts w:cs="Arial"/>
          <w:color w:val="000000"/>
        </w:rPr>
        <w:t>回收</w:t>
      </w:r>
      <w:r>
        <w:rPr>
          <w:rFonts w:hint="eastAsia" w:cs="Arial"/>
          <w:color w:val="000000"/>
        </w:rPr>
        <w:t>装置</w:t>
      </w:r>
      <w:r>
        <w:rPr>
          <w:rFonts w:cs="Arial"/>
          <w:color w:val="000000"/>
        </w:rPr>
        <w:t>的检测仪表</w:t>
      </w:r>
      <w:r>
        <w:rPr>
          <w:rFonts w:hint="eastAsia" w:cs="Arial"/>
          <w:color w:val="000000"/>
        </w:rPr>
        <w:t>选型</w:t>
      </w:r>
      <w:r>
        <w:rPr>
          <w:rFonts w:cs="Arial"/>
          <w:color w:val="000000"/>
        </w:rPr>
        <w:t>应符合现行行业标准《自动化仪表选型设计规范》HG/T 20507的要求</w:t>
      </w:r>
      <w:r>
        <w:rPr>
          <w:rFonts w:hint="eastAsia" w:cs="Arial"/>
          <w:color w:val="000000"/>
        </w:rPr>
        <w:t>。</w:t>
      </w:r>
      <w:r>
        <w:rPr>
          <w:rFonts w:cs="Arial"/>
          <w:color w:val="000000"/>
        </w:rPr>
        <w:t xml:space="preserve"> </w:t>
      </w:r>
    </w:p>
    <w:p w14:paraId="6A0CFE75">
      <w:pPr>
        <w:numPr>
          <w:ilvl w:val="2"/>
          <w:numId w:val="0"/>
        </w:numPr>
        <w:tabs>
          <w:tab w:val="left" w:pos="426"/>
          <w:tab w:val="left" w:pos="567"/>
        </w:tabs>
        <w:spacing w:line="360" w:lineRule="auto"/>
        <w:rPr>
          <w:rFonts w:cs="Arial"/>
          <w:color w:val="000000"/>
        </w:rPr>
      </w:pPr>
      <w:r>
        <w:rPr>
          <w:rFonts w:cs="Arial"/>
          <w:color w:val="000000"/>
        </w:rPr>
        <w:t xml:space="preserve">6.1.2 </w:t>
      </w:r>
      <w:r>
        <w:rPr>
          <w:rFonts w:hint="eastAsia" w:cs="Arial"/>
          <w:color w:val="000000"/>
        </w:rPr>
        <w:t>仪表选型应满足V</w:t>
      </w:r>
      <w:r>
        <w:rPr>
          <w:rFonts w:cs="Arial"/>
          <w:color w:val="000000"/>
        </w:rPr>
        <w:t>OC</w:t>
      </w:r>
      <w:r>
        <w:rPr>
          <w:rFonts w:hint="eastAsia" w:cs="Arial"/>
          <w:color w:val="000000"/>
        </w:rPr>
        <w:t>s冷凝法回收装置的低温、真空和微压等应用场合要求。</w:t>
      </w:r>
    </w:p>
    <w:p w14:paraId="47AC81CF">
      <w:pPr>
        <w:numPr>
          <w:ilvl w:val="2"/>
          <w:numId w:val="0"/>
        </w:numPr>
        <w:tabs>
          <w:tab w:val="left" w:pos="426"/>
          <w:tab w:val="left" w:pos="567"/>
        </w:tabs>
        <w:spacing w:line="360" w:lineRule="auto"/>
        <w:rPr>
          <w:rFonts w:cs="Arial"/>
          <w:color w:val="000000"/>
        </w:rPr>
      </w:pPr>
      <w:r>
        <w:rPr>
          <w:rFonts w:cs="Arial"/>
          <w:color w:val="000000"/>
        </w:rPr>
        <w:t>6</w:t>
      </w:r>
      <w:r>
        <w:rPr>
          <w:rFonts w:hint="eastAsia" w:cs="Arial"/>
          <w:color w:val="000000"/>
        </w:rPr>
        <w:t>.1.</w:t>
      </w:r>
      <w:r>
        <w:rPr>
          <w:rFonts w:cs="Arial"/>
          <w:color w:val="000000"/>
        </w:rPr>
        <w:t>3</w:t>
      </w:r>
      <w:r>
        <w:rPr>
          <w:rFonts w:hint="eastAsia" w:cs="Arial"/>
          <w:color w:val="000000"/>
        </w:rPr>
        <w:t xml:space="preserve"> 仪表材质应满足管道材料等级的要求，所选材料应能满足测量介质设计温度和设计压力及温压曲线的相应要求。</w:t>
      </w:r>
    </w:p>
    <w:p w14:paraId="3FFCBBE4">
      <w:pPr>
        <w:numPr>
          <w:ilvl w:val="2"/>
          <w:numId w:val="0"/>
        </w:numPr>
        <w:tabs>
          <w:tab w:val="left" w:pos="426"/>
          <w:tab w:val="left" w:pos="567"/>
        </w:tabs>
        <w:spacing w:line="360" w:lineRule="auto"/>
        <w:rPr>
          <w:rFonts w:cs="Arial"/>
          <w:color w:val="000000"/>
        </w:rPr>
      </w:pPr>
      <w:r>
        <w:rPr>
          <w:rFonts w:cs="Arial"/>
          <w:color w:val="000000"/>
        </w:rPr>
        <w:t xml:space="preserve">6.1.4 </w:t>
      </w:r>
      <w:r>
        <w:rPr>
          <w:rFonts w:hint="eastAsia" w:cs="Arial"/>
          <w:color w:val="000000"/>
        </w:rPr>
        <w:t>对于腐蚀性介质，仪表接液材质应满足防腐要求。</w:t>
      </w:r>
    </w:p>
    <w:p w14:paraId="0E420B9B">
      <w:pPr>
        <w:numPr>
          <w:ilvl w:val="2"/>
          <w:numId w:val="0"/>
        </w:numPr>
        <w:tabs>
          <w:tab w:val="left" w:pos="426"/>
          <w:tab w:val="left" w:pos="567"/>
        </w:tabs>
        <w:spacing w:line="360" w:lineRule="auto"/>
        <w:rPr>
          <w:rFonts w:cs="Arial"/>
          <w:color w:val="000000"/>
        </w:rPr>
      </w:pPr>
      <w:r>
        <w:rPr>
          <w:rFonts w:hint="eastAsia" w:cs="Arial"/>
          <w:color w:val="000000"/>
        </w:rPr>
        <w:t>6</w:t>
      </w:r>
      <w:r>
        <w:rPr>
          <w:rFonts w:cs="Arial"/>
          <w:color w:val="000000"/>
        </w:rPr>
        <w:t xml:space="preserve">.1.5 </w:t>
      </w:r>
      <w:r>
        <w:rPr>
          <w:rFonts w:hint="eastAsia" w:cs="Arial"/>
          <w:color w:val="000000"/>
        </w:rPr>
        <w:t>现场仪表应满足安装场所的防火、防爆、防雷电、防静电、防腐蚀、防振动、防干扰、放水、防尘等方面要求。</w:t>
      </w:r>
    </w:p>
    <w:p w14:paraId="5DC0DD90">
      <w:pPr>
        <w:pStyle w:val="3"/>
        <w:numPr>
          <w:ilvl w:val="1"/>
          <w:numId w:val="2"/>
        </w:numPr>
        <w:spacing w:after="100" w:line="360" w:lineRule="auto"/>
        <w:ind w:left="426" w:hanging="426"/>
        <w:jc w:val="center"/>
        <w:rPr>
          <w:sz w:val="21"/>
        </w:rPr>
      </w:pPr>
      <w:bookmarkStart w:id="78" w:name="_Toc206160061"/>
      <w:bookmarkStart w:id="79" w:name="_Toc206073858"/>
      <w:bookmarkStart w:id="80" w:name="_Toc206171706"/>
      <w:bookmarkStart w:id="81" w:name="_Toc206080470"/>
      <w:r>
        <w:rPr>
          <w:rFonts w:hint="eastAsia"/>
          <w:sz w:val="21"/>
        </w:rPr>
        <w:t>温度仪表</w:t>
      </w:r>
      <w:bookmarkEnd w:id="78"/>
      <w:bookmarkEnd w:id="79"/>
      <w:bookmarkEnd w:id="80"/>
      <w:bookmarkEnd w:id="81"/>
    </w:p>
    <w:p w14:paraId="4B00BEF2">
      <w:pPr>
        <w:numPr>
          <w:ilvl w:val="2"/>
          <w:numId w:val="0"/>
        </w:numPr>
        <w:tabs>
          <w:tab w:val="left" w:pos="426"/>
          <w:tab w:val="left" w:pos="567"/>
        </w:tabs>
        <w:spacing w:line="360" w:lineRule="auto"/>
      </w:pPr>
      <w:r>
        <w:rPr>
          <w:rFonts w:cs="Arial"/>
          <w:color w:val="000000"/>
        </w:rPr>
        <w:t xml:space="preserve">6.2.1 </w:t>
      </w:r>
      <w:r>
        <w:rPr>
          <w:rFonts w:hint="eastAsia" w:cs="Arial"/>
          <w:color w:val="000000"/>
        </w:rPr>
        <w:t>常温场合</w:t>
      </w:r>
      <w:r>
        <w:rPr>
          <w:rFonts w:hint="eastAsia"/>
        </w:rPr>
        <w:t>就地温度测量宜选用万向型双金属温度计；</w:t>
      </w:r>
      <w:r>
        <w:rPr>
          <w:rFonts w:hint="eastAsia"/>
          <w:bCs/>
          <w:color w:val="000000"/>
        </w:rPr>
        <w:t>-</w:t>
      </w:r>
      <w:r>
        <w:rPr>
          <w:bCs/>
          <w:color w:val="000000"/>
        </w:rPr>
        <w:t>80</w:t>
      </w:r>
      <w:r>
        <w:rPr>
          <w:rFonts w:hint="eastAsia" w:ascii="宋体" w:hAnsi="宋体" w:eastAsia="宋体" w:cs="宋体"/>
          <w:bCs/>
          <w:color w:val="000000"/>
        </w:rPr>
        <w:t>℃以下的</w:t>
      </w:r>
      <w:r>
        <w:rPr>
          <w:rFonts w:hint="eastAsia"/>
          <w:bCs/>
          <w:color w:val="000000"/>
        </w:rPr>
        <w:t>低温介质</w:t>
      </w:r>
      <w:r>
        <w:rPr>
          <w:rFonts w:hint="eastAsia"/>
        </w:rPr>
        <w:t>就地温度测量宜选用</w:t>
      </w:r>
      <w:r>
        <w:rPr>
          <w:rFonts w:hint="eastAsia"/>
          <w:bCs/>
          <w:color w:val="000000"/>
        </w:rPr>
        <w:t>压力式温度计，温度计毛细管应有保护措施。</w:t>
      </w:r>
    </w:p>
    <w:p w14:paraId="4D8F9841">
      <w:pPr>
        <w:numPr>
          <w:ilvl w:val="2"/>
          <w:numId w:val="0"/>
        </w:numPr>
        <w:tabs>
          <w:tab w:val="left" w:pos="426"/>
          <w:tab w:val="left" w:pos="567"/>
        </w:tabs>
        <w:spacing w:line="360" w:lineRule="auto"/>
      </w:pPr>
      <w:r>
        <w:rPr>
          <w:rFonts w:cs="Arial"/>
          <w:color w:val="000000"/>
        </w:rPr>
        <w:t xml:space="preserve">6.2.2 </w:t>
      </w:r>
      <w:r>
        <w:rPr>
          <w:rFonts w:hint="eastAsia"/>
        </w:rPr>
        <w:t>远传温度测量宜选用铠装热电阻（</w:t>
      </w:r>
      <w:r>
        <w:rPr>
          <w:rFonts w:hint="eastAsia" w:ascii="宋体" w:hAnsi="宋体"/>
        </w:rPr>
        <w:t>RTD</w:t>
      </w:r>
      <w:r>
        <w:rPr>
          <w:rFonts w:hint="eastAsia"/>
        </w:rPr>
        <w:t>）或铠装热电阻+一体化温度变送器。</w:t>
      </w:r>
    </w:p>
    <w:p w14:paraId="21C2D613">
      <w:pPr>
        <w:spacing w:line="360" w:lineRule="auto"/>
        <w:rPr>
          <w:color w:val="000000"/>
        </w:rPr>
      </w:pPr>
      <w:r>
        <w:rPr>
          <w:color w:val="000000"/>
        </w:rPr>
        <w:t xml:space="preserve">6.2.3 </w:t>
      </w:r>
      <w:r>
        <w:rPr>
          <w:rFonts w:hint="eastAsia"/>
          <w:color w:val="000000"/>
        </w:rPr>
        <w:t>温度计套管型式及材质应按介质的特性选择，用于测量低温介质的温度计套管宜选用3</w:t>
      </w:r>
      <w:r>
        <w:rPr>
          <w:color w:val="000000"/>
        </w:rPr>
        <w:t>16S</w:t>
      </w:r>
      <w:r>
        <w:rPr>
          <w:rFonts w:hint="eastAsia"/>
          <w:color w:val="000000"/>
        </w:rPr>
        <w:t>。</w:t>
      </w:r>
    </w:p>
    <w:p w14:paraId="1BF09678">
      <w:pPr>
        <w:spacing w:line="360" w:lineRule="auto"/>
        <w:rPr>
          <w:rFonts w:ascii="Arial" w:hAnsi="Arial" w:eastAsia="宋体" w:cs="Arial"/>
        </w:rPr>
      </w:pPr>
      <w:r>
        <w:rPr>
          <w:rFonts w:hint="eastAsia"/>
          <w:color w:val="000000"/>
        </w:rPr>
        <w:t>6</w:t>
      </w:r>
      <w:r>
        <w:rPr>
          <w:color w:val="000000"/>
        </w:rPr>
        <w:t xml:space="preserve">.2.4 </w:t>
      </w:r>
      <w:r>
        <w:rPr>
          <w:rFonts w:hint="eastAsia" w:ascii="Arial" w:hAnsi="Arial" w:eastAsia="宋体" w:cs="Arial"/>
        </w:rPr>
        <w:t>安装在管道上的温度计套管应进行振动频率及应力符合性计算。</w:t>
      </w:r>
    </w:p>
    <w:p w14:paraId="1CA0208A">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6.2.5 排放气温度仪表宜选用热电阻，带</w:t>
      </w:r>
      <w:r>
        <w:rPr>
          <w:rFonts w:hint="eastAsia" w:cstheme="minorHAnsi"/>
          <w:kern w:val="0"/>
          <w:szCs w:val="20"/>
        </w:rPr>
        <w:t>保护</w:t>
      </w:r>
      <w:r>
        <w:rPr>
          <w:rFonts w:cstheme="minorHAnsi"/>
          <w:kern w:val="0"/>
          <w:szCs w:val="20"/>
        </w:rPr>
        <w:t>套管，且应进行振动计算，精度不大于1%。</w:t>
      </w:r>
    </w:p>
    <w:p w14:paraId="0EDCA038">
      <w:pPr>
        <w:pStyle w:val="3"/>
        <w:numPr>
          <w:ilvl w:val="1"/>
          <w:numId w:val="2"/>
        </w:numPr>
        <w:spacing w:after="100" w:line="360" w:lineRule="auto"/>
        <w:ind w:left="426" w:hanging="426"/>
        <w:jc w:val="center"/>
        <w:rPr>
          <w:sz w:val="21"/>
        </w:rPr>
      </w:pPr>
      <w:bookmarkStart w:id="82" w:name="_Toc206073859"/>
      <w:bookmarkStart w:id="83" w:name="_Toc206160062"/>
      <w:bookmarkStart w:id="84" w:name="_Toc206080471"/>
      <w:bookmarkStart w:id="85" w:name="_Toc206171707"/>
      <w:r>
        <w:rPr>
          <w:rFonts w:hint="eastAsia"/>
          <w:sz w:val="21"/>
        </w:rPr>
        <w:t>压力仪表</w:t>
      </w:r>
      <w:bookmarkEnd w:id="82"/>
      <w:bookmarkEnd w:id="83"/>
      <w:bookmarkEnd w:id="84"/>
      <w:bookmarkEnd w:id="85"/>
    </w:p>
    <w:p w14:paraId="0298EDF2">
      <w:pPr>
        <w:tabs>
          <w:tab w:val="left" w:pos="0"/>
        </w:tabs>
        <w:spacing w:line="360" w:lineRule="auto"/>
        <w:rPr>
          <w:rFonts w:cs="Arial"/>
          <w:color w:val="000000"/>
        </w:rPr>
      </w:pPr>
      <w:r>
        <w:rPr>
          <w:rFonts w:cs="Arial"/>
          <w:color w:val="000000"/>
        </w:rPr>
        <w:t>6</w:t>
      </w:r>
      <w:r>
        <w:rPr>
          <w:rFonts w:hint="eastAsia" w:cs="Arial"/>
          <w:color w:val="000000"/>
        </w:rPr>
        <w:t>.3.</w:t>
      </w:r>
      <w:r>
        <w:rPr>
          <w:rFonts w:cs="Arial"/>
          <w:color w:val="000000"/>
        </w:rPr>
        <w:t xml:space="preserve">1 </w:t>
      </w:r>
      <w:r>
        <w:rPr>
          <w:rFonts w:hint="eastAsia" w:cs="Arial"/>
          <w:color w:val="000000"/>
        </w:rPr>
        <w:t>就地压力表可选用弹簧管压力表（差压表）、膜盒压力表、膜片压力表和真空压力表。</w:t>
      </w:r>
    </w:p>
    <w:p w14:paraId="3FD27E08">
      <w:pPr>
        <w:tabs>
          <w:tab w:val="left" w:pos="0"/>
        </w:tabs>
        <w:spacing w:line="360" w:lineRule="auto"/>
        <w:rPr>
          <w:rFonts w:cs="Arial"/>
          <w:color w:val="000000"/>
        </w:rPr>
      </w:pPr>
      <w:r>
        <w:rPr>
          <w:rFonts w:cs="Arial"/>
          <w:color w:val="000000"/>
        </w:rPr>
        <w:t xml:space="preserve">6.3.2 </w:t>
      </w:r>
      <w:r>
        <w:rPr>
          <w:rFonts w:hint="eastAsia" w:cs="Arial"/>
          <w:color w:val="000000"/>
        </w:rPr>
        <w:t>远传压力测量可选用压力和差压变送器，也可选用隔膜式压力变送器。</w:t>
      </w:r>
    </w:p>
    <w:p w14:paraId="300D4994">
      <w:pPr>
        <w:tabs>
          <w:tab w:val="left" w:pos="0"/>
        </w:tabs>
        <w:spacing w:line="360" w:lineRule="auto"/>
        <w:rPr>
          <w:rFonts w:cs="Arial"/>
          <w:color w:val="000000"/>
        </w:rPr>
      </w:pPr>
      <w:r>
        <w:rPr>
          <w:rFonts w:hint="eastAsia" w:cs="Arial"/>
          <w:color w:val="000000"/>
        </w:rPr>
        <w:t>6</w:t>
      </w:r>
      <w:r>
        <w:rPr>
          <w:rFonts w:cs="Arial"/>
          <w:color w:val="000000"/>
        </w:rPr>
        <w:t xml:space="preserve">.3.3 </w:t>
      </w:r>
      <w:r>
        <w:rPr>
          <w:rFonts w:hint="eastAsia" w:cs="Arial"/>
          <w:color w:val="000000"/>
        </w:rPr>
        <w:t>低温介质场合，宜选用隔膜式压力变送器。</w:t>
      </w:r>
    </w:p>
    <w:p w14:paraId="30C2AD93">
      <w:pPr>
        <w:tabs>
          <w:tab w:val="left" w:pos="0"/>
        </w:tabs>
        <w:spacing w:line="360" w:lineRule="auto"/>
        <w:rPr>
          <w:rFonts w:cs="Arial"/>
          <w:color w:val="000000"/>
        </w:rPr>
      </w:pPr>
      <w:r>
        <w:rPr>
          <w:rFonts w:cs="Arial"/>
          <w:color w:val="000000"/>
        </w:rPr>
        <w:t>6.3.4 排放气压力仪表宜选用直接安装型，精度不大于0.1%。</w:t>
      </w:r>
    </w:p>
    <w:p w14:paraId="65EE542C">
      <w:pPr>
        <w:tabs>
          <w:tab w:val="left" w:pos="0"/>
        </w:tabs>
        <w:spacing w:line="360" w:lineRule="auto"/>
        <w:rPr>
          <w:rFonts w:cs="Arial"/>
          <w:color w:val="000000"/>
        </w:rPr>
      </w:pPr>
      <w:r>
        <w:rPr>
          <w:rFonts w:cs="Arial"/>
          <w:color w:val="000000"/>
        </w:rPr>
        <w:t xml:space="preserve">6.3.5 </w:t>
      </w:r>
      <w:r>
        <w:rPr>
          <w:rFonts w:hint="eastAsia" w:cs="Arial"/>
          <w:color w:val="000000"/>
        </w:rPr>
        <w:t>大气压力测量宜选用差压变送器或绝压变送器。</w:t>
      </w:r>
    </w:p>
    <w:p w14:paraId="47580FE3">
      <w:pPr>
        <w:pStyle w:val="3"/>
        <w:numPr>
          <w:ilvl w:val="1"/>
          <w:numId w:val="2"/>
        </w:numPr>
        <w:spacing w:after="100" w:line="360" w:lineRule="auto"/>
        <w:ind w:left="426" w:hanging="426"/>
        <w:jc w:val="center"/>
        <w:rPr>
          <w:sz w:val="21"/>
        </w:rPr>
      </w:pPr>
      <w:bookmarkStart w:id="86" w:name="_Toc206160063"/>
      <w:bookmarkStart w:id="87" w:name="_Toc206080472"/>
      <w:bookmarkStart w:id="88" w:name="_Toc206171708"/>
      <w:bookmarkStart w:id="89" w:name="_Toc206073860"/>
      <w:r>
        <w:rPr>
          <w:rFonts w:hint="eastAsia"/>
          <w:sz w:val="21"/>
        </w:rPr>
        <w:t>流量仪表</w:t>
      </w:r>
      <w:bookmarkEnd w:id="86"/>
      <w:bookmarkEnd w:id="87"/>
      <w:bookmarkEnd w:id="88"/>
      <w:bookmarkEnd w:id="89"/>
    </w:p>
    <w:p w14:paraId="13ABF29C">
      <w:pPr>
        <w:tabs>
          <w:tab w:val="left" w:pos="0"/>
        </w:tabs>
        <w:spacing w:line="360" w:lineRule="auto"/>
        <w:rPr>
          <w:rFonts w:cs="Arial"/>
          <w:color w:val="000000"/>
        </w:rPr>
      </w:pPr>
      <w:r>
        <w:rPr>
          <w:rFonts w:cs="Arial"/>
          <w:color w:val="000000"/>
        </w:rPr>
        <w:t xml:space="preserve">6.4.1 </w:t>
      </w:r>
      <w:r>
        <w:rPr>
          <w:rFonts w:hint="eastAsia" w:cs="Arial"/>
          <w:color w:val="000000"/>
        </w:rPr>
        <w:t>就地指示流量计，宜选用转子流量计，测量精度不低于2</w:t>
      </w:r>
      <w:r>
        <w:rPr>
          <w:rFonts w:cs="Arial"/>
          <w:color w:val="000000"/>
        </w:rPr>
        <w:t>.5</w:t>
      </w:r>
      <w:r>
        <w:rPr>
          <w:rFonts w:hint="eastAsia" w:cs="Arial"/>
          <w:color w:val="000000"/>
        </w:rPr>
        <w:t>级。</w:t>
      </w:r>
    </w:p>
    <w:p w14:paraId="18665D38">
      <w:pPr>
        <w:tabs>
          <w:tab w:val="left" w:pos="0"/>
        </w:tabs>
        <w:spacing w:line="360" w:lineRule="auto"/>
        <w:rPr>
          <w:rFonts w:cs="Arial"/>
          <w:color w:val="000000"/>
        </w:rPr>
      </w:pPr>
      <w:r>
        <w:rPr>
          <w:rFonts w:cs="Arial"/>
          <w:color w:val="000000"/>
        </w:rPr>
        <w:t>6.4.2</w:t>
      </w:r>
      <w:r>
        <w:rPr>
          <w:rFonts w:hint="eastAsia" w:cs="Arial"/>
          <w:color w:val="000000"/>
        </w:rPr>
        <w:t>远传流量计宜</w:t>
      </w:r>
      <w:r>
        <w:rPr>
          <w:rFonts w:cs="Arial"/>
          <w:color w:val="000000"/>
        </w:rPr>
        <w:t>选用</w:t>
      </w:r>
      <w:r>
        <w:rPr>
          <w:rFonts w:hint="eastAsia" w:cs="Arial"/>
          <w:color w:val="000000"/>
        </w:rPr>
        <w:t>差压式流量计</w:t>
      </w:r>
      <w:r>
        <w:rPr>
          <w:rFonts w:cs="Arial"/>
          <w:color w:val="000000"/>
        </w:rPr>
        <w:t>，</w:t>
      </w:r>
      <w:r>
        <w:rPr>
          <w:rFonts w:hint="eastAsia" w:cs="Arial"/>
          <w:color w:val="000000"/>
        </w:rPr>
        <w:t>也可选用容积式、电磁、涡街、科氏力质量等型式的流量计。</w:t>
      </w:r>
    </w:p>
    <w:p w14:paraId="57C3D8B2">
      <w:pPr>
        <w:tabs>
          <w:tab w:val="left" w:pos="0"/>
        </w:tabs>
        <w:spacing w:line="360" w:lineRule="auto"/>
        <w:rPr>
          <w:rFonts w:cs="Arial"/>
          <w:color w:val="000000"/>
        </w:rPr>
      </w:pPr>
      <w:r>
        <w:rPr>
          <w:rFonts w:cs="Arial"/>
          <w:color w:val="000000"/>
        </w:rPr>
        <w:t>6.4.3 VOC</w:t>
      </w:r>
      <w:r>
        <w:rPr>
          <w:rFonts w:hint="eastAsia" w:cs="Arial"/>
          <w:color w:val="000000"/>
        </w:rPr>
        <w:t>s气体进料流量仪表宜选用质量流量计、超声波流量计或带温压补偿的差压式流量计。</w:t>
      </w:r>
    </w:p>
    <w:p w14:paraId="561A0017">
      <w:pPr>
        <w:tabs>
          <w:tab w:val="left" w:pos="0"/>
        </w:tabs>
        <w:spacing w:line="360" w:lineRule="auto"/>
        <w:rPr>
          <w:rFonts w:cs="Arial"/>
          <w:color w:val="000000"/>
        </w:rPr>
      </w:pPr>
      <w:r>
        <w:rPr>
          <w:rFonts w:cs="Arial"/>
          <w:color w:val="000000"/>
        </w:rPr>
        <w:t xml:space="preserve">6.4.4 </w:t>
      </w:r>
      <w:r>
        <w:rPr>
          <w:rFonts w:hint="eastAsia" w:cs="Arial"/>
          <w:color w:val="000000"/>
        </w:rPr>
        <w:t>冷凝回收后的液体流量计量宜选用科氏力质量流量计。</w:t>
      </w:r>
    </w:p>
    <w:p w14:paraId="494F01BF">
      <w:pPr>
        <w:tabs>
          <w:tab w:val="left" w:pos="0"/>
        </w:tabs>
        <w:spacing w:line="360" w:lineRule="auto"/>
        <w:rPr>
          <w:rFonts w:cs="Arial"/>
          <w:color w:val="000000"/>
        </w:rPr>
      </w:pPr>
      <w:r>
        <w:rPr>
          <w:rFonts w:cs="Arial"/>
          <w:color w:val="000000"/>
        </w:rPr>
        <w:t>6.4.5 排放气流速</w:t>
      </w:r>
      <w:r>
        <w:rPr>
          <w:rFonts w:hint="eastAsia" w:cs="Arial"/>
          <w:color w:val="000000"/>
        </w:rPr>
        <w:t>测量</w:t>
      </w:r>
      <w:r>
        <w:rPr>
          <w:rFonts w:cs="Arial"/>
          <w:color w:val="000000"/>
        </w:rPr>
        <w:t>宜选用插入式皮托管流量计，精度不大于1%。</w:t>
      </w:r>
    </w:p>
    <w:p w14:paraId="6AE487AE">
      <w:pPr>
        <w:pStyle w:val="3"/>
        <w:numPr>
          <w:ilvl w:val="1"/>
          <w:numId w:val="2"/>
        </w:numPr>
        <w:spacing w:after="100" w:line="360" w:lineRule="auto"/>
        <w:ind w:left="426" w:hanging="426"/>
        <w:jc w:val="center"/>
        <w:rPr>
          <w:sz w:val="21"/>
        </w:rPr>
      </w:pPr>
      <w:bookmarkStart w:id="90" w:name="_Toc206080473"/>
      <w:bookmarkStart w:id="91" w:name="_Toc206171709"/>
      <w:bookmarkStart w:id="92" w:name="_Toc206073861"/>
      <w:bookmarkStart w:id="93" w:name="_Toc206160064"/>
      <w:r>
        <w:rPr>
          <w:rFonts w:hint="eastAsia"/>
          <w:sz w:val="21"/>
        </w:rPr>
        <w:t>液位仪表</w:t>
      </w:r>
      <w:bookmarkEnd w:id="90"/>
      <w:bookmarkEnd w:id="91"/>
      <w:bookmarkEnd w:id="92"/>
      <w:bookmarkEnd w:id="93"/>
    </w:p>
    <w:p w14:paraId="5C35FF51">
      <w:pPr>
        <w:tabs>
          <w:tab w:val="left" w:pos="0"/>
        </w:tabs>
        <w:spacing w:line="360" w:lineRule="auto"/>
        <w:rPr>
          <w:rFonts w:cs="Arial"/>
          <w:color w:val="000000"/>
        </w:rPr>
      </w:pPr>
      <w:r>
        <w:rPr>
          <w:rFonts w:cs="Arial"/>
          <w:color w:val="000000"/>
        </w:rPr>
        <w:t xml:space="preserve">6.5.1 </w:t>
      </w:r>
      <w:r>
        <w:rPr>
          <w:rFonts w:hint="eastAsia" w:cs="Arial"/>
          <w:color w:val="000000"/>
        </w:rPr>
        <w:t>就地液位指示宜选用磁翻板液位计。低温场合宜选用防霜型。</w:t>
      </w:r>
    </w:p>
    <w:p w14:paraId="3A9A96BF">
      <w:pPr>
        <w:tabs>
          <w:tab w:val="left" w:pos="0"/>
        </w:tabs>
        <w:spacing w:line="360" w:lineRule="auto"/>
        <w:rPr>
          <w:rFonts w:cs="Arial"/>
          <w:color w:val="000000"/>
        </w:rPr>
      </w:pPr>
      <w:r>
        <w:rPr>
          <w:rFonts w:cs="Arial"/>
          <w:color w:val="000000"/>
        </w:rPr>
        <w:t xml:space="preserve">6.5.2 </w:t>
      </w:r>
      <w:r>
        <w:rPr>
          <w:rFonts w:hint="eastAsia" w:cs="Arial"/>
          <w:color w:val="000000"/>
        </w:rPr>
        <w:t>远传液位测量宜选用差压液位变送器；腐蚀性介质宜选用隔膜差压变送器；法兰间距小于</w:t>
      </w:r>
      <w:r>
        <w:rPr>
          <w:rFonts w:cs="Arial"/>
          <w:color w:val="000000"/>
        </w:rPr>
        <w:t>1</w:t>
      </w:r>
      <w:r>
        <w:rPr>
          <w:rFonts w:hint="eastAsia" w:cs="Arial"/>
          <w:color w:val="000000"/>
        </w:rPr>
        <w:t>.</w:t>
      </w:r>
      <w:r>
        <w:rPr>
          <w:rFonts w:cs="Arial"/>
          <w:color w:val="000000"/>
        </w:rPr>
        <w:t>2m</w:t>
      </w:r>
      <w:r>
        <w:rPr>
          <w:rFonts w:hint="eastAsia" w:cs="Arial"/>
          <w:color w:val="000000"/>
        </w:rPr>
        <w:t>时，宜采用带旁通管式磁致伸缩、外浮筒或导波雷达液位计。</w:t>
      </w:r>
    </w:p>
    <w:p w14:paraId="1E90AFDA">
      <w:pPr>
        <w:tabs>
          <w:tab w:val="left" w:pos="0"/>
        </w:tabs>
        <w:spacing w:line="360" w:lineRule="auto"/>
        <w:rPr>
          <w:rFonts w:cs="Arial"/>
          <w:color w:val="000000"/>
        </w:rPr>
      </w:pPr>
      <w:r>
        <w:rPr>
          <w:rFonts w:hint="eastAsia" w:cs="Arial"/>
          <w:color w:val="000000"/>
        </w:rPr>
        <w:t>6</w:t>
      </w:r>
      <w:r>
        <w:rPr>
          <w:rFonts w:cs="Arial"/>
          <w:color w:val="000000"/>
        </w:rPr>
        <w:t xml:space="preserve">.5.3 </w:t>
      </w:r>
      <w:r>
        <w:rPr>
          <w:rFonts w:hint="eastAsia" w:cs="Arial"/>
          <w:color w:val="000000"/>
        </w:rPr>
        <w:t>设备顶部安装的液位测量宜选用雷达液位计。</w:t>
      </w:r>
    </w:p>
    <w:p w14:paraId="3DCCDD51">
      <w:pPr>
        <w:tabs>
          <w:tab w:val="left" w:pos="0"/>
        </w:tabs>
        <w:spacing w:line="360" w:lineRule="auto"/>
        <w:rPr>
          <w:rFonts w:cs="Arial"/>
          <w:color w:val="000000"/>
        </w:rPr>
      </w:pPr>
      <w:r>
        <w:rPr>
          <w:rFonts w:cs="Arial"/>
          <w:color w:val="000000"/>
        </w:rPr>
        <w:t xml:space="preserve">6.5.4 </w:t>
      </w:r>
      <w:r>
        <w:rPr>
          <w:rFonts w:hint="eastAsia" w:cs="Arial"/>
          <w:color w:val="000000"/>
        </w:rPr>
        <w:t>液（界）位开关宜选用外浮筒液位开关或音叉液位开关。</w:t>
      </w:r>
    </w:p>
    <w:p w14:paraId="26FE512C">
      <w:pPr>
        <w:tabs>
          <w:tab w:val="left" w:pos="0"/>
        </w:tabs>
        <w:spacing w:line="360" w:lineRule="auto"/>
        <w:rPr>
          <w:rFonts w:cs="Arial"/>
          <w:color w:val="000000"/>
        </w:rPr>
      </w:pPr>
      <w:r>
        <w:rPr>
          <w:rFonts w:hint="eastAsia" w:cs="Arial"/>
          <w:color w:val="000000"/>
        </w:rPr>
        <w:t>6</w:t>
      </w:r>
      <w:r>
        <w:rPr>
          <w:rFonts w:cs="Arial"/>
          <w:color w:val="000000"/>
        </w:rPr>
        <w:t xml:space="preserve">.5.5 </w:t>
      </w:r>
      <w:r>
        <w:rPr>
          <w:rFonts w:hint="eastAsia" w:cs="Arial"/>
          <w:color w:val="000000"/>
        </w:rPr>
        <w:t>一级及二级冷凝罐远传液位测量，宜采用磁翻板+磁致伸缩液位变送器。</w:t>
      </w:r>
    </w:p>
    <w:p w14:paraId="05DA24F0">
      <w:pPr>
        <w:pStyle w:val="3"/>
        <w:numPr>
          <w:ilvl w:val="1"/>
          <w:numId w:val="2"/>
        </w:numPr>
        <w:spacing w:after="100" w:line="360" w:lineRule="auto"/>
        <w:ind w:left="426" w:hanging="426"/>
        <w:jc w:val="center"/>
        <w:rPr>
          <w:sz w:val="21"/>
        </w:rPr>
      </w:pPr>
      <w:bookmarkStart w:id="94" w:name="_Toc206171710"/>
      <w:bookmarkStart w:id="95" w:name="_Toc206160065"/>
      <w:bookmarkStart w:id="96" w:name="_Toc206073862"/>
      <w:bookmarkStart w:id="97" w:name="_Toc206080474"/>
      <w:r>
        <w:rPr>
          <w:rFonts w:hint="eastAsia"/>
          <w:sz w:val="21"/>
        </w:rPr>
        <w:t>分析仪表</w:t>
      </w:r>
      <w:bookmarkEnd w:id="94"/>
      <w:bookmarkEnd w:id="95"/>
      <w:bookmarkEnd w:id="96"/>
      <w:bookmarkEnd w:id="97"/>
    </w:p>
    <w:p w14:paraId="37FDC703">
      <w:pPr>
        <w:tabs>
          <w:tab w:val="left" w:pos="0"/>
        </w:tabs>
        <w:spacing w:line="360" w:lineRule="auto"/>
        <w:rPr>
          <w:rFonts w:cs="Arial"/>
          <w:color w:val="000000"/>
        </w:rPr>
      </w:pPr>
      <w:r>
        <w:rPr>
          <w:rFonts w:cs="Arial"/>
          <w:color w:val="000000"/>
        </w:rPr>
        <w:t>6.6.1</w:t>
      </w:r>
      <w:r>
        <w:rPr>
          <w:rFonts w:hint="eastAsia" w:cs="Arial"/>
          <w:color w:val="000000"/>
        </w:rPr>
        <w:t>测量总烃、甲烷、非甲烷类总烃含量宜选用</w:t>
      </w:r>
      <w:r>
        <w:rPr>
          <w:rFonts w:cs="Arial"/>
          <w:color w:val="000000"/>
        </w:rPr>
        <w:t>氢</w:t>
      </w:r>
      <w:r>
        <w:rPr>
          <w:rFonts w:hint="eastAsia" w:cs="Arial"/>
          <w:color w:val="000000"/>
        </w:rPr>
        <w:t>火</w:t>
      </w:r>
      <w:r>
        <w:rPr>
          <w:rFonts w:cs="Arial"/>
          <w:color w:val="000000"/>
        </w:rPr>
        <w:t>焰检测器</w:t>
      </w:r>
      <w:r>
        <w:rPr>
          <w:rFonts w:hint="eastAsia" w:cs="Arial"/>
          <w:color w:val="000000"/>
        </w:rPr>
        <w:t>（</w:t>
      </w:r>
      <w:r>
        <w:rPr>
          <w:rFonts w:cs="Arial"/>
          <w:color w:val="000000"/>
        </w:rPr>
        <w:t>FID</w:t>
      </w:r>
      <w:r>
        <w:rPr>
          <w:rFonts w:hint="eastAsia" w:cs="Arial"/>
          <w:color w:val="000000"/>
        </w:rPr>
        <w:t>）</w:t>
      </w:r>
      <w:r>
        <w:rPr>
          <w:rFonts w:cs="Arial"/>
          <w:color w:val="000000"/>
        </w:rPr>
        <w:t>的气相色谱分析仪</w:t>
      </w:r>
      <w:r>
        <w:rPr>
          <w:rFonts w:hint="eastAsia" w:cs="Arial"/>
          <w:color w:val="000000"/>
        </w:rPr>
        <w:t>。</w:t>
      </w:r>
    </w:p>
    <w:p w14:paraId="55637D76">
      <w:pPr>
        <w:tabs>
          <w:tab w:val="left" w:pos="0"/>
        </w:tabs>
        <w:spacing w:line="360" w:lineRule="auto"/>
        <w:rPr>
          <w:rFonts w:cs="Arial"/>
          <w:color w:val="000000"/>
        </w:rPr>
      </w:pPr>
      <w:r>
        <w:rPr>
          <w:rFonts w:cs="Arial"/>
          <w:color w:val="000000"/>
        </w:rPr>
        <w:t xml:space="preserve">6.6.2 </w:t>
      </w:r>
      <w:r>
        <w:rPr>
          <w:rFonts w:hint="eastAsia" w:cs="Arial"/>
          <w:color w:val="000000"/>
        </w:rPr>
        <w:t>分析仪表需配套相应预处理装置、取样管线。</w:t>
      </w:r>
    </w:p>
    <w:p w14:paraId="3162AF30">
      <w:pPr>
        <w:tabs>
          <w:tab w:val="left" w:pos="0"/>
        </w:tabs>
        <w:spacing w:line="360" w:lineRule="auto"/>
        <w:rPr>
          <w:rFonts w:cs="Arial"/>
          <w:color w:val="000000"/>
        </w:rPr>
      </w:pPr>
      <w:r>
        <w:rPr>
          <w:rFonts w:hint="eastAsia" w:cs="Arial"/>
          <w:color w:val="000000"/>
        </w:rPr>
        <w:t>6</w:t>
      </w:r>
      <w:r>
        <w:rPr>
          <w:rFonts w:cs="Arial"/>
          <w:color w:val="000000"/>
        </w:rPr>
        <w:t xml:space="preserve">.6.3 </w:t>
      </w:r>
      <w:r>
        <w:rPr>
          <w:rFonts w:hint="eastAsia" w:cs="Arial"/>
          <w:color w:val="000000"/>
        </w:rPr>
        <w:t>气体进口管线分析仪宜安装在分析柜、分析小屋或监测站房内。出口排放监测分析仪应安装在监测站房内。</w:t>
      </w:r>
    </w:p>
    <w:p w14:paraId="367D09E6">
      <w:pPr>
        <w:tabs>
          <w:tab w:val="left" w:pos="0"/>
        </w:tabs>
        <w:spacing w:line="360" w:lineRule="auto"/>
        <w:rPr>
          <w:rFonts w:cs="Arial"/>
          <w:color w:val="000000"/>
        </w:rPr>
      </w:pPr>
      <w:r>
        <w:rPr>
          <w:rFonts w:cs="Arial"/>
          <w:color w:val="000000"/>
        </w:rPr>
        <w:t xml:space="preserve">6.6.4 </w:t>
      </w:r>
      <w:r>
        <w:rPr>
          <w:rFonts w:hint="eastAsia" w:cs="Arial"/>
          <w:color w:val="000000"/>
        </w:rPr>
        <w:t>排放监测</w:t>
      </w:r>
      <w:r>
        <w:rPr>
          <w:rFonts w:cs="Arial"/>
          <w:color w:val="000000"/>
        </w:rPr>
        <w:t>湿度检测宜采用阻容法、极限电流法等</w:t>
      </w:r>
      <w:r>
        <w:rPr>
          <w:rFonts w:hint="eastAsia" w:cs="Arial"/>
          <w:color w:val="000000"/>
        </w:rPr>
        <w:t>，</w:t>
      </w:r>
      <w:r>
        <w:rPr>
          <w:rFonts w:cs="Arial"/>
          <w:color w:val="000000"/>
        </w:rPr>
        <w:t>量程宜选用含水量0%</w:t>
      </w:r>
      <w:r>
        <w:rPr>
          <w:rFonts w:hint="eastAsia" w:cs="Arial"/>
          <w:color w:val="000000"/>
          <w:lang w:val="en-US" w:eastAsia="zh-CN"/>
        </w:rPr>
        <w:t>~</w:t>
      </w:r>
      <w:r>
        <w:rPr>
          <w:rFonts w:cs="Arial"/>
          <w:color w:val="000000"/>
        </w:rPr>
        <w:t>40%，测量精度不小于3%F.S。</w:t>
      </w:r>
    </w:p>
    <w:p w14:paraId="2293C9DA">
      <w:pPr>
        <w:tabs>
          <w:tab w:val="left" w:pos="0"/>
        </w:tabs>
        <w:spacing w:line="360" w:lineRule="auto"/>
        <w:rPr>
          <w:rFonts w:cs="Arial"/>
          <w:color w:val="000000"/>
        </w:rPr>
      </w:pPr>
      <w:r>
        <w:rPr>
          <w:rFonts w:hint="eastAsia" w:cs="Arial"/>
          <w:color w:val="000000"/>
        </w:rPr>
        <w:t>6</w:t>
      </w:r>
      <w:r>
        <w:rPr>
          <w:rFonts w:cs="Arial"/>
          <w:color w:val="000000"/>
        </w:rPr>
        <w:t xml:space="preserve">.6.5 </w:t>
      </w:r>
      <w:r>
        <w:rPr>
          <w:rFonts w:hint="eastAsia" w:cs="Arial"/>
          <w:color w:val="000000"/>
        </w:rPr>
        <w:t>排放监测氧含量测量宜采用氧化锆分析仪。</w:t>
      </w:r>
    </w:p>
    <w:p w14:paraId="42E19BA0">
      <w:pPr>
        <w:tabs>
          <w:tab w:val="left" w:pos="0"/>
        </w:tabs>
        <w:spacing w:line="360" w:lineRule="auto"/>
        <w:rPr>
          <w:rFonts w:cs="Arial"/>
          <w:color w:val="000000"/>
        </w:rPr>
      </w:pPr>
      <w:r>
        <w:rPr>
          <w:rFonts w:hint="eastAsia" w:cs="Arial"/>
          <w:color w:val="000000"/>
        </w:rPr>
        <w:t>6</w:t>
      </w:r>
      <w:r>
        <w:rPr>
          <w:rFonts w:cs="Arial"/>
          <w:color w:val="000000"/>
        </w:rPr>
        <w:t xml:space="preserve">.6.6 </w:t>
      </w:r>
      <w:r>
        <w:rPr>
          <w:rFonts w:hint="eastAsia" w:cs="Arial"/>
          <w:color w:val="000000"/>
        </w:rPr>
        <w:t>可燃气体检测器一般采用催化燃烧式传感器探头，有毒气体检测器一般采用电化学式传感器探头。</w:t>
      </w:r>
    </w:p>
    <w:p w14:paraId="5AF0DB22">
      <w:pPr>
        <w:tabs>
          <w:tab w:val="left" w:pos="0"/>
        </w:tabs>
        <w:spacing w:line="360" w:lineRule="auto"/>
        <w:rPr>
          <w:rFonts w:cs="Arial"/>
          <w:color w:val="000000"/>
        </w:rPr>
      </w:pPr>
      <w:r>
        <w:rPr>
          <w:rFonts w:hint="eastAsia" w:cs="Arial"/>
          <w:color w:val="000000"/>
        </w:rPr>
        <w:t>6</w:t>
      </w:r>
      <w:r>
        <w:rPr>
          <w:rFonts w:cs="Arial"/>
          <w:color w:val="000000"/>
        </w:rPr>
        <w:t xml:space="preserve">.6.7 </w:t>
      </w:r>
      <w:r>
        <w:rPr>
          <w:rFonts w:hint="eastAsia" w:cs="Arial"/>
          <w:color w:val="000000"/>
        </w:rPr>
        <w:t>V</w:t>
      </w:r>
      <w:r>
        <w:rPr>
          <w:rFonts w:cs="Arial"/>
          <w:color w:val="000000"/>
        </w:rPr>
        <w:t>OC</w:t>
      </w:r>
      <w:r>
        <w:rPr>
          <w:rFonts w:hint="eastAsia" w:cs="Arial"/>
          <w:color w:val="000000"/>
        </w:rPr>
        <w:t>s介质中含苯，有毒气体检测器应采用P</w:t>
      </w:r>
      <w:r>
        <w:rPr>
          <w:rFonts w:cs="Arial"/>
          <w:color w:val="000000"/>
        </w:rPr>
        <w:t>ID</w:t>
      </w:r>
      <w:r>
        <w:rPr>
          <w:rFonts w:hint="eastAsia" w:cs="Arial"/>
          <w:color w:val="000000"/>
        </w:rPr>
        <w:t>探头。</w:t>
      </w:r>
    </w:p>
    <w:p w14:paraId="27426225">
      <w:pPr>
        <w:tabs>
          <w:tab w:val="left" w:pos="0"/>
        </w:tabs>
        <w:spacing w:line="360" w:lineRule="auto"/>
        <w:rPr>
          <w:rFonts w:cs="Arial"/>
          <w:color w:val="000000"/>
        </w:rPr>
      </w:pPr>
      <w:r>
        <w:rPr>
          <w:rFonts w:cs="Arial"/>
          <w:color w:val="000000"/>
        </w:rPr>
        <w:t xml:space="preserve">6.6.8 </w:t>
      </w:r>
      <w:r>
        <w:rPr>
          <w:rFonts w:hint="eastAsia" w:cs="Arial"/>
          <w:color w:val="000000"/>
        </w:rPr>
        <w:t>分析仪</w:t>
      </w:r>
      <w:r>
        <w:rPr>
          <w:rFonts w:cs="Arial"/>
          <w:color w:val="000000"/>
        </w:rPr>
        <w:t>样品采样位置应优先选择在垂直管段，且应避开对测试人员操作有危险的场所。采样孔位置和数目按照《固定污染源排气中颗粒物测定与气态污染物采样方法》GB/T 16175的要求确定。</w:t>
      </w:r>
    </w:p>
    <w:p w14:paraId="71038143">
      <w:pPr>
        <w:tabs>
          <w:tab w:val="left" w:pos="0"/>
        </w:tabs>
        <w:spacing w:line="360" w:lineRule="auto"/>
        <w:rPr>
          <w:rFonts w:cs="Arial"/>
          <w:color w:val="000000"/>
        </w:rPr>
      </w:pPr>
      <w:r>
        <w:rPr>
          <w:rFonts w:cs="Arial"/>
          <w:color w:val="000000"/>
        </w:rPr>
        <w:t>6.6.9 样品采样孔应包含预留采样孔、参比采样孔、温压流一体化孔等。采样孔内径应不小于40mm，管长应不大于50mm。</w:t>
      </w:r>
    </w:p>
    <w:p w14:paraId="1FC8C67F">
      <w:pPr>
        <w:tabs>
          <w:tab w:val="left" w:pos="0"/>
        </w:tabs>
        <w:spacing w:line="360" w:lineRule="auto"/>
        <w:rPr>
          <w:rFonts w:hint="default" w:cs="Arial" w:eastAsiaTheme="minorEastAsia"/>
          <w:color w:val="000000"/>
          <w:lang w:val="en-US" w:eastAsia="zh-CN"/>
        </w:rPr>
      </w:pPr>
      <w:r>
        <w:rPr>
          <w:rFonts w:cs="Arial"/>
          <w:color w:val="000000"/>
        </w:rPr>
        <w:t>6.6.10 样品采样孔下方应设置采样平台，采样平台应有足够的工作面积使工作人员安全、方便地操作。采样平台的面积应不小于4m</w:t>
      </w:r>
      <w:r>
        <w:rPr>
          <w:rFonts w:cs="Arial"/>
          <w:color w:val="000000"/>
          <w:vertAlign w:val="superscript"/>
        </w:rPr>
        <w:t>2</w:t>
      </w:r>
      <w:r>
        <w:rPr>
          <w:rFonts w:cs="Arial"/>
          <w:color w:val="000000"/>
        </w:rPr>
        <w:t>，并设有1.1m高的护栏。</w:t>
      </w:r>
      <w:r>
        <w:rPr>
          <w:rFonts w:hint="eastAsia" w:cs="Arial"/>
          <w:color w:val="000000"/>
          <w:lang w:eastAsia="zh-CN"/>
        </w:rPr>
        <w:t>采样平台如图</w:t>
      </w:r>
      <w:r>
        <w:rPr>
          <w:rFonts w:hint="eastAsia" w:cs="Arial"/>
          <w:color w:val="000000"/>
          <w:lang w:val="en-US" w:eastAsia="zh-CN"/>
        </w:rPr>
        <w:t>6.6.10所示。</w:t>
      </w:r>
    </w:p>
    <w:p w14:paraId="219C2078">
      <w:pPr>
        <w:widowControl/>
        <w:tabs>
          <w:tab w:val="center" w:pos="4201"/>
          <w:tab w:val="right" w:leader="dot" w:pos="9298"/>
        </w:tabs>
        <w:autoSpaceDE w:val="0"/>
        <w:autoSpaceDN w:val="0"/>
        <w:spacing w:line="360" w:lineRule="auto"/>
        <w:jc w:val="center"/>
        <w:rPr>
          <w:rFonts w:cstheme="minorHAnsi"/>
          <w:kern w:val="0"/>
          <w:szCs w:val="20"/>
        </w:rPr>
      </w:pPr>
      <w:r>
        <w:rPr>
          <w:rFonts w:ascii="宋体" w:hAnsi="Times New Roman" w:eastAsia="宋体" w:cs="Times New Roman"/>
          <w:color w:val="0000FF"/>
          <w:kern w:val="0"/>
          <w:szCs w:val="20"/>
        </w:rPr>
        <w:drawing>
          <wp:inline distT="0" distB="0" distL="0" distR="0">
            <wp:extent cx="4657725" cy="29038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63451" cy="2907925"/>
                    </a:xfrm>
                    <a:prstGeom prst="rect">
                      <a:avLst/>
                    </a:prstGeom>
                  </pic:spPr>
                </pic:pic>
              </a:graphicData>
            </a:graphic>
          </wp:inline>
        </w:drawing>
      </w:r>
    </w:p>
    <w:p w14:paraId="4C7D7160">
      <w:pPr>
        <w:widowControl/>
        <w:tabs>
          <w:tab w:val="center" w:pos="4201"/>
          <w:tab w:val="right" w:leader="dot" w:pos="9298"/>
        </w:tabs>
        <w:autoSpaceDE w:val="0"/>
        <w:autoSpaceDN w:val="0"/>
        <w:spacing w:line="360" w:lineRule="auto"/>
        <w:jc w:val="center"/>
        <w:rPr>
          <w:rFonts w:ascii="宋体" w:hAnsi="Times New Roman" w:cs="Times New Roman"/>
          <w:kern w:val="0"/>
          <w:szCs w:val="20"/>
        </w:rPr>
      </w:pPr>
      <w:r>
        <w:rPr>
          <w:rFonts w:hint="eastAsia" w:ascii="宋体" w:hAnsi="Times New Roman" w:cs="Times New Roman"/>
          <w:kern w:val="0"/>
          <w:szCs w:val="20"/>
        </w:rPr>
        <w:t>图 6</w:t>
      </w:r>
      <w:r>
        <w:rPr>
          <w:rFonts w:ascii="宋体" w:hAnsi="Times New Roman" w:cs="Times New Roman"/>
          <w:kern w:val="0"/>
          <w:szCs w:val="20"/>
        </w:rPr>
        <w:t xml:space="preserve">.6.10 </w:t>
      </w:r>
      <w:r>
        <w:rPr>
          <w:rFonts w:hint="eastAsia" w:ascii="宋体" w:hAnsi="Times New Roman" w:cs="Times New Roman"/>
          <w:kern w:val="0"/>
          <w:szCs w:val="20"/>
        </w:rPr>
        <w:t>采样平台示意</w:t>
      </w:r>
    </w:p>
    <w:p w14:paraId="4038B8B8">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6.6.11 采样管路应带有阀门，管路、阀门及连接部件的材料应选用不释放干扰物且不与目标化合物发生化学反应的材料，一般宜选用聚四氟乙烯、硼硅酸盐玻璃或不锈钢。若采用不锈钢材料，需进行惰性化处理。</w:t>
      </w:r>
    </w:p>
    <w:p w14:paraId="18992BEE">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6.6.12 采样管路宜加装伴热装置，避免采样管路结露。</w:t>
      </w:r>
    </w:p>
    <w:p w14:paraId="4E0C4B03">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6.6.13</w:t>
      </w:r>
      <w:r>
        <w:rPr>
          <w:rFonts w:hint="eastAsia" w:cstheme="minorHAnsi"/>
          <w:kern w:val="0"/>
          <w:szCs w:val="20"/>
        </w:rPr>
        <w:t xml:space="preserve"> 预处理需设置采样探头和伴热管，加热温度大于120℃或高于废气冷点20℃以上，取大者。为防止颗粒物污染分析仪，其采样设备的前端或后端应具备便于更换或清洗的颗粒物过滤器，过滤器应至少能过滤</w:t>
      </w:r>
      <w:r>
        <w:rPr>
          <w:rFonts w:cstheme="minorHAnsi"/>
          <w:kern w:val="0"/>
          <w:szCs w:val="20"/>
        </w:rPr>
        <w:t xml:space="preserve"> 5 </w:t>
      </w:r>
      <w:r>
        <w:rPr>
          <w:rFonts w:hint="eastAsia" w:cstheme="minorHAnsi"/>
          <w:kern w:val="0"/>
          <w:szCs w:val="20"/>
        </w:rPr>
        <w:t>μ</w:t>
      </w:r>
      <w:r>
        <w:rPr>
          <w:rFonts w:cstheme="minorHAnsi"/>
          <w:kern w:val="0"/>
          <w:szCs w:val="20"/>
        </w:rPr>
        <w:t xml:space="preserve">m </w:t>
      </w:r>
      <w:r>
        <w:rPr>
          <w:rFonts w:hint="eastAsia" w:cstheme="minorHAnsi"/>
          <w:kern w:val="0"/>
          <w:szCs w:val="20"/>
        </w:rPr>
        <w:t>粒径以上的颗粒物在气体样品进入分析仪之前可设置精细过滤器， 精细过滤器应至少能过滤（0.5~2）μm粒径的颗粒物。</w:t>
      </w:r>
    </w:p>
    <w:p w14:paraId="0CE95486">
      <w:pPr>
        <w:pStyle w:val="3"/>
        <w:numPr>
          <w:ilvl w:val="1"/>
          <w:numId w:val="2"/>
        </w:numPr>
        <w:spacing w:after="100" w:line="360" w:lineRule="auto"/>
        <w:ind w:left="426" w:hanging="426"/>
        <w:jc w:val="center"/>
        <w:rPr>
          <w:sz w:val="21"/>
        </w:rPr>
      </w:pPr>
      <w:bookmarkStart w:id="98" w:name="_Toc206160066"/>
      <w:bookmarkStart w:id="99" w:name="_Toc206073863"/>
      <w:bookmarkStart w:id="100" w:name="_Toc206080475"/>
      <w:bookmarkStart w:id="101" w:name="_Toc206171711"/>
      <w:r>
        <w:rPr>
          <w:rFonts w:hint="eastAsia"/>
          <w:sz w:val="21"/>
        </w:rPr>
        <w:t>控制阀</w:t>
      </w:r>
      <w:bookmarkEnd w:id="98"/>
      <w:bookmarkEnd w:id="99"/>
      <w:bookmarkEnd w:id="100"/>
      <w:bookmarkEnd w:id="101"/>
    </w:p>
    <w:p w14:paraId="6F5148C1">
      <w:pPr>
        <w:tabs>
          <w:tab w:val="left" w:pos="0"/>
        </w:tabs>
        <w:spacing w:line="360" w:lineRule="auto"/>
        <w:rPr>
          <w:rFonts w:cs="Arial"/>
          <w:color w:val="000000"/>
        </w:rPr>
      </w:pPr>
      <w:r>
        <w:rPr>
          <w:rFonts w:cs="Arial"/>
          <w:color w:val="000000"/>
        </w:rPr>
        <w:t>6.</w:t>
      </w:r>
      <w:r>
        <w:rPr>
          <w:rFonts w:hint="eastAsia" w:cs="Arial"/>
          <w:color w:val="000000"/>
        </w:rPr>
        <w:t>7</w:t>
      </w:r>
      <w:r>
        <w:rPr>
          <w:rFonts w:cs="Arial"/>
          <w:color w:val="000000"/>
        </w:rPr>
        <w:t xml:space="preserve">.1 </w:t>
      </w:r>
      <w:r>
        <w:rPr>
          <w:rFonts w:hint="eastAsia" w:cs="Arial"/>
          <w:color w:val="000000"/>
        </w:rPr>
        <w:t>调节阀宜选用球形（Globe）调节阀，</w:t>
      </w:r>
      <w:r>
        <w:rPr>
          <w:rFonts w:hint="eastAsia"/>
          <w:bCs/>
          <w:color w:val="000000"/>
        </w:rPr>
        <w:t>可根据需要选用套筒、角形、蝶型、偏心旋转等阀门型式。</w:t>
      </w:r>
    </w:p>
    <w:p w14:paraId="362DCBB7">
      <w:pPr>
        <w:tabs>
          <w:tab w:val="left" w:pos="0"/>
        </w:tabs>
        <w:spacing w:line="360" w:lineRule="auto"/>
        <w:rPr>
          <w:bCs/>
          <w:color w:val="000000"/>
        </w:rPr>
      </w:pPr>
      <w:r>
        <w:rPr>
          <w:rFonts w:cs="Arial"/>
          <w:color w:val="000000"/>
        </w:rPr>
        <w:t xml:space="preserve">6.7.2 </w:t>
      </w:r>
      <w:r>
        <w:rPr>
          <w:rFonts w:hint="eastAsia" w:cs="Arial"/>
          <w:color w:val="000000"/>
        </w:rPr>
        <w:t>切断阀宜选用球阀，可根据</w:t>
      </w:r>
      <w:r>
        <w:rPr>
          <w:rFonts w:hint="eastAsia"/>
          <w:bCs/>
          <w:color w:val="000000"/>
        </w:rPr>
        <w:t>需要选用蝶阀等阀门型式。</w:t>
      </w:r>
    </w:p>
    <w:p w14:paraId="1F07694A">
      <w:pPr>
        <w:tabs>
          <w:tab w:val="left" w:pos="0"/>
        </w:tabs>
        <w:spacing w:line="360" w:lineRule="auto"/>
        <w:rPr>
          <w:rFonts w:cs="Arial"/>
          <w:color w:val="000000"/>
        </w:rPr>
      </w:pPr>
      <w:r>
        <w:rPr>
          <w:rFonts w:cs="Arial"/>
          <w:color w:val="000000"/>
        </w:rPr>
        <w:t>6.7.3</w:t>
      </w:r>
      <w:r>
        <w:rPr>
          <w:rFonts w:hint="eastAsia" w:cs="Arial"/>
          <w:color w:val="000000"/>
        </w:rPr>
        <w:t xml:space="preserve"> 阀门执行机构宜选用气动执行机构，可根据需要选用电动执行机构或电液执行机构。</w:t>
      </w:r>
    </w:p>
    <w:p w14:paraId="4E8EB23B">
      <w:pPr>
        <w:spacing w:line="360" w:lineRule="auto"/>
        <w:rPr>
          <w:bCs/>
          <w:color w:val="000000"/>
        </w:rPr>
      </w:pPr>
      <w:r>
        <w:rPr>
          <w:bCs/>
          <w:color w:val="000000"/>
        </w:rPr>
        <w:t xml:space="preserve">6.7.4 </w:t>
      </w:r>
      <w:r>
        <w:rPr>
          <w:rFonts w:hint="eastAsia"/>
          <w:bCs/>
          <w:color w:val="000000"/>
        </w:rPr>
        <w:t>调节阀的泄漏等级应符合</w:t>
      </w:r>
      <w:r>
        <w:rPr>
          <w:rFonts w:hint="eastAsia"/>
          <w:bCs/>
          <w:color w:val="000000"/>
          <w:lang w:eastAsia="zh-CN"/>
        </w:rPr>
        <w:t>《气动控制阀》</w:t>
      </w:r>
      <w:r>
        <w:rPr>
          <w:rFonts w:hint="eastAsia" w:ascii="Arial" w:hAnsi="Arial" w:eastAsia="宋体" w:cs="Arial"/>
        </w:rPr>
        <w:t>GB/T</w:t>
      </w:r>
      <w:r>
        <w:rPr>
          <w:rFonts w:hint="eastAsia" w:ascii="Arial" w:hAnsi="Arial" w:eastAsia="宋体" w:cs="Arial"/>
          <w:lang w:val="en-US" w:eastAsia="zh-CN"/>
        </w:rPr>
        <w:t xml:space="preserve"> </w:t>
      </w:r>
      <w:r>
        <w:rPr>
          <w:rFonts w:hint="eastAsia" w:ascii="Arial" w:hAnsi="Arial" w:eastAsia="宋体" w:cs="Arial"/>
        </w:rPr>
        <w:t>4213</w:t>
      </w:r>
      <w:r>
        <w:rPr>
          <w:rFonts w:hint="eastAsia"/>
          <w:bCs/>
          <w:color w:val="000000"/>
        </w:rPr>
        <w:t>的相关规定；放空阀、参与联锁的调节阀的泄漏等级不宜低于</w:t>
      </w:r>
      <w:r>
        <w:rPr>
          <w:rFonts w:hint="eastAsia" w:ascii="Arial" w:hAnsi="Arial" w:eastAsia="宋体" w:cs="Arial"/>
          <w:lang w:val="en-US" w:eastAsia="zh-CN"/>
        </w:rPr>
        <w:t>CLASS V</w:t>
      </w:r>
      <w:r>
        <w:rPr>
          <w:rFonts w:hint="eastAsia"/>
          <w:bCs/>
          <w:color w:val="000000"/>
        </w:rPr>
        <w:t>级。</w:t>
      </w:r>
    </w:p>
    <w:p w14:paraId="2A0EB9E2">
      <w:pPr>
        <w:spacing w:line="360" w:lineRule="auto"/>
        <w:rPr>
          <w:bCs/>
          <w:color w:val="000000"/>
        </w:rPr>
      </w:pPr>
      <w:r>
        <w:rPr>
          <w:rFonts w:hint="eastAsia"/>
        </w:rPr>
        <w:t>6</w:t>
      </w:r>
      <w:r>
        <w:t xml:space="preserve">.7.5 </w:t>
      </w:r>
      <w:r>
        <w:rPr>
          <w:rFonts w:hint="eastAsia"/>
        </w:rPr>
        <w:t>紧急切断阀泄漏等</w:t>
      </w:r>
      <w:r>
        <w:rPr>
          <w:rFonts w:hint="eastAsia" w:ascii="Arial" w:hAnsi="Arial" w:eastAsia="宋体" w:cs="Arial"/>
        </w:rPr>
        <w:t>级应满足</w:t>
      </w:r>
      <w:r>
        <w:rPr>
          <w:rFonts w:hint="eastAsia" w:ascii="Arial" w:hAnsi="Arial" w:eastAsia="宋体" w:cs="Arial"/>
          <w:lang w:eastAsia="zh-CN"/>
        </w:rPr>
        <w:t>《工业阀门 压力试验》</w:t>
      </w:r>
      <w:r>
        <w:rPr>
          <w:rFonts w:hint="eastAsia" w:ascii="Arial" w:hAnsi="Arial" w:eastAsia="宋体" w:cs="Arial"/>
        </w:rPr>
        <w:t>GB/T</w:t>
      </w:r>
      <w:r>
        <w:rPr>
          <w:rFonts w:hint="eastAsia" w:ascii="Arial" w:hAnsi="Arial" w:eastAsia="宋体" w:cs="Arial"/>
          <w:lang w:val="en-US" w:eastAsia="zh-CN"/>
        </w:rPr>
        <w:t xml:space="preserve"> </w:t>
      </w:r>
      <w:r>
        <w:rPr>
          <w:rFonts w:hint="eastAsia" w:ascii="Arial" w:hAnsi="Arial" w:eastAsia="宋体" w:cs="Arial"/>
        </w:rPr>
        <w:t>13927中D级或GB/T</w:t>
      </w:r>
      <w:r>
        <w:rPr>
          <w:rFonts w:hint="eastAsia" w:ascii="Arial" w:hAnsi="Arial" w:eastAsia="宋体" w:cs="Arial"/>
          <w:lang w:val="en-US" w:eastAsia="zh-CN"/>
        </w:rPr>
        <w:t xml:space="preserve"> </w:t>
      </w:r>
      <w:r>
        <w:rPr>
          <w:rFonts w:hint="eastAsia" w:ascii="Arial" w:hAnsi="Arial" w:eastAsia="宋体" w:cs="Arial"/>
        </w:rPr>
        <w:t>4213中V级的规定。</w:t>
      </w:r>
    </w:p>
    <w:p w14:paraId="11FDE47A">
      <w:pPr>
        <w:spacing w:line="360" w:lineRule="auto"/>
        <w:rPr>
          <w:bCs/>
          <w:color w:val="000000"/>
        </w:rPr>
      </w:pPr>
      <w:r>
        <w:rPr>
          <w:bCs/>
          <w:color w:val="000000"/>
        </w:rPr>
        <w:t xml:space="preserve">6.7.6 </w:t>
      </w:r>
      <w:r>
        <w:rPr>
          <w:rFonts w:hint="eastAsia"/>
          <w:bCs/>
          <w:color w:val="000000"/>
        </w:rPr>
        <w:t>当阀门有防逸散要求时，应满足《阀门逸散性试验分类和鉴定程序》</w:t>
      </w:r>
      <w:r>
        <w:rPr>
          <w:rFonts w:hint="eastAsia" w:ascii="Arial" w:hAnsi="Arial" w:eastAsia="宋体" w:cs="Arial"/>
        </w:rPr>
        <w:t>GB/T</w:t>
      </w:r>
      <w:r>
        <w:rPr>
          <w:rFonts w:hint="eastAsia" w:ascii="Arial" w:hAnsi="Arial" w:eastAsia="宋体" w:cs="Arial"/>
          <w:lang w:val="en-US" w:eastAsia="zh-CN"/>
        </w:rPr>
        <w:t xml:space="preserve"> </w:t>
      </w:r>
      <w:r>
        <w:rPr>
          <w:rFonts w:hint="eastAsia" w:ascii="Arial" w:hAnsi="Arial" w:eastAsia="宋体" w:cs="Arial"/>
        </w:rPr>
        <w:t>40079</w:t>
      </w:r>
      <w:r>
        <w:rPr>
          <w:rFonts w:hint="eastAsia"/>
          <w:bCs/>
          <w:color w:val="000000"/>
        </w:rPr>
        <w:t>结构性形式及实验要求、逸散性实验分类和鉴定程序，并按《阀门的逸散性试验》</w:t>
      </w:r>
      <w:r>
        <w:rPr>
          <w:rFonts w:hint="eastAsia" w:ascii="Arial" w:hAnsi="Arial" w:eastAsia="宋体" w:cs="Arial"/>
        </w:rPr>
        <w:t>GB/T</w:t>
      </w:r>
      <w:r>
        <w:rPr>
          <w:rFonts w:hint="eastAsia" w:ascii="Arial" w:hAnsi="Arial" w:eastAsia="宋体" w:cs="Arial"/>
          <w:lang w:val="en-US" w:eastAsia="zh-CN"/>
        </w:rPr>
        <w:t xml:space="preserve"> </w:t>
      </w:r>
      <w:r>
        <w:rPr>
          <w:rFonts w:hint="eastAsia" w:ascii="Arial" w:hAnsi="Arial" w:eastAsia="宋体" w:cs="Arial"/>
        </w:rPr>
        <w:t>26481</w:t>
      </w:r>
      <w:r>
        <w:rPr>
          <w:rFonts w:hint="eastAsia"/>
          <w:bCs/>
          <w:color w:val="000000"/>
        </w:rPr>
        <w:t>进行产品实验验收程序。</w:t>
      </w:r>
    </w:p>
    <w:p w14:paraId="4DC07EE4">
      <w:pPr>
        <w:spacing w:line="360" w:lineRule="auto"/>
        <w:rPr>
          <w:bCs/>
          <w:color w:val="000000"/>
        </w:rPr>
      </w:pPr>
      <w:r>
        <w:rPr>
          <w:bCs/>
          <w:color w:val="000000"/>
        </w:rPr>
        <w:t xml:space="preserve">6.7.7 </w:t>
      </w:r>
      <w:r>
        <w:rPr>
          <w:rFonts w:hint="eastAsia"/>
          <w:bCs/>
          <w:color w:val="000000"/>
        </w:rPr>
        <w:t>毒性介质阀门填料宜采用波纹管密封或双层密封填料。</w:t>
      </w:r>
    </w:p>
    <w:p w14:paraId="5653D420">
      <w:pPr>
        <w:spacing w:line="360" w:lineRule="auto"/>
        <w:rPr>
          <w:bCs/>
          <w:color w:val="000000"/>
        </w:rPr>
      </w:pPr>
      <w:r>
        <w:rPr>
          <w:bCs/>
          <w:color w:val="000000"/>
        </w:rPr>
        <w:t xml:space="preserve">6.7.8 </w:t>
      </w:r>
      <w:r>
        <w:rPr>
          <w:rFonts w:hint="eastAsia"/>
          <w:bCs/>
          <w:color w:val="000000"/>
        </w:rPr>
        <w:t>腐蚀性介质阀门宜选用耐腐蚀材质的阀体/内件或衬里阀门。</w:t>
      </w:r>
    </w:p>
    <w:p w14:paraId="3DDBC574">
      <w:pPr>
        <w:spacing w:line="360" w:lineRule="auto"/>
        <w:rPr>
          <w:bCs/>
          <w:color w:val="000000"/>
        </w:rPr>
      </w:pPr>
      <w:r>
        <w:rPr>
          <w:rFonts w:hint="eastAsia"/>
          <w:bCs/>
          <w:color w:val="000000"/>
        </w:rPr>
        <w:t>6</w:t>
      </w:r>
      <w:r>
        <w:rPr>
          <w:bCs/>
          <w:color w:val="000000"/>
        </w:rPr>
        <w:t xml:space="preserve">.7.9 </w:t>
      </w:r>
      <w:r>
        <w:rPr>
          <w:rFonts w:hint="eastAsia"/>
          <w:bCs/>
          <w:color w:val="000000"/>
        </w:rPr>
        <w:t>低温介质阀门应选用低温型或者延长型阀杆及阀内件。</w:t>
      </w:r>
    </w:p>
    <w:p w14:paraId="3332BD65">
      <w:pPr>
        <w:spacing w:line="360" w:lineRule="auto"/>
        <w:rPr>
          <w:bCs/>
          <w:color w:val="000000"/>
        </w:rPr>
      </w:pPr>
      <w:r>
        <w:rPr>
          <w:bCs/>
          <w:color w:val="000000"/>
        </w:rPr>
        <w:t xml:space="preserve">6.7.10 </w:t>
      </w:r>
      <w:r>
        <w:rPr>
          <w:rFonts w:hint="eastAsia"/>
          <w:bCs/>
          <w:color w:val="000000"/>
        </w:rPr>
        <w:t>火灾安全型的开关阀应采用防火结构。</w:t>
      </w:r>
    </w:p>
    <w:p w14:paraId="5418AD27">
      <w:pPr>
        <w:spacing w:line="360" w:lineRule="auto"/>
        <w:rPr>
          <w:bCs/>
          <w:color w:val="000000"/>
        </w:rPr>
      </w:pPr>
    </w:p>
    <w:p w14:paraId="6BCB7F31">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66D7A0CB">
      <w:pPr>
        <w:pStyle w:val="2"/>
        <w:numPr>
          <w:ilvl w:val="0"/>
          <w:numId w:val="2"/>
        </w:numPr>
        <w:spacing w:after="360" w:line="360" w:lineRule="auto"/>
        <w:jc w:val="center"/>
        <w:rPr>
          <w:rFonts w:hAnsi="宋体"/>
          <w:sz w:val="28"/>
          <w:szCs w:val="21"/>
        </w:rPr>
      </w:pPr>
      <w:bookmarkStart w:id="102" w:name="_Toc206160067"/>
      <w:bookmarkStart w:id="103" w:name="_Toc206073864"/>
      <w:bookmarkStart w:id="104" w:name="_Toc206171712"/>
      <w:bookmarkStart w:id="105" w:name="_Toc206080476"/>
      <w:bookmarkStart w:id="106" w:name="_Toc168302191"/>
      <w:r>
        <w:rPr>
          <w:rFonts w:hint="eastAsia" w:hAnsi="宋体"/>
          <w:sz w:val="28"/>
          <w:szCs w:val="21"/>
        </w:rPr>
        <w:t>排放监测系统</w:t>
      </w:r>
      <w:bookmarkEnd w:id="102"/>
      <w:bookmarkEnd w:id="103"/>
      <w:bookmarkEnd w:id="104"/>
      <w:bookmarkEnd w:id="105"/>
    </w:p>
    <w:p w14:paraId="34FAD9BB">
      <w:pPr>
        <w:pStyle w:val="3"/>
        <w:numPr>
          <w:ilvl w:val="1"/>
          <w:numId w:val="2"/>
        </w:numPr>
        <w:spacing w:after="100" w:line="360" w:lineRule="auto"/>
        <w:ind w:left="567"/>
        <w:jc w:val="center"/>
        <w:rPr>
          <w:sz w:val="21"/>
        </w:rPr>
      </w:pPr>
      <w:bookmarkStart w:id="107" w:name="_Toc206160068"/>
      <w:bookmarkStart w:id="108" w:name="_Toc206171713"/>
      <w:bookmarkStart w:id="109" w:name="_Toc206080477"/>
      <w:bookmarkStart w:id="110" w:name="_Toc206073865"/>
      <w:r>
        <w:rPr>
          <w:rFonts w:hint="eastAsia"/>
          <w:sz w:val="21"/>
        </w:rPr>
        <w:t>一般规定</w:t>
      </w:r>
      <w:bookmarkEnd w:id="107"/>
      <w:bookmarkEnd w:id="108"/>
      <w:bookmarkEnd w:id="109"/>
      <w:bookmarkEnd w:id="110"/>
    </w:p>
    <w:p w14:paraId="140220D6">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7.1.</w:t>
      </w:r>
      <w:r>
        <w:rPr>
          <w:rFonts w:cstheme="minorHAnsi"/>
          <w:kern w:val="0"/>
          <w:szCs w:val="20"/>
        </w:rPr>
        <w:t>1</w:t>
      </w:r>
      <w:r>
        <w:rPr>
          <w:rFonts w:hint="eastAsia" w:cstheme="minorHAnsi"/>
          <w:kern w:val="0"/>
          <w:szCs w:val="20"/>
        </w:rPr>
        <w:t xml:space="preserve"> VOCs废气排放浓度标准限值应满足《石油化学工业污染物排放标准》</w:t>
      </w:r>
      <w:r>
        <w:rPr>
          <w:rFonts w:hint="eastAsia" w:ascii="Arial" w:hAnsi="Arial" w:eastAsia="宋体" w:cs="Arial"/>
        </w:rPr>
        <w:t>GB 31571</w:t>
      </w:r>
      <w:r>
        <w:rPr>
          <w:rFonts w:hint="eastAsia" w:cstheme="minorHAnsi"/>
          <w:kern w:val="0"/>
          <w:szCs w:val="20"/>
        </w:rPr>
        <w:t>要求。</w:t>
      </w:r>
    </w:p>
    <w:p w14:paraId="07AB60DB">
      <w:pPr>
        <w:pStyle w:val="3"/>
        <w:numPr>
          <w:ilvl w:val="1"/>
          <w:numId w:val="2"/>
        </w:numPr>
        <w:spacing w:after="100" w:line="360" w:lineRule="auto"/>
        <w:ind w:left="567"/>
        <w:jc w:val="center"/>
        <w:rPr>
          <w:sz w:val="21"/>
        </w:rPr>
      </w:pPr>
      <w:bookmarkStart w:id="111" w:name="_Toc206171714"/>
      <w:bookmarkStart w:id="112" w:name="_Toc206160069"/>
      <w:bookmarkStart w:id="113" w:name="_Toc206080478"/>
      <w:bookmarkStart w:id="114" w:name="_Toc206073866"/>
      <w:r>
        <w:rPr>
          <w:rFonts w:hint="eastAsia"/>
          <w:sz w:val="21"/>
        </w:rPr>
        <w:t>排放监测系统组成</w:t>
      </w:r>
      <w:bookmarkEnd w:id="111"/>
      <w:bookmarkEnd w:id="112"/>
      <w:bookmarkEnd w:id="113"/>
      <w:bookmarkEnd w:id="114"/>
    </w:p>
    <w:p w14:paraId="73FC5A96">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7.2.1</w:t>
      </w:r>
      <w:r>
        <w:rPr>
          <w:rFonts w:hint="eastAsia" w:cstheme="minorHAnsi"/>
          <w:kern w:val="0"/>
          <w:szCs w:val="20"/>
        </w:rPr>
        <w:t xml:space="preserve"> VOCs排放监测系统宜由样品采集、样品预处理、在线分析仪器、废气参数监测单元、数据采集和传输设备以及其他辅助设备组成。</w:t>
      </w:r>
    </w:p>
    <w:p w14:paraId="332C249A">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7.2.2</w:t>
      </w:r>
      <w:r>
        <w:rPr>
          <w:rFonts w:hint="eastAsia" w:cstheme="minorHAnsi"/>
          <w:kern w:val="0"/>
          <w:szCs w:val="20"/>
        </w:rPr>
        <w:t xml:space="preserve"> VOCs排放监测系统应连续测量废气中非甲烷总烃浓度、废气参数（温度、压力、流速、湿度、氧气等），及当地环保部门及环评报告要求测量的污染物项目，并计算废气中污染物排放速率和排放量，具备显示、记录数据参数和形成图表并传输的功能。</w:t>
      </w:r>
    </w:p>
    <w:p w14:paraId="0AFCA1AD">
      <w:pPr>
        <w:pStyle w:val="3"/>
        <w:numPr>
          <w:ilvl w:val="1"/>
          <w:numId w:val="2"/>
        </w:numPr>
        <w:spacing w:after="100" w:line="360" w:lineRule="auto"/>
        <w:ind w:left="567"/>
        <w:jc w:val="center"/>
        <w:rPr>
          <w:sz w:val="21"/>
        </w:rPr>
      </w:pPr>
      <w:bookmarkStart w:id="115" w:name="_Toc206171715"/>
      <w:bookmarkStart w:id="116" w:name="_Toc206160070"/>
      <w:bookmarkStart w:id="117" w:name="_Toc206073867"/>
      <w:bookmarkStart w:id="118" w:name="_Toc206080479"/>
      <w:r>
        <w:rPr>
          <w:rFonts w:hint="eastAsia"/>
          <w:sz w:val="21"/>
        </w:rPr>
        <w:t>数据采集传输</w:t>
      </w:r>
      <w:bookmarkEnd w:id="115"/>
      <w:bookmarkEnd w:id="116"/>
      <w:bookmarkEnd w:id="117"/>
      <w:bookmarkEnd w:id="118"/>
    </w:p>
    <w:p w14:paraId="11A1F22C">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w:t>
      </w:r>
      <w:r>
        <w:rPr>
          <w:rFonts w:cstheme="minorHAnsi"/>
          <w:kern w:val="0"/>
          <w:szCs w:val="20"/>
        </w:rPr>
        <w:t>3</w:t>
      </w:r>
      <w:r>
        <w:rPr>
          <w:rFonts w:hint="eastAsia" w:cstheme="minorHAnsi"/>
          <w:kern w:val="0"/>
          <w:szCs w:val="20"/>
        </w:rPr>
        <w:t>.1 数据采集和传输设备应符合《污染源在线自动监控（监测）数据采集传输仪技术要求》</w:t>
      </w:r>
      <w:r>
        <w:rPr>
          <w:rFonts w:hint="eastAsia" w:ascii="Arial" w:hAnsi="Arial" w:eastAsia="宋体" w:cs="Arial"/>
        </w:rPr>
        <w:t>HJ 477</w:t>
      </w:r>
      <w:r>
        <w:rPr>
          <w:rFonts w:hint="eastAsia" w:cstheme="minorHAnsi"/>
          <w:kern w:val="0"/>
          <w:szCs w:val="20"/>
        </w:rPr>
        <w:t>的要求。</w:t>
      </w:r>
    </w:p>
    <w:p w14:paraId="0CD44892">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w:t>
      </w:r>
      <w:r>
        <w:rPr>
          <w:rFonts w:cstheme="minorHAnsi"/>
          <w:kern w:val="0"/>
          <w:szCs w:val="20"/>
        </w:rPr>
        <w:t>3</w:t>
      </w:r>
      <w:r>
        <w:rPr>
          <w:rFonts w:hint="eastAsia" w:cstheme="minorHAnsi"/>
          <w:kern w:val="0"/>
          <w:szCs w:val="20"/>
        </w:rPr>
        <w:t>.</w:t>
      </w:r>
      <w:r>
        <w:rPr>
          <w:rFonts w:cstheme="minorHAnsi"/>
          <w:kern w:val="0"/>
          <w:szCs w:val="20"/>
        </w:rPr>
        <w:t>2</w:t>
      </w:r>
      <w:r>
        <w:rPr>
          <w:rFonts w:hint="eastAsia" w:cstheme="minorHAnsi"/>
          <w:kern w:val="0"/>
          <w:szCs w:val="20"/>
        </w:rPr>
        <w:t xml:space="preserve"> VOCs排放监测系统关键分析数据信号应通过通讯方式传输至环保监管部门。传输数据格式及内容应符合当地环保部门要求；数据记录格式应符合《固定污染源烟气（SO</w:t>
      </w:r>
      <w:r>
        <w:rPr>
          <w:rFonts w:hint="eastAsia" w:cstheme="minorHAnsi"/>
          <w:kern w:val="0"/>
          <w:szCs w:val="20"/>
          <w:vertAlign w:val="subscript"/>
        </w:rPr>
        <w:t>2</w:t>
      </w:r>
      <w:r>
        <w:rPr>
          <w:rFonts w:hint="eastAsia" w:cstheme="minorHAnsi"/>
          <w:kern w:val="0"/>
          <w:szCs w:val="20"/>
        </w:rPr>
        <w:t>、NOX、颗粒物）排放连续监测系统技术要求及检测方法》</w:t>
      </w:r>
      <w:r>
        <w:rPr>
          <w:rFonts w:hint="eastAsia" w:ascii="Arial" w:hAnsi="Arial" w:eastAsia="宋体" w:cs="Arial"/>
        </w:rPr>
        <w:t>HJ 76</w:t>
      </w:r>
      <w:r>
        <w:rPr>
          <w:rFonts w:hint="eastAsia" w:cstheme="minorHAnsi"/>
          <w:kern w:val="0"/>
          <w:szCs w:val="20"/>
        </w:rPr>
        <w:t>的规定。</w:t>
      </w:r>
    </w:p>
    <w:p w14:paraId="46F0C090">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w:t>
      </w:r>
      <w:r>
        <w:rPr>
          <w:rFonts w:cstheme="minorHAnsi"/>
          <w:kern w:val="0"/>
          <w:szCs w:val="20"/>
        </w:rPr>
        <w:t>3</w:t>
      </w:r>
      <w:r>
        <w:rPr>
          <w:rFonts w:hint="eastAsia" w:cstheme="minorHAnsi"/>
          <w:kern w:val="0"/>
          <w:szCs w:val="20"/>
        </w:rPr>
        <w:t>.</w:t>
      </w:r>
      <w:r>
        <w:rPr>
          <w:rFonts w:cstheme="minorHAnsi"/>
          <w:kern w:val="0"/>
          <w:szCs w:val="20"/>
        </w:rPr>
        <w:t>3</w:t>
      </w:r>
      <w:r>
        <w:rPr>
          <w:rFonts w:hint="eastAsia" w:cstheme="minorHAnsi"/>
          <w:kern w:val="0"/>
          <w:szCs w:val="20"/>
        </w:rPr>
        <w:t xml:space="preserve"> 数据采集和传输设备能实时显示各目标化合物监测数据和工作状态参数等，数据采集和传输设备应符合《污染源在线自动监控（监测）数据采集传输仪技术要求》</w:t>
      </w:r>
      <w:r>
        <w:rPr>
          <w:rFonts w:hint="eastAsia" w:ascii="Arial" w:hAnsi="Arial" w:eastAsia="宋体" w:cs="Arial"/>
        </w:rPr>
        <w:t>HJ 477</w:t>
      </w:r>
      <w:r>
        <w:rPr>
          <w:rFonts w:hint="eastAsia" w:cstheme="minorHAnsi"/>
          <w:kern w:val="0"/>
          <w:szCs w:val="20"/>
        </w:rPr>
        <w:t>的要求。</w:t>
      </w:r>
    </w:p>
    <w:p w14:paraId="1D181EA5">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w:t>
      </w:r>
      <w:r>
        <w:rPr>
          <w:rFonts w:cstheme="minorHAnsi"/>
          <w:kern w:val="0"/>
          <w:szCs w:val="20"/>
        </w:rPr>
        <w:t>3</w:t>
      </w:r>
      <w:r>
        <w:rPr>
          <w:rFonts w:hint="eastAsia" w:cstheme="minorHAnsi"/>
          <w:kern w:val="0"/>
          <w:szCs w:val="20"/>
        </w:rPr>
        <w:t>.4 数据采集和传输设备应具备断电保护功能，断电后所存储数据应不丢失，恢复供电后可自动启动。</w:t>
      </w:r>
    </w:p>
    <w:p w14:paraId="0CB0C48B">
      <w:pPr>
        <w:widowControl/>
        <w:tabs>
          <w:tab w:val="center" w:pos="4201"/>
          <w:tab w:val="right" w:leader="dot" w:pos="9298"/>
        </w:tabs>
        <w:autoSpaceDE w:val="0"/>
        <w:autoSpaceDN w:val="0"/>
        <w:spacing w:line="360" w:lineRule="auto"/>
        <w:rPr>
          <w:rFonts w:cstheme="minorHAnsi"/>
          <w:kern w:val="0"/>
          <w:szCs w:val="20"/>
        </w:rPr>
      </w:pPr>
      <w:r>
        <w:rPr>
          <w:rFonts w:hint="eastAsia" w:cstheme="minorHAnsi"/>
          <w:kern w:val="0"/>
          <w:szCs w:val="20"/>
        </w:rPr>
        <w:t>7.</w:t>
      </w:r>
      <w:r>
        <w:rPr>
          <w:rFonts w:cstheme="minorHAnsi"/>
          <w:kern w:val="0"/>
          <w:szCs w:val="20"/>
        </w:rPr>
        <w:t>3</w:t>
      </w:r>
      <w:r>
        <w:rPr>
          <w:rFonts w:hint="eastAsia" w:cstheme="minorHAnsi"/>
          <w:kern w:val="0"/>
          <w:szCs w:val="20"/>
        </w:rPr>
        <w:t>.5 数据采集和传输设备宜带显示屏，显示监测仪表的实时数据。</w:t>
      </w:r>
    </w:p>
    <w:p w14:paraId="4161242A">
      <w:pPr>
        <w:widowControl/>
        <w:tabs>
          <w:tab w:val="center" w:pos="4201"/>
          <w:tab w:val="right" w:leader="dot" w:pos="9298"/>
        </w:tabs>
        <w:autoSpaceDE w:val="0"/>
        <w:autoSpaceDN w:val="0"/>
        <w:spacing w:line="360" w:lineRule="auto"/>
        <w:rPr>
          <w:rFonts w:cstheme="minorHAnsi"/>
          <w:kern w:val="0"/>
          <w:szCs w:val="20"/>
        </w:rPr>
      </w:pPr>
    </w:p>
    <w:p w14:paraId="6C8DA689">
      <w:pPr>
        <w:widowControl/>
        <w:jc w:val="left"/>
        <w:rPr>
          <w:rFonts w:cstheme="minorHAnsi"/>
          <w:kern w:val="0"/>
          <w:szCs w:val="20"/>
        </w:rPr>
      </w:pPr>
      <w:r>
        <w:rPr>
          <w:rFonts w:cstheme="minorHAnsi"/>
          <w:kern w:val="0"/>
          <w:szCs w:val="20"/>
        </w:rPr>
        <w:br w:type="page"/>
      </w:r>
    </w:p>
    <w:p w14:paraId="1EFFD6D5">
      <w:pPr>
        <w:pStyle w:val="2"/>
        <w:numPr>
          <w:ilvl w:val="0"/>
          <w:numId w:val="2"/>
        </w:numPr>
        <w:spacing w:after="360" w:line="360" w:lineRule="auto"/>
        <w:jc w:val="center"/>
        <w:rPr>
          <w:rFonts w:hAnsi="宋体"/>
          <w:sz w:val="28"/>
          <w:szCs w:val="21"/>
        </w:rPr>
      </w:pPr>
      <w:bookmarkStart w:id="119" w:name="_Toc206080480"/>
      <w:bookmarkStart w:id="120" w:name="_Toc206073868"/>
      <w:bookmarkStart w:id="121" w:name="_Toc206171716"/>
      <w:bookmarkStart w:id="122" w:name="_Toc206160071"/>
      <w:r>
        <w:rPr>
          <w:rFonts w:hint="eastAsia" w:hAnsi="宋体"/>
          <w:sz w:val="28"/>
          <w:szCs w:val="21"/>
        </w:rPr>
        <w:t>监测站房</w:t>
      </w:r>
      <w:bookmarkEnd w:id="106"/>
      <w:bookmarkEnd w:id="119"/>
      <w:bookmarkEnd w:id="120"/>
      <w:bookmarkEnd w:id="121"/>
      <w:bookmarkEnd w:id="122"/>
    </w:p>
    <w:p w14:paraId="7D177E0D">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8.0.</w:t>
      </w:r>
      <w:r>
        <w:rPr>
          <w:rFonts w:hint="eastAsia" w:cstheme="minorHAnsi"/>
          <w:kern w:val="0"/>
          <w:szCs w:val="20"/>
        </w:rPr>
        <w:t>1 VOCs排放监测系统宜设置独立的监测站房。</w:t>
      </w:r>
    </w:p>
    <w:p w14:paraId="57E16672">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8.0.2 监测站房的相关要求应参照《自动分析器室设计规范》</w:t>
      </w:r>
      <w:r>
        <w:rPr>
          <w:rFonts w:hint="eastAsia" w:ascii="Arial" w:hAnsi="Arial" w:eastAsia="宋体" w:cs="Arial"/>
        </w:rPr>
        <w:t>HG/T</w:t>
      </w:r>
      <w:r>
        <w:rPr>
          <w:rFonts w:hint="eastAsia" w:ascii="Arial" w:hAnsi="Arial" w:eastAsia="宋体" w:cs="Arial"/>
          <w:lang w:val="en-US" w:eastAsia="zh-CN"/>
        </w:rPr>
        <w:t xml:space="preserve"> </w:t>
      </w:r>
      <w:r>
        <w:rPr>
          <w:rFonts w:hint="eastAsia" w:ascii="Arial" w:hAnsi="Arial" w:eastAsia="宋体" w:cs="Arial"/>
        </w:rPr>
        <w:t>20516</w:t>
      </w:r>
      <w:r>
        <w:rPr>
          <w:rFonts w:cstheme="minorHAnsi"/>
          <w:kern w:val="0"/>
          <w:szCs w:val="20"/>
        </w:rPr>
        <w:t>执行。</w:t>
      </w:r>
    </w:p>
    <w:p w14:paraId="7D23FEAC">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8.0.3 监测站房的基础荷载应≥2000kg/m</w:t>
      </w:r>
      <w:r>
        <w:rPr>
          <w:rFonts w:cstheme="minorHAnsi"/>
          <w:kern w:val="0"/>
          <w:szCs w:val="20"/>
          <w:vertAlign w:val="superscript"/>
        </w:rPr>
        <w:t>2</w:t>
      </w:r>
      <w:r>
        <w:rPr>
          <w:rFonts w:hint="eastAsia" w:cstheme="minorHAnsi"/>
          <w:kern w:val="0"/>
          <w:szCs w:val="20"/>
          <w:lang w:eastAsia="zh-CN"/>
        </w:rPr>
        <w:t>；</w:t>
      </w:r>
      <w:r>
        <w:rPr>
          <w:rFonts w:cstheme="minorHAnsi"/>
          <w:kern w:val="0"/>
          <w:szCs w:val="20"/>
        </w:rPr>
        <w:t>站房内放置单台机柜时，面积</w:t>
      </w:r>
      <w:r>
        <w:rPr>
          <w:rFonts w:hint="eastAsia" w:cstheme="minorHAnsi"/>
          <w:kern w:val="0"/>
          <w:szCs w:val="20"/>
        </w:rPr>
        <w:t>宜</w:t>
      </w:r>
      <w:r>
        <w:rPr>
          <w:rFonts w:cstheme="minorHAnsi"/>
          <w:kern w:val="0"/>
          <w:szCs w:val="20"/>
        </w:rPr>
        <w:t>不小于2.5x2.5m</w:t>
      </w:r>
      <w:r>
        <w:rPr>
          <w:rFonts w:cstheme="minorHAnsi"/>
          <w:kern w:val="0"/>
          <w:szCs w:val="20"/>
          <w:vertAlign w:val="superscript"/>
        </w:rPr>
        <w:t>2</w:t>
      </w:r>
      <w:r>
        <w:rPr>
          <w:rFonts w:cstheme="minorHAnsi"/>
          <w:kern w:val="0"/>
          <w:szCs w:val="20"/>
        </w:rPr>
        <w:t>。若同一站房放置多套分析仪表，每增加一台机柜，站房面积</w:t>
      </w:r>
      <w:r>
        <w:rPr>
          <w:rFonts w:hint="eastAsia" w:cstheme="minorHAnsi"/>
          <w:kern w:val="0"/>
          <w:szCs w:val="20"/>
        </w:rPr>
        <w:t>宜</w:t>
      </w:r>
      <w:r>
        <w:rPr>
          <w:rFonts w:cstheme="minorHAnsi"/>
          <w:kern w:val="0"/>
          <w:szCs w:val="20"/>
        </w:rPr>
        <w:t>至少增加3m</w:t>
      </w:r>
      <w:r>
        <w:rPr>
          <w:rFonts w:cstheme="minorHAnsi"/>
          <w:kern w:val="0"/>
          <w:szCs w:val="20"/>
          <w:vertAlign w:val="superscript"/>
        </w:rPr>
        <w:t>2</w:t>
      </w:r>
      <w:r>
        <w:rPr>
          <w:rFonts w:cstheme="minorHAnsi"/>
          <w:kern w:val="0"/>
          <w:szCs w:val="20"/>
        </w:rPr>
        <w:t>。站房内空间高度应≥2.8m，站房位置应建在标高≥0m处，且方便操作人员维护。</w:t>
      </w:r>
    </w:p>
    <w:p w14:paraId="68EE15D3">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8.0.4 监测站房应安装空调和采暖设备，室内温度</w:t>
      </w:r>
      <w:r>
        <w:rPr>
          <w:rFonts w:hint="eastAsia" w:cstheme="minorHAnsi"/>
          <w:kern w:val="0"/>
          <w:szCs w:val="20"/>
        </w:rPr>
        <w:t>宜</w:t>
      </w:r>
      <w:r>
        <w:rPr>
          <w:rFonts w:cstheme="minorHAnsi"/>
          <w:kern w:val="0"/>
          <w:szCs w:val="20"/>
        </w:rPr>
        <w:t>保持</w:t>
      </w:r>
      <w:r>
        <w:rPr>
          <w:rFonts w:hint="eastAsia" w:cstheme="minorHAnsi"/>
          <w:kern w:val="0"/>
          <w:szCs w:val="20"/>
        </w:rPr>
        <w:t>在</w:t>
      </w:r>
      <w:r>
        <w:rPr>
          <w:rFonts w:cstheme="minorHAnsi"/>
          <w:kern w:val="0"/>
          <w:szCs w:val="20"/>
        </w:rPr>
        <w:t>15~30</w:t>
      </w:r>
      <w:r>
        <w:rPr>
          <w:rFonts w:hint="eastAsia" w:ascii="微软雅黑" w:hAnsi="微软雅黑" w:eastAsia="微软雅黑" w:cs="微软雅黑"/>
          <w:kern w:val="0"/>
          <w:szCs w:val="20"/>
        </w:rPr>
        <w:t>℃</w:t>
      </w:r>
      <w:r>
        <w:rPr>
          <w:rFonts w:cstheme="minorHAnsi"/>
          <w:kern w:val="0"/>
          <w:szCs w:val="20"/>
        </w:rPr>
        <w:t>，相对湿度应≤60%，</w:t>
      </w:r>
      <w:r>
        <w:rPr>
          <w:rFonts w:hint="eastAsia" w:cstheme="minorHAnsi"/>
          <w:kern w:val="0"/>
          <w:szCs w:val="20"/>
        </w:rPr>
        <w:t>监测</w:t>
      </w:r>
      <w:r>
        <w:rPr>
          <w:rFonts w:cstheme="minorHAnsi"/>
          <w:kern w:val="0"/>
          <w:szCs w:val="20"/>
        </w:rPr>
        <w:t>站房内应安装排风扇或其它通风设施。</w:t>
      </w:r>
    </w:p>
    <w:p w14:paraId="6CFBC997">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 xml:space="preserve">8.0.5 </w:t>
      </w:r>
      <w:r>
        <w:rPr>
          <w:rFonts w:hint="eastAsia" w:cstheme="minorHAnsi"/>
          <w:kern w:val="0"/>
          <w:szCs w:val="20"/>
        </w:rPr>
        <w:t>监测</w:t>
      </w:r>
      <w:r>
        <w:rPr>
          <w:rFonts w:cstheme="minorHAnsi"/>
          <w:kern w:val="0"/>
          <w:szCs w:val="20"/>
        </w:rPr>
        <w:t>站房内应设可燃气体和(或)有毒气体检测器，并同时设置氧气检测器。</w:t>
      </w:r>
    </w:p>
    <w:p w14:paraId="7668C78F">
      <w:pPr>
        <w:spacing w:line="360" w:lineRule="auto"/>
        <w:rPr>
          <w:rFonts w:cstheme="minorHAnsi"/>
          <w:kern w:val="0"/>
          <w:szCs w:val="20"/>
        </w:rPr>
      </w:pPr>
      <w:r>
        <w:rPr>
          <w:rFonts w:cstheme="minorHAnsi"/>
          <w:kern w:val="0"/>
          <w:szCs w:val="20"/>
        </w:rPr>
        <w:t xml:space="preserve">8.0.6 </w:t>
      </w:r>
      <w:r>
        <w:rPr>
          <w:rFonts w:hint="eastAsia" w:cstheme="minorHAnsi"/>
          <w:kern w:val="0"/>
          <w:szCs w:val="20"/>
        </w:rPr>
        <w:t>监</w:t>
      </w:r>
      <w:r>
        <w:rPr>
          <w:rFonts w:cstheme="minorHAnsi"/>
          <w:kern w:val="0"/>
          <w:szCs w:val="20"/>
        </w:rPr>
        <w:t>测站房</w:t>
      </w:r>
      <w:r>
        <w:rPr>
          <w:rFonts w:hint="eastAsia" w:cstheme="minorHAnsi"/>
          <w:kern w:val="0"/>
          <w:szCs w:val="20"/>
        </w:rPr>
        <w:t>内宜设置一套</w:t>
      </w:r>
      <w:r>
        <w:rPr>
          <w:rFonts w:cstheme="minorHAnsi"/>
          <w:kern w:val="0"/>
          <w:szCs w:val="20"/>
        </w:rPr>
        <w:t>可编程逻辑系统（PLC），用于站房内数据采集传输、安全检测和联锁报警等。</w:t>
      </w:r>
    </w:p>
    <w:p w14:paraId="17163E40">
      <w:pPr>
        <w:spacing w:line="360" w:lineRule="auto"/>
      </w:pPr>
      <w:r>
        <w:t xml:space="preserve">8.0.7 </w:t>
      </w:r>
      <w:r>
        <w:rPr>
          <w:rFonts w:hint="eastAsia"/>
        </w:rPr>
        <w:t>监测站房内的分析仪及数据采集系统的供电应采用U</w:t>
      </w:r>
      <w:r>
        <w:t>PS</w:t>
      </w:r>
      <w:r>
        <w:rPr>
          <w:rFonts w:hint="eastAsia"/>
        </w:rPr>
        <w:t>，空调及风扇等采用市电供电。</w:t>
      </w:r>
    </w:p>
    <w:p w14:paraId="34ECB70E">
      <w:pPr>
        <w:spacing w:line="360" w:lineRule="auto"/>
      </w:pPr>
      <w:r>
        <w:t xml:space="preserve">8.0.8 </w:t>
      </w:r>
      <w:r>
        <w:rPr>
          <w:rFonts w:hint="eastAsia"/>
        </w:rPr>
        <w:t>监测站房应设置单独的接地系统，接地系统设计应符合现行</w:t>
      </w:r>
      <w:r>
        <w:rPr>
          <w:rFonts w:hint="eastAsia" w:ascii="宋体" w:hAnsi="宋体"/>
        </w:rPr>
        <w:t>行业标准《仪表系统接地设计规范》</w:t>
      </w:r>
      <w:r>
        <w:rPr>
          <w:rFonts w:hint="eastAsia" w:ascii="Arial" w:hAnsi="Arial" w:eastAsia="宋体" w:cs="Arial"/>
        </w:rPr>
        <w:t>HG/T 20513</w:t>
      </w:r>
      <w:r>
        <w:rPr>
          <w:rFonts w:hint="eastAsia" w:ascii="宋体" w:hAnsi="宋体"/>
        </w:rPr>
        <w:t>的规定。</w:t>
      </w:r>
    </w:p>
    <w:p w14:paraId="75D44F23">
      <w:pPr>
        <w:spacing w:line="360" w:lineRule="auto"/>
      </w:pPr>
      <w:r>
        <w:t xml:space="preserve">8.0.9 </w:t>
      </w:r>
      <w:r>
        <w:rPr>
          <w:rFonts w:hint="eastAsia"/>
        </w:rPr>
        <w:t>监测站房应根据需要实施防雷工程，防雷系统设计应符合现行标准《建筑物防雷设计规范》</w:t>
      </w:r>
      <w:r>
        <w:rPr>
          <w:rFonts w:hint="eastAsia" w:ascii="Arial" w:hAnsi="Arial" w:eastAsia="宋体" w:cs="Arial"/>
        </w:rPr>
        <w:t>GB 50057</w:t>
      </w:r>
      <w:r>
        <w:rPr>
          <w:rFonts w:hint="eastAsia"/>
        </w:rPr>
        <w:t>的有关规定。</w:t>
      </w:r>
    </w:p>
    <w:p w14:paraId="12622B1E">
      <w:pPr>
        <w:widowControl/>
        <w:tabs>
          <w:tab w:val="center" w:pos="4201"/>
          <w:tab w:val="right" w:leader="dot" w:pos="9298"/>
        </w:tabs>
        <w:autoSpaceDE w:val="0"/>
        <w:autoSpaceDN w:val="0"/>
        <w:spacing w:line="360" w:lineRule="auto"/>
        <w:rPr>
          <w:rFonts w:cstheme="minorHAnsi"/>
          <w:kern w:val="0"/>
          <w:szCs w:val="20"/>
        </w:rPr>
      </w:pPr>
      <w:r>
        <w:rPr>
          <w:rFonts w:cstheme="minorHAnsi"/>
          <w:kern w:val="0"/>
          <w:szCs w:val="20"/>
        </w:rPr>
        <w:t>8.0.10 监测站房与采样点之间距离不宜大于70m。</w:t>
      </w:r>
    </w:p>
    <w:p w14:paraId="4CC26E9E">
      <w:pPr>
        <w:spacing w:line="360" w:lineRule="auto"/>
      </w:pPr>
    </w:p>
    <w:p w14:paraId="098C3D3B">
      <w:pPr>
        <w:spacing w:line="360" w:lineRule="auto"/>
        <w:rPr>
          <w:rFonts w:ascii="宋体" w:hAnsi="Times New Roman" w:eastAsia="宋体" w:cs="Times New Roman"/>
          <w:kern w:val="0"/>
          <w:szCs w:val="20"/>
        </w:rPr>
      </w:pPr>
      <w:r>
        <w:rPr>
          <w:rFonts w:ascii="宋体" w:hAnsi="Times New Roman" w:eastAsia="宋体" w:cs="Times New Roman"/>
          <w:kern w:val="0"/>
          <w:szCs w:val="20"/>
        </w:rPr>
        <w:br w:type="page"/>
      </w:r>
    </w:p>
    <w:p w14:paraId="6415C66A">
      <w:pPr>
        <w:pStyle w:val="2"/>
        <w:numPr>
          <w:ilvl w:val="0"/>
          <w:numId w:val="2"/>
        </w:numPr>
        <w:spacing w:after="360" w:line="360" w:lineRule="auto"/>
        <w:jc w:val="center"/>
        <w:rPr>
          <w:rFonts w:hAnsi="宋体"/>
          <w:sz w:val="28"/>
          <w:szCs w:val="21"/>
        </w:rPr>
      </w:pPr>
      <w:bookmarkStart w:id="123" w:name="_Toc206160072"/>
      <w:bookmarkStart w:id="124" w:name="_Toc206171717"/>
      <w:bookmarkStart w:id="125" w:name="_Toc206080481"/>
      <w:bookmarkStart w:id="126" w:name="_Toc206073869"/>
      <w:r>
        <w:rPr>
          <w:rFonts w:hint="eastAsia" w:hAnsi="宋体"/>
          <w:sz w:val="28"/>
          <w:szCs w:val="21"/>
        </w:rPr>
        <w:t>安装设计</w:t>
      </w:r>
      <w:bookmarkEnd w:id="123"/>
      <w:bookmarkEnd w:id="124"/>
      <w:bookmarkEnd w:id="125"/>
      <w:bookmarkEnd w:id="126"/>
    </w:p>
    <w:p w14:paraId="3269C360">
      <w:pPr>
        <w:pStyle w:val="3"/>
        <w:numPr>
          <w:ilvl w:val="1"/>
          <w:numId w:val="2"/>
        </w:numPr>
        <w:spacing w:after="100" w:line="360" w:lineRule="auto"/>
        <w:ind w:left="426" w:hanging="426"/>
        <w:jc w:val="center"/>
        <w:rPr>
          <w:sz w:val="21"/>
        </w:rPr>
      </w:pPr>
      <w:bookmarkStart w:id="127" w:name="_Toc206073870"/>
      <w:bookmarkStart w:id="128" w:name="_Toc206080482"/>
      <w:bookmarkStart w:id="129" w:name="_Toc206160073"/>
      <w:bookmarkStart w:id="130" w:name="_Toc206171718"/>
      <w:r>
        <w:rPr>
          <w:rFonts w:hint="eastAsia"/>
          <w:sz w:val="21"/>
        </w:rPr>
        <w:t>一般规定</w:t>
      </w:r>
      <w:bookmarkEnd w:id="127"/>
      <w:bookmarkEnd w:id="128"/>
      <w:bookmarkEnd w:id="129"/>
      <w:bookmarkEnd w:id="130"/>
    </w:p>
    <w:p w14:paraId="1E78FED0">
      <w:pPr>
        <w:tabs>
          <w:tab w:val="left" w:pos="426"/>
        </w:tabs>
        <w:spacing w:line="360" w:lineRule="auto"/>
      </w:pPr>
      <w:r>
        <w:t>9.1.1 VOCs</w:t>
      </w:r>
      <w:r>
        <w:rPr>
          <w:rFonts w:hint="eastAsia"/>
        </w:rPr>
        <w:t>冷凝法回收装置的仪表取源部件安装、仪表设备安装、仪表线路安装及仪表管道安装等应符合现行标准《自动化仪表工程施工及质量验收规范》</w:t>
      </w:r>
      <w:r>
        <w:rPr>
          <w:rFonts w:hint="eastAsia" w:ascii="Arial" w:hAnsi="Arial" w:eastAsia="宋体" w:cs="Arial"/>
        </w:rPr>
        <w:t>GB</w:t>
      </w:r>
      <w:r>
        <w:rPr>
          <w:rFonts w:hint="eastAsia" w:ascii="Arial" w:hAnsi="Arial" w:eastAsia="宋体" w:cs="Arial"/>
          <w:lang w:val="en-US" w:eastAsia="zh-CN"/>
        </w:rPr>
        <w:t xml:space="preserve"> </w:t>
      </w:r>
      <w:r>
        <w:rPr>
          <w:rFonts w:hint="eastAsia" w:ascii="Arial" w:hAnsi="Arial" w:eastAsia="宋体" w:cs="Arial"/>
        </w:rPr>
        <w:t>50093</w:t>
      </w:r>
      <w:r>
        <w:rPr>
          <w:rFonts w:hint="eastAsia"/>
        </w:rPr>
        <w:t>的相关规定。</w:t>
      </w:r>
    </w:p>
    <w:p w14:paraId="403EBB10">
      <w:pPr>
        <w:tabs>
          <w:tab w:val="left" w:pos="426"/>
        </w:tabs>
        <w:spacing w:line="360" w:lineRule="auto"/>
      </w:pPr>
      <w:r>
        <w:t xml:space="preserve">9.1.2 </w:t>
      </w:r>
      <w:r>
        <w:rPr>
          <w:rFonts w:hint="eastAsia"/>
        </w:rPr>
        <w:t>所有接触介质部件材质应满足腐蚀性介质的要求。</w:t>
      </w:r>
    </w:p>
    <w:p w14:paraId="257C6AC2">
      <w:pPr>
        <w:pStyle w:val="3"/>
        <w:numPr>
          <w:ilvl w:val="1"/>
          <w:numId w:val="2"/>
        </w:numPr>
        <w:spacing w:after="100" w:line="360" w:lineRule="auto"/>
        <w:ind w:left="426" w:hanging="426"/>
        <w:jc w:val="center"/>
        <w:rPr>
          <w:sz w:val="21"/>
        </w:rPr>
      </w:pPr>
      <w:bookmarkStart w:id="131" w:name="_Toc206171719"/>
      <w:bookmarkStart w:id="132" w:name="_Toc206073871"/>
      <w:bookmarkStart w:id="133" w:name="_Toc206080483"/>
      <w:bookmarkStart w:id="134" w:name="_Toc206160074"/>
      <w:r>
        <w:rPr>
          <w:rFonts w:hint="eastAsia"/>
          <w:sz w:val="21"/>
        </w:rPr>
        <w:t>仪表配管配线</w:t>
      </w:r>
      <w:bookmarkEnd w:id="131"/>
      <w:bookmarkEnd w:id="132"/>
      <w:bookmarkEnd w:id="133"/>
      <w:bookmarkEnd w:id="134"/>
    </w:p>
    <w:p w14:paraId="5CD7E86C">
      <w:pPr>
        <w:spacing w:line="360" w:lineRule="auto"/>
      </w:pPr>
      <w:r>
        <w:t>9.2.1 VOCs冷凝法回收装置</w:t>
      </w:r>
      <w:r>
        <w:rPr>
          <w:rFonts w:hint="eastAsia"/>
        </w:rPr>
        <w:t>的仪表配管配线应符合现行行业标准《仪表配管配线设计规范》</w:t>
      </w:r>
      <w:r>
        <w:rPr>
          <w:rFonts w:hint="eastAsia" w:ascii="Arial" w:hAnsi="Arial" w:eastAsia="宋体" w:cs="Arial"/>
        </w:rPr>
        <w:t>HG/T</w:t>
      </w:r>
      <w:r>
        <w:rPr>
          <w:rFonts w:hint="eastAsia" w:ascii="Arial" w:hAnsi="Arial" w:eastAsia="宋体" w:cs="Arial"/>
          <w:lang w:val="en-US" w:eastAsia="zh-CN"/>
        </w:rPr>
        <w:t xml:space="preserve"> </w:t>
      </w:r>
      <w:r>
        <w:rPr>
          <w:rFonts w:hint="eastAsia" w:ascii="Arial" w:hAnsi="Arial" w:eastAsia="宋体" w:cs="Arial"/>
        </w:rPr>
        <w:t>20512</w:t>
      </w:r>
      <w:r>
        <w:rPr>
          <w:rFonts w:hint="eastAsia"/>
        </w:rPr>
        <w:t>的有关规定。</w:t>
      </w:r>
    </w:p>
    <w:p w14:paraId="43DD41CD">
      <w:pPr>
        <w:spacing w:line="360" w:lineRule="auto"/>
      </w:pPr>
      <w:r>
        <w:t xml:space="preserve">9.2.2 </w:t>
      </w:r>
      <w:r>
        <w:rPr>
          <w:rFonts w:hint="eastAsia"/>
        </w:rPr>
        <w:t>撬块安装的</w:t>
      </w:r>
      <w:r>
        <w:t>VOCs冷凝法回收装置</w:t>
      </w:r>
      <w:r>
        <w:rPr>
          <w:rFonts w:hint="eastAsia"/>
        </w:rPr>
        <w:t>的仪表配管配线应充分考虑爆炸危险、腐蚀、高温、振动、电磁干扰等因素，并采取相应的防护措施。</w:t>
      </w:r>
    </w:p>
    <w:p w14:paraId="1A3233F6">
      <w:pPr>
        <w:spacing w:line="360" w:lineRule="auto"/>
      </w:pPr>
      <w:r>
        <w:t>9.2.3 VOCs冷凝法回收装置</w:t>
      </w:r>
      <w:r>
        <w:rPr>
          <w:rFonts w:hint="eastAsia"/>
        </w:rPr>
        <w:t>为撬块设计时</w:t>
      </w:r>
      <w:r>
        <w:t>，仪表</w:t>
      </w:r>
      <w:r>
        <w:rPr>
          <w:rFonts w:hint="eastAsia"/>
        </w:rPr>
        <w:t>线缆敷设宜采用桥架敷设。</w:t>
      </w:r>
    </w:p>
    <w:p w14:paraId="130019B8">
      <w:pPr>
        <w:spacing w:line="360" w:lineRule="auto"/>
      </w:pPr>
      <w:r>
        <w:t xml:space="preserve">9.2.4 </w:t>
      </w:r>
      <w:r>
        <w:rPr>
          <w:rFonts w:hint="eastAsia"/>
        </w:rPr>
        <w:t>VOCs冷凝法回收装置为撬块设计时，仪表配管宜采用快拆接头或法兰方式连接。</w:t>
      </w:r>
    </w:p>
    <w:p w14:paraId="05E767E9">
      <w:pPr>
        <w:spacing w:line="360" w:lineRule="auto"/>
      </w:pPr>
      <w:r>
        <w:t xml:space="preserve">9.2.5 </w:t>
      </w:r>
      <w:r>
        <w:rPr>
          <w:rFonts w:hint="eastAsia"/>
        </w:rPr>
        <w:t>冷媒介质的取压管线材质宜选用不锈钢，氨介质禁铜。</w:t>
      </w:r>
    </w:p>
    <w:p w14:paraId="7A50AA19">
      <w:pPr>
        <w:tabs>
          <w:tab w:val="left" w:pos="426"/>
        </w:tabs>
        <w:spacing w:line="360" w:lineRule="auto"/>
      </w:pPr>
      <w:r>
        <w:t xml:space="preserve">9.2.6 </w:t>
      </w:r>
      <w:r>
        <w:rPr>
          <w:rFonts w:hint="eastAsia"/>
        </w:rPr>
        <w:t>分析仪样品传输管线宜采用一体化管缆，采样管材质不低于S</w:t>
      </w:r>
      <w:r>
        <w:t>S316L</w:t>
      </w:r>
      <w:r>
        <w:rPr>
          <w:rFonts w:hint="eastAsia"/>
        </w:rPr>
        <w:t>，或根据需要使用其他特殊材质。</w:t>
      </w:r>
    </w:p>
    <w:p w14:paraId="0DA98FBB">
      <w:pPr>
        <w:tabs>
          <w:tab w:val="left" w:pos="426"/>
        </w:tabs>
        <w:spacing w:line="360" w:lineRule="auto"/>
      </w:pPr>
      <w:r>
        <w:t xml:space="preserve">9.2.7 </w:t>
      </w:r>
      <w:r>
        <w:rPr>
          <w:rFonts w:hint="eastAsia"/>
        </w:rPr>
        <w:t>管缆敷设不能有低点和袋状。</w:t>
      </w:r>
    </w:p>
    <w:p w14:paraId="07AB08D7">
      <w:pPr>
        <w:spacing w:line="360" w:lineRule="auto"/>
      </w:pPr>
      <w:r>
        <w:t>9.2.8</w:t>
      </w:r>
      <w:r>
        <w:rPr>
          <w:rFonts w:hint="eastAsia"/>
        </w:rPr>
        <w:t>仪表电缆宜采用屏蔽控制电缆或本安电缆，</w:t>
      </w:r>
      <w:r>
        <w:t>仪表电缆</w:t>
      </w:r>
      <w:r>
        <w:rPr>
          <w:rFonts w:hint="eastAsia"/>
        </w:rPr>
        <w:t>宜</w:t>
      </w:r>
      <w:r>
        <w:t>采用</w:t>
      </w:r>
      <w:r>
        <w:rPr>
          <w:rFonts w:hint="eastAsia"/>
        </w:rPr>
        <w:t>电缆桥架</w:t>
      </w:r>
      <w:r>
        <w:t>架空敷设</w:t>
      </w:r>
      <w:r>
        <w:rPr>
          <w:rFonts w:hint="eastAsia"/>
        </w:rPr>
        <w:t>或埋地敷设</w:t>
      </w:r>
      <w:r>
        <w:t>。</w:t>
      </w:r>
    </w:p>
    <w:p w14:paraId="5304038B">
      <w:pPr>
        <w:pStyle w:val="3"/>
        <w:numPr>
          <w:ilvl w:val="1"/>
          <w:numId w:val="2"/>
        </w:numPr>
        <w:spacing w:after="100" w:line="360" w:lineRule="auto"/>
        <w:ind w:left="426" w:hanging="426"/>
        <w:jc w:val="center"/>
        <w:rPr>
          <w:sz w:val="21"/>
        </w:rPr>
      </w:pPr>
      <w:bookmarkStart w:id="135" w:name="_Toc206171720"/>
      <w:bookmarkStart w:id="136" w:name="_Toc206073872"/>
      <w:bookmarkStart w:id="137" w:name="_Toc206160075"/>
      <w:bookmarkStart w:id="138" w:name="_Toc206080484"/>
      <w:r>
        <w:rPr>
          <w:rFonts w:hint="eastAsia"/>
          <w:sz w:val="21"/>
        </w:rPr>
        <w:t>仪表伴热保温</w:t>
      </w:r>
      <w:bookmarkEnd w:id="135"/>
      <w:bookmarkEnd w:id="136"/>
      <w:bookmarkEnd w:id="137"/>
      <w:bookmarkEnd w:id="138"/>
    </w:p>
    <w:p w14:paraId="6189A06C">
      <w:pPr>
        <w:spacing w:line="360" w:lineRule="auto"/>
      </w:pPr>
      <w:r>
        <w:t>9.</w:t>
      </w:r>
      <w:r>
        <w:rPr>
          <w:rFonts w:hint="eastAsia"/>
        </w:rPr>
        <w:t>3</w:t>
      </w:r>
      <w:r>
        <w:t xml:space="preserve">.1 </w:t>
      </w:r>
      <w:r>
        <w:rPr>
          <w:rFonts w:hint="eastAsia"/>
        </w:rPr>
        <w:t>VOCs冷凝法回收装置中仪表保温伴热的设计应符合现行行业标准《仪表及管线伴热和绝热保温设计规范》</w:t>
      </w:r>
      <w:r>
        <w:rPr>
          <w:rFonts w:hint="eastAsia" w:ascii="Arial" w:hAnsi="Arial" w:eastAsia="宋体" w:cs="Arial"/>
        </w:rPr>
        <w:t>HG/T</w:t>
      </w:r>
      <w:r>
        <w:rPr>
          <w:rFonts w:hint="eastAsia" w:ascii="Arial" w:hAnsi="Arial" w:eastAsia="宋体" w:cs="Arial"/>
          <w:lang w:val="en-US" w:eastAsia="zh-CN"/>
        </w:rPr>
        <w:t xml:space="preserve"> </w:t>
      </w:r>
      <w:r>
        <w:rPr>
          <w:rFonts w:hint="eastAsia" w:ascii="Arial" w:hAnsi="Arial" w:eastAsia="宋体" w:cs="Arial"/>
        </w:rPr>
        <w:t>20514</w:t>
      </w:r>
      <w:r>
        <w:rPr>
          <w:rFonts w:hint="eastAsia"/>
        </w:rPr>
        <w:t>的有关规定。</w:t>
      </w:r>
    </w:p>
    <w:p w14:paraId="43B0632F">
      <w:pPr>
        <w:spacing w:line="360" w:lineRule="auto"/>
      </w:pPr>
      <w:r>
        <w:t>9.</w:t>
      </w:r>
      <w:r>
        <w:rPr>
          <w:rFonts w:hint="eastAsia"/>
        </w:rPr>
        <w:t>3</w:t>
      </w:r>
      <w:r>
        <w:t xml:space="preserve">.2 </w:t>
      </w:r>
      <w:r>
        <w:rPr>
          <w:rFonts w:hint="eastAsia"/>
        </w:rPr>
        <w:t>仪表及管线的伴热宜选用电伴热，也可采用蒸汽伴热或热水伴热。</w:t>
      </w:r>
    </w:p>
    <w:p w14:paraId="60D9E534">
      <w:pPr>
        <w:spacing w:line="360" w:lineRule="auto"/>
      </w:pPr>
      <w:r>
        <w:t>9.</w:t>
      </w:r>
      <w:r>
        <w:rPr>
          <w:rFonts w:hint="eastAsia"/>
        </w:rPr>
        <w:t>3</w:t>
      </w:r>
      <w:r>
        <w:t xml:space="preserve">.3 </w:t>
      </w:r>
      <w:r>
        <w:rPr>
          <w:rFonts w:hint="eastAsia"/>
        </w:rPr>
        <w:t>低温介质管道管线应采取保冷或防结霜措施。</w:t>
      </w:r>
    </w:p>
    <w:p w14:paraId="0DEA1098">
      <w:pPr>
        <w:pStyle w:val="3"/>
        <w:numPr>
          <w:ilvl w:val="1"/>
          <w:numId w:val="2"/>
        </w:numPr>
        <w:spacing w:after="100" w:line="360" w:lineRule="auto"/>
        <w:ind w:left="426" w:hanging="426"/>
        <w:jc w:val="center"/>
        <w:rPr>
          <w:sz w:val="21"/>
        </w:rPr>
      </w:pPr>
      <w:bookmarkStart w:id="139" w:name="_Toc206160076"/>
      <w:bookmarkStart w:id="140" w:name="_Toc206073873"/>
      <w:bookmarkStart w:id="141" w:name="_Toc206080485"/>
      <w:bookmarkStart w:id="142" w:name="_Toc206171721"/>
      <w:r>
        <w:rPr>
          <w:rFonts w:hint="eastAsia"/>
          <w:sz w:val="21"/>
        </w:rPr>
        <w:t>仪表接地和防雷</w:t>
      </w:r>
      <w:bookmarkEnd w:id="139"/>
      <w:bookmarkEnd w:id="140"/>
      <w:bookmarkEnd w:id="141"/>
      <w:bookmarkEnd w:id="142"/>
    </w:p>
    <w:p w14:paraId="77748C41">
      <w:pPr>
        <w:spacing w:line="360" w:lineRule="auto"/>
      </w:pPr>
      <w:bookmarkStart w:id="143" w:name="_Toc119953324"/>
      <w:r>
        <w:t>9.</w:t>
      </w:r>
      <w:r>
        <w:rPr>
          <w:rFonts w:hint="eastAsia"/>
        </w:rPr>
        <w:t>4</w:t>
      </w:r>
      <w:r>
        <w:t xml:space="preserve">.1 </w:t>
      </w:r>
      <w:r>
        <w:rPr>
          <w:rFonts w:hint="eastAsia"/>
        </w:rPr>
        <w:t>VOCs冷凝法回收装置的接地设计，应符合现行行业标准《仪表系统接地设计规范》</w:t>
      </w:r>
      <w:r>
        <w:rPr>
          <w:rFonts w:hint="eastAsia" w:ascii="Arial" w:hAnsi="Arial" w:eastAsia="宋体" w:cs="Arial"/>
        </w:rPr>
        <w:t>HG/T</w:t>
      </w:r>
      <w:r>
        <w:rPr>
          <w:rFonts w:hint="eastAsia" w:ascii="Arial" w:hAnsi="Arial" w:eastAsia="宋体" w:cs="Arial"/>
          <w:lang w:val="en-US" w:eastAsia="zh-CN"/>
        </w:rPr>
        <w:t xml:space="preserve"> </w:t>
      </w:r>
      <w:r>
        <w:rPr>
          <w:rFonts w:hint="eastAsia" w:ascii="Arial" w:hAnsi="Arial" w:eastAsia="宋体" w:cs="Arial"/>
        </w:rPr>
        <w:t>20513</w:t>
      </w:r>
      <w:r>
        <w:rPr>
          <w:rFonts w:hint="eastAsia"/>
        </w:rPr>
        <w:t>的有关规定。</w:t>
      </w:r>
    </w:p>
    <w:p w14:paraId="4D35824A">
      <w:pPr>
        <w:spacing w:line="360" w:lineRule="auto"/>
      </w:pPr>
      <w:r>
        <w:t>9.</w:t>
      </w:r>
      <w:r>
        <w:rPr>
          <w:rFonts w:hint="eastAsia"/>
        </w:rPr>
        <w:t>4</w:t>
      </w:r>
      <w:r>
        <w:t xml:space="preserve">.2 </w:t>
      </w:r>
      <w:r>
        <w:rPr>
          <w:rFonts w:hint="eastAsia"/>
        </w:rPr>
        <w:t xml:space="preserve">VOCs冷凝法回收装置的防雷设计，应符合现行行业标准《石油化工仪表系统防雷设计规范》 </w:t>
      </w:r>
      <w:r>
        <w:rPr>
          <w:rFonts w:hint="eastAsia" w:ascii="Arial" w:hAnsi="Arial" w:eastAsia="宋体" w:cs="Arial"/>
        </w:rPr>
        <w:t>SH/T 3164</w:t>
      </w:r>
      <w:r>
        <w:rPr>
          <w:rFonts w:hint="eastAsia"/>
        </w:rPr>
        <w:t xml:space="preserve">的有关规定。 </w:t>
      </w:r>
    </w:p>
    <w:p w14:paraId="1688BC42">
      <w:pPr>
        <w:spacing w:line="360" w:lineRule="auto"/>
      </w:pPr>
    </w:p>
    <w:bookmarkEnd w:id="143"/>
    <w:p w14:paraId="04D409D9">
      <w:pPr>
        <w:pStyle w:val="2"/>
        <w:jc w:val="center"/>
        <w:rPr>
          <w:sz w:val="28"/>
          <w:szCs w:val="28"/>
        </w:rPr>
      </w:pPr>
      <w:bookmarkStart w:id="144" w:name="_Toc206073874"/>
      <w:bookmarkStart w:id="145" w:name="_Toc206160077"/>
      <w:bookmarkStart w:id="146" w:name="_Toc206171722"/>
      <w:bookmarkStart w:id="147" w:name="_Toc206080486"/>
      <w:r>
        <w:rPr>
          <w:rFonts w:hint="eastAsia"/>
          <w:sz w:val="28"/>
          <w:szCs w:val="28"/>
        </w:rPr>
        <w:t>附录A</w:t>
      </w:r>
      <w:r>
        <w:rPr>
          <w:sz w:val="28"/>
          <w:szCs w:val="28"/>
        </w:rPr>
        <w:t xml:space="preserve">  </w:t>
      </w:r>
      <w:r>
        <w:rPr>
          <w:rFonts w:hint="eastAsia"/>
          <w:sz w:val="28"/>
          <w:szCs w:val="28"/>
        </w:rPr>
        <w:t>组合式冷凝回收法典型工艺控制流程图</w:t>
      </w:r>
      <w:bookmarkEnd w:id="144"/>
      <w:bookmarkEnd w:id="145"/>
      <w:bookmarkEnd w:id="146"/>
      <w:bookmarkEnd w:id="147"/>
    </w:p>
    <w:p w14:paraId="40CFFFA3">
      <w:pPr>
        <w:widowControl/>
        <w:tabs>
          <w:tab w:val="center" w:pos="4201"/>
          <w:tab w:val="right" w:leader="dot" w:pos="9298"/>
        </w:tabs>
        <w:autoSpaceDE w:val="0"/>
        <w:autoSpaceDN w:val="0"/>
        <w:spacing w:line="360" w:lineRule="auto"/>
        <w:jc w:val="center"/>
        <w:rPr>
          <w:rFonts w:ascii="宋体" w:hAnsi="Times New Roman" w:eastAsia="宋体" w:cs="Times New Roman"/>
          <w:color w:val="0000FF"/>
          <w:kern w:val="0"/>
          <w:szCs w:val="20"/>
        </w:rPr>
      </w:pPr>
      <w:r>
        <w:object>
          <v:shape id="_x0000_i1025" o:spt="75" type="#_x0000_t75" style="height:249.8pt;width:418.85pt;" o:ole="t" filled="f" o:preferrelative="t" stroked="f" coordsize="21600,21600">
            <v:path/>
            <v:fill on="f" focussize="0,0"/>
            <v:stroke on="f" joinstyle="miter"/>
            <v:imagedata r:id="rId12" cropleft="5438f" cropright="5739f" o:title=""/>
            <o:lock v:ext="edit" aspectratio="t"/>
            <w10:wrap type="none"/>
            <w10:anchorlock/>
          </v:shape>
          <o:OLEObject Type="Embed" ProgID="GstarCAD.Drawing.22" ShapeID="_x0000_i1025" DrawAspect="Content" ObjectID="_1468075725" r:id="rId11">
            <o:LockedField>false</o:LockedField>
          </o:OLEObject>
        </w:object>
      </w:r>
    </w:p>
    <w:p w14:paraId="068EF48C">
      <w:pPr>
        <w:widowControl/>
        <w:tabs>
          <w:tab w:val="center" w:pos="4201"/>
          <w:tab w:val="right" w:leader="dot" w:pos="9298"/>
        </w:tabs>
        <w:autoSpaceDE w:val="0"/>
        <w:autoSpaceDN w:val="0"/>
        <w:rPr>
          <w:rFonts w:ascii="宋体" w:hAnsi="Times New Roman" w:eastAsia="宋体" w:cs="Times New Roman"/>
          <w:b/>
          <w:color w:val="0000FF"/>
          <w:kern w:val="0"/>
          <w:szCs w:val="20"/>
        </w:rPr>
      </w:pPr>
    </w:p>
    <w:p w14:paraId="35485AA7">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图A-</w:t>
      </w:r>
      <w:r>
        <w:rPr>
          <w:rFonts w:ascii="宋体" w:hAnsi="Times New Roman" w:eastAsia="宋体" w:cs="Times New Roman"/>
          <w:b/>
          <w:kern w:val="0"/>
          <w:szCs w:val="20"/>
        </w:rPr>
        <w:t>1</w:t>
      </w:r>
      <w:r>
        <w:rPr>
          <w:rFonts w:hint="eastAsia" w:ascii="宋体" w:hAnsi="Times New Roman" w:eastAsia="宋体" w:cs="Times New Roman"/>
          <w:b/>
          <w:kern w:val="0"/>
          <w:szCs w:val="20"/>
        </w:rPr>
        <w:t xml:space="preserve"> 单通道冷凝回收法典型工艺流程</w:t>
      </w:r>
    </w:p>
    <w:p w14:paraId="499A7E4C">
      <w:pPr>
        <w:rPr>
          <w:rFonts w:ascii="宋体" w:hAnsi="Times New Roman" w:eastAsia="宋体" w:cs="Times New Roman"/>
          <w:szCs w:val="20"/>
        </w:rPr>
      </w:pPr>
    </w:p>
    <w:p w14:paraId="397C6C29">
      <w:pPr>
        <w:rPr>
          <w:rFonts w:ascii="宋体" w:hAnsi="Times New Roman" w:eastAsia="宋体" w:cs="Times New Roman"/>
          <w:szCs w:val="20"/>
        </w:rPr>
      </w:pPr>
      <w:r>
        <w:object>
          <v:shape id="_x0000_i1026" o:spt="75" type="#_x0000_t75" style="height:292.4pt;width:413.2pt;" o:ole="t" filled="f" o:preferrelative="t" stroked="f" coordsize="21600,21600">
            <v:path/>
            <v:fill on="f" focussize="0,0"/>
            <v:stroke on="f" joinstyle="miter"/>
            <v:imagedata r:id="rId14" cropleft="9986f" cropright="9789f" o:title=""/>
            <o:lock v:ext="edit" aspectratio="t"/>
            <w10:wrap type="none"/>
            <w10:anchorlock/>
          </v:shape>
          <o:OLEObject Type="Embed" ProgID="GstarCAD.Drawing.22" ShapeID="_x0000_i1026" DrawAspect="Content" ObjectID="_1468075726" r:id="rId13">
            <o:LockedField>false</o:LockedField>
          </o:OLEObject>
        </w:object>
      </w:r>
    </w:p>
    <w:p w14:paraId="7D189A42">
      <w:pPr>
        <w:jc w:val="center"/>
        <w:rPr>
          <w:rFonts w:ascii="宋体" w:hAnsi="Times New Roman" w:eastAsia="宋体" w:cs="Times New Roman"/>
          <w:szCs w:val="20"/>
        </w:rPr>
      </w:pPr>
    </w:p>
    <w:p w14:paraId="2DEB240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图A</w:t>
      </w:r>
      <w:r>
        <w:rPr>
          <w:rFonts w:ascii="宋体" w:hAnsi="Times New Roman" w:eastAsia="宋体" w:cs="Times New Roman"/>
          <w:b/>
          <w:kern w:val="0"/>
          <w:szCs w:val="20"/>
        </w:rPr>
        <w:t>-</w:t>
      </w:r>
      <w:r>
        <w:rPr>
          <w:rFonts w:hint="eastAsia" w:ascii="宋体" w:hAnsi="Times New Roman" w:eastAsia="宋体" w:cs="Times New Roman"/>
          <w:b/>
          <w:kern w:val="0"/>
          <w:szCs w:val="20"/>
        </w:rPr>
        <w:t>2 双通道冷凝回收法典型工艺流程</w:t>
      </w:r>
    </w:p>
    <w:p w14:paraId="0A29BA05">
      <w:pPr>
        <w:rPr>
          <w:rFonts w:ascii="宋体" w:hAnsi="Times New Roman" w:eastAsia="宋体" w:cs="Times New Roman"/>
          <w:szCs w:val="20"/>
        </w:rPr>
      </w:pPr>
    </w:p>
    <w:p w14:paraId="07AFD3C7">
      <w:pPr>
        <w:widowControl/>
        <w:tabs>
          <w:tab w:val="center" w:pos="4201"/>
          <w:tab w:val="right" w:leader="dot" w:pos="9298"/>
        </w:tabs>
        <w:autoSpaceDE w:val="0"/>
        <w:autoSpaceDN w:val="0"/>
        <w:spacing w:line="360" w:lineRule="auto"/>
        <w:jc w:val="center"/>
        <w:rPr>
          <w:rFonts w:ascii="宋体" w:hAnsi="Times New Roman" w:eastAsia="宋体" w:cs="Times New Roman"/>
          <w:color w:val="0000FF"/>
          <w:kern w:val="0"/>
          <w:szCs w:val="20"/>
        </w:rPr>
      </w:pPr>
    </w:p>
    <w:p w14:paraId="7F5C3442">
      <w:pPr>
        <w:widowControl/>
        <w:tabs>
          <w:tab w:val="center" w:pos="4201"/>
          <w:tab w:val="right" w:leader="dot" w:pos="9298"/>
        </w:tabs>
        <w:autoSpaceDE w:val="0"/>
        <w:autoSpaceDN w:val="0"/>
        <w:jc w:val="center"/>
        <w:rPr>
          <w:rFonts w:ascii="宋体" w:hAnsi="Times New Roman" w:eastAsia="宋体" w:cs="Times New Roman"/>
          <w:kern w:val="0"/>
          <w:szCs w:val="20"/>
        </w:rPr>
      </w:pPr>
      <w:r>
        <w:object>
          <v:shape id="_x0000_i1027" o:spt="75" type="#_x0000_t75" style="height:406.95pt;width:412.6pt;" o:ole="t" filled="f" o:preferrelative="t" stroked="f" coordsize="21600,21600">
            <v:path/>
            <v:fill on="f" focussize="0,0"/>
            <v:stroke on="f" joinstyle="miter"/>
            <v:imagedata r:id="rId16" cropleft="16232f" cropright="16412f" o:title=""/>
            <o:lock v:ext="edit" aspectratio="t"/>
            <w10:wrap type="none"/>
            <w10:anchorlock/>
          </v:shape>
          <o:OLEObject Type="Embed" ProgID="GstarCAD.Drawing.22" ShapeID="_x0000_i1027" DrawAspect="Content" ObjectID="_1468075727" r:id="rId15">
            <o:LockedField>false</o:LockedField>
          </o:OLEObject>
        </w:object>
      </w:r>
    </w:p>
    <w:p w14:paraId="174F2A95">
      <w:pPr>
        <w:widowControl/>
        <w:tabs>
          <w:tab w:val="center" w:pos="4201"/>
          <w:tab w:val="right" w:leader="dot" w:pos="9298"/>
        </w:tabs>
        <w:autoSpaceDE w:val="0"/>
        <w:autoSpaceDN w:val="0"/>
        <w:jc w:val="center"/>
        <w:rPr>
          <w:rFonts w:ascii="宋体" w:hAnsi="Times New Roman" w:eastAsia="宋体" w:cs="Times New Roman"/>
          <w:kern w:val="0"/>
          <w:szCs w:val="20"/>
        </w:rPr>
      </w:pPr>
    </w:p>
    <w:p w14:paraId="0F4DC64F">
      <w:pPr>
        <w:widowControl/>
        <w:tabs>
          <w:tab w:val="center" w:pos="4201"/>
          <w:tab w:val="right" w:leader="dot" w:pos="9298"/>
        </w:tabs>
        <w:autoSpaceDE w:val="0"/>
        <w:autoSpaceDN w:val="0"/>
        <w:jc w:val="center"/>
        <w:rPr>
          <w:b/>
        </w:rPr>
      </w:pPr>
      <w:r>
        <w:rPr>
          <w:rFonts w:hint="eastAsia" w:ascii="宋体" w:hAnsi="Times New Roman" w:eastAsia="宋体" w:cs="Times New Roman"/>
          <w:b/>
          <w:kern w:val="0"/>
          <w:szCs w:val="20"/>
        </w:rPr>
        <w:t>图A-</w:t>
      </w:r>
      <w:r>
        <w:rPr>
          <w:rFonts w:hint="eastAsia" w:ascii="宋体" w:hAnsi="Times New Roman" w:eastAsia="宋体" w:cs="Times New Roman"/>
          <w:b/>
          <w:kern w:val="0"/>
          <w:szCs w:val="20"/>
          <w:lang w:val="en-US" w:eastAsia="zh-CN"/>
        </w:rPr>
        <w:t>3</w:t>
      </w:r>
      <w:r>
        <w:rPr>
          <w:rFonts w:hint="eastAsia" w:ascii="宋体" w:hAnsi="Times New Roman" w:eastAsia="宋体" w:cs="Times New Roman"/>
          <w:b/>
          <w:kern w:val="0"/>
          <w:szCs w:val="20"/>
        </w:rPr>
        <w:t xml:space="preserve"> </w:t>
      </w:r>
      <w:r>
        <w:rPr>
          <w:rFonts w:hint="eastAsia"/>
          <w:b/>
        </w:rPr>
        <w:t>冷凝+吸附回收法典型工艺流程</w:t>
      </w:r>
    </w:p>
    <w:p w14:paraId="35BD81C4">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color w:val="0000FF"/>
          <w:kern w:val="0"/>
          <w:szCs w:val="20"/>
        </w:rPr>
      </w:pPr>
    </w:p>
    <w:p w14:paraId="4F8E6BCC">
      <w:pPr>
        <w:widowControl/>
        <w:tabs>
          <w:tab w:val="center" w:pos="4201"/>
          <w:tab w:val="right" w:leader="dot" w:pos="9298"/>
        </w:tabs>
        <w:autoSpaceDE w:val="0"/>
        <w:autoSpaceDN w:val="0"/>
        <w:spacing w:line="360" w:lineRule="auto"/>
        <w:jc w:val="center"/>
        <w:rPr>
          <w:rFonts w:ascii="宋体" w:hAnsi="Times New Roman" w:eastAsia="宋体" w:cs="Times New Roman"/>
          <w:color w:val="0000FF"/>
          <w:kern w:val="0"/>
          <w:szCs w:val="20"/>
        </w:rPr>
      </w:pPr>
      <w:r>
        <w:object>
          <v:shape id="_x0000_i1028" o:spt="75" type="#_x0000_t75" style="height:336.2pt;width:414.45pt;" o:ole="t" filled="f" o:preferrelative="t" stroked="f" coordsize="21600,21600">
            <v:path/>
            <v:fill on="f" focussize="0,0"/>
            <v:stroke on="f" joinstyle="miter"/>
            <v:imagedata r:id="rId18" cropleft="12946f" cropright="12664f" o:title=""/>
            <o:lock v:ext="edit" aspectratio="t"/>
            <w10:wrap type="none"/>
            <w10:anchorlock/>
          </v:shape>
          <o:OLEObject Type="Embed" ProgID="GstarCAD.Drawing.22" ShapeID="_x0000_i1028" DrawAspect="Content" ObjectID="_1468075728" r:id="rId17">
            <o:LockedField>false</o:LockedField>
          </o:OLEObject>
        </w:object>
      </w:r>
    </w:p>
    <w:p w14:paraId="25CA5C42">
      <w:pPr>
        <w:widowControl/>
        <w:tabs>
          <w:tab w:val="center" w:pos="4201"/>
          <w:tab w:val="right" w:leader="dot" w:pos="9298"/>
        </w:tabs>
        <w:autoSpaceDE w:val="0"/>
        <w:autoSpaceDN w:val="0"/>
        <w:jc w:val="center"/>
        <w:rPr>
          <w:rFonts w:ascii="宋体" w:hAnsi="Times New Roman" w:eastAsia="宋体" w:cs="Times New Roman"/>
          <w:kern w:val="0"/>
          <w:szCs w:val="20"/>
        </w:rPr>
      </w:pPr>
    </w:p>
    <w:p w14:paraId="5F422013">
      <w:pPr>
        <w:widowControl/>
        <w:tabs>
          <w:tab w:val="center" w:pos="4201"/>
          <w:tab w:val="right" w:leader="dot" w:pos="9298"/>
        </w:tabs>
        <w:autoSpaceDE w:val="0"/>
        <w:autoSpaceDN w:val="0"/>
        <w:jc w:val="center"/>
        <w:rPr>
          <w:b/>
        </w:rPr>
      </w:pPr>
      <w:r>
        <w:rPr>
          <w:rFonts w:hint="eastAsia" w:ascii="宋体" w:hAnsi="Times New Roman" w:eastAsia="宋体" w:cs="Times New Roman"/>
          <w:b/>
          <w:kern w:val="0"/>
          <w:szCs w:val="20"/>
        </w:rPr>
        <w:t>图A-</w:t>
      </w:r>
      <w:r>
        <w:rPr>
          <w:rFonts w:hint="eastAsia" w:ascii="宋体" w:hAnsi="Times New Roman" w:eastAsia="宋体" w:cs="Times New Roman"/>
          <w:b/>
          <w:kern w:val="0"/>
          <w:szCs w:val="20"/>
          <w:lang w:val="en-US" w:eastAsia="zh-CN"/>
        </w:rPr>
        <w:t>4</w:t>
      </w:r>
      <w:r>
        <w:rPr>
          <w:rFonts w:hint="eastAsia" w:ascii="宋体" w:hAnsi="Times New Roman" w:eastAsia="宋体" w:cs="Times New Roman"/>
          <w:b/>
          <w:kern w:val="0"/>
          <w:szCs w:val="20"/>
        </w:rPr>
        <w:t xml:space="preserve"> </w:t>
      </w:r>
      <w:r>
        <w:rPr>
          <w:rFonts w:hint="eastAsia"/>
          <w:b/>
        </w:rPr>
        <w:t>冷凝+吸收回收法典型工艺流程</w:t>
      </w:r>
    </w:p>
    <w:p w14:paraId="06D5596A">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color w:val="0000FF"/>
          <w:kern w:val="0"/>
          <w:szCs w:val="20"/>
        </w:rPr>
      </w:pPr>
    </w:p>
    <w:p w14:paraId="75838234">
      <w:pPr>
        <w:widowControl/>
        <w:tabs>
          <w:tab w:val="center" w:pos="4201"/>
          <w:tab w:val="right" w:leader="dot" w:pos="9298"/>
        </w:tabs>
        <w:autoSpaceDE w:val="0"/>
        <w:autoSpaceDN w:val="0"/>
        <w:spacing w:line="360" w:lineRule="auto"/>
        <w:jc w:val="center"/>
        <w:rPr>
          <w:rFonts w:ascii="宋体" w:hAnsi="Times New Roman" w:eastAsia="宋体" w:cs="Times New Roman"/>
          <w:color w:val="0000FF"/>
          <w:kern w:val="0"/>
          <w:szCs w:val="20"/>
        </w:rPr>
      </w:pPr>
      <w:r>
        <w:object>
          <v:shape id="_x0000_i1029" o:spt="75" type="#_x0000_t75" style="height:365.65pt;width:414.45pt;" o:ole="t" filled="f" o:preferrelative="t" stroked="f" coordsize="21600,21600">
            <v:path/>
            <v:fill on="f" focussize="0,0"/>
            <v:stroke on="f" joinstyle="miter"/>
            <v:imagedata r:id="rId20" cropleft="14430f" cropright="14336f" o:title=""/>
            <o:lock v:ext="edit" aspectratio="t"/>
            <w10:wrap type="none"/>
            <w10:anchorlock/>
          </v:shape>
          <o:OLEObject Type="Embed" ProgID="GstarCAD.Drawing.22" ShapeID="_x0000_i1029" DrawAspect="Content" ObjectID="_1468075729" r:id="rId19">
            <o:LockedField>false</o:LockedField>
          </o:OLEObject>
        </w:object>
      </w:r>
    </w:p>
    <w:p w14:paraId="5126F701">
      <w:pPr>
        <w:widowControl/>
        <w:tabs>
          <w:tab w:val="center" w:pos="4201"/>
          <w:tab w:val="right" w:leader="dot" w:pos="9298"/>
        </w:tabs>
        <w:autoSpaceDE w:val="0"/>
        <w:autoSpaceDN w:val="0"/>
        <w:jc w:val="center"/>
        <w:rPr>
          <w:rFonts w:ascii="宋体" w:hAnsi="Times New Roman" w:eastAsia="宋体" w:cs="Times New Roman"/>
          <w:kern w:val="0"/>
          <w:szCs w:val="20"/>
        </w:rPr>
      </w:pPr>
    </w:p>
    <w:p w14:paraId="5EDED3C7">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图A-</w:t>
      </w:r>
      <w:r>
        <w:rPr>
          <w:rFonts w:hint="eastAsia" w:ascii="宋体" w:hAnsi="Times New Roman" w:eastAsia="宋体" w:cs="Times New Roman"/>
          <w:b/>
          <w:kern w:val="0"/>
          <w:szCs w:val="20"/>
          <w:lang w:val="en-US" w:eastAsia="zh-CN"/>
        </w:rPr>
        <w:t>5</w:t>
      </w:r>
      <w:r>
        <w:rPr>
          <w:rFonts w:hint="eastAsia" w:ascii="宋体" w:hAnsi="Times New Roman" w:eastAsia="宋体" w:cs="Times New Roman"/>
          <w:b/>
          <w:kern w:val="0"/>
          <w:szCs w:val="20"/>
        </w:rPr>
        <w:t xml:space="preserve"> </w:t>
      </w:r>
      <w:r>
        <w:rPr>
          <w:rFonts w:hint="eastAsia"/>
          <w:b/>
        </w:rPr>
        <w:t>冷凝+膜分离回收典型工艺流程</w:t>
      </w:r>
    </w:p>
    <w:p w14:paraId="7E95391B">
      <w:pPr>
        <w:widowControl/>
        <w:jc w:val="left"/>
        <w:rPr>
          <w:rFonts w:ascii="宋体" w:hAnsi="Times New Roman" w:eastAsia="宋体" w:cs="Times New Roman"/>
          <w:b/>
          <w:color w:val="0000FF"/>
          <w:kern w:val="0"/>
          <w:szCs w:val="20"/>
        </w:rPr>
      </w:pPr>
      <w:r>
        <w:rPr>
          <w:rFonts w:ascii="宋体" w:hAnsi="Times New Roman" w:eastAsia="宋体" w:cs="Times New Roman"/>
          <w:b/>
          <w:color w:val="0000FF"/>
          <w:kern w:val="0"/>
          <w:szCs w:val="20"/>
        </w:rPr>
        <w:br w:type="page"/>
      </w:r>
    </w:p>
    <w:p w14:paraId="215B10A8">
      <w:pPr>
        <w:pStyle w:val="2"/>
        <w:jc w:val="center"/>
        <w:rPr>
          <w:rFonts w:ascii="黑体" w:hAnsi="黑体" w:eastAsia="黑体" w:cs="黑体"/>
          <w:sz w:val="28"/>
          <w:szCs w:val="28"/>
        </w:rPr>
      </w:pPr>
      <w:bookmarkStart w:id="148" w:name="_Toc206080487"/>
      <w:bookmarkStart w:id="149" w:name="_Toc206171723"/>
      <w:bookmarkStart w:id="150" w:name="_Toc206160078"/>
      <w:bookmarkStart w:id="151" w:name="_Toc206073875"/>
      <w:r>
        <w:rPr>
          <w:rFonts w:hint="eastAsia"/>
          <w:sz w:val="28"/>
          <w:szCs w:val="28"/>
        </w:rPr>
        <w:t>附录B</w:t>
      </w:r>
      <w:r>
        <w:rPr>
          <w:sz w:val="28"/>
          <w:szCs w:val="28"/>
        </w:rPr>
        <w:t xml:space="preserve">  </w:t>
      </w:r>
      <w:r>
        <w:rPr>
          <w:rFonts w:hint="eastAsia"/>
          <w:sz w:val="28"/>
          <w:szCs w:val="28"/>
        </w:rPr>
        <w:t>主要控制项目</w:t>
      </w:r>
      <w:bookmarkEnd w:id="148"/>
      <w:bookmarkEnd w:id="149"/>
      <w:bookmarkEnd w:id="150"/>
      <w:bookmarkEnd w:id="151"/>
    </w:p>
    <w:tbl>
      <w:tblPr>
        <w:tblStyle w:val="3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1412"/>
        <w:gridCol w:w="1417"/>
        <w:gridCol w:w="1559"/>
        <w:gridCol w:w="1560"/>
      </w:tblGrid>
      <w:tr w14:paraId="7BC4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11" w:type="dxa"/>
            <w:vAlign w:val="center"/>
          </w:tcPr>
          <w:p w14:paraId="0A5FC335">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测控回路</w:t>
            </w:r>
          </w:p>
        </w:tc>
        <w:tc>
          <w:tcPr>
            <w:tcW w:w="1412" w:type="dxa"/>
            <w:vAlign w:val="center"/>
          </w:tcPr>
          <w:p w14:paraId="16D07750">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冷凝法</w:t>
            </w:r>
          </w:p>
        </w:tc>
        <w:tc>
          <w:tcPr>
            <w:tcW w:w="1417" w:type="dxa"/>
            <w:vAlign w:val="center"/>
          </w:tcPr>
          <w:p w14:paraId="567DEE3C">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冷凝+吸附</w:t>
            </w:r>
          </w:p>
        </w:tc>
        <w:tc>
          <w:tcPr>
            <w:tcW w:w="1559" w:type="dxa"/>
            <w:vAlign w:val="center"/>
          </w:tcPr>
          <w:p w14:paraId="38295A26">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冷凝+吸收</w:t>
            </w:r>
          </w:p>
        </w:tc>
        <w:tc>
          <w:tcPr>
            <w:tcW w:w="1560" w:type="dxa"/>
            <w:vAlign w:val="center"/>
          </w:tcPr>
          <w:p w14:paraId="2574424B">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冷凝+膜分离</w:t>
            </w:r>
          </w:p>
        </w:tc>
      </w:tr>
      <w:tr w14:paraId="0E07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3915C478">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气体压力控制</w:t>
            </w:r>
          </w:p>
        </w:tc>
        <w:tc>
          <w:tcPr>
            <w:tcW w:w="1412" w:type="dxa"/>
            <w:vAlign w:val="center"/>
          </w:tcPr>
          <w:p w14:paraId="131F0E3B">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417" w:type="dxa"/>
            <w:vAlign w:val="center"/>
          </w:tcPr>
          <w:p w14:paraId="2971B0B9">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09956108">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42B82FBF">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r>
      <w:tr w14:paraId="70F7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61602DF8">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各处气体温度控制</w:t>
            </w:r>
          </w:p>
        </w:tc>
        <w:tc>
          <w:tcPr>
            <w:tcW w:w="1412" w:type="dxa"/>
            <w:vAlign w:val="center"/>
          </w:tcPr>
          <w:p w14:paraId="41D06F97">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417" w:type="dxa"/>
            <w:vAlign w:val="center"/>
          </w:tcPr>
          <w:p w14:paraId="7455CE4B">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1AD7F64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6A10C6E8">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r>
      <w:tr w14:paraId="71B2C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5EA0D27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制冷机负荷控制</w:t>
            </w:r>
          </w:p>
        </w:tc>
        <w:tc>
          <w:tcPr>
            <w:tcW w:w="1412" w:type="dxa"/>
            <w:vAlign w:val="center"/>
          </w:tcPr>
          <w:p w14:paraId="5AB66E9A">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417" w:type="dxa"/>
            <w:vAlign w:val="center"/>
          </w:tcPr>
          <w:p w14:paraId="23BDE835">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4782001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6149323D">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r>
      <w:tr w14:paraId="206E1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455FE57D">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制冷剂流量控制</w:t>
            </w:r>
          </w:p>
        </w:tc>
        <w:tc>
          <w:tcPr>
            <w:tcW w:w="1412" w:type="dxa"/>
            <w:vAlign w:val="center"/>
          </w:tcPr>
          <w:p w14:paraId="0AF3D43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417" w:type="dxa"/>
            <w:vAlign w:val="center"/>
          </w:tcPr>
          <w:p w14:paraId="471FFED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318164CA">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4C04609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r>
      <w:tr w14:paraId="377FF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51DB7209">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储液罐液位控制</w:t>
            </w:r>
          </w:p>
        </w:tc>
        <w:tc>
          <w:tcPr>
            <w:tcW w:w="1412" w:type="dxa"/>
            <w:vAlign w:val="center"/>
          </w:tcPr>
          <w:p w14:paraId="6AB2A08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417" w:type="dxa"/>
            <w:vAlign w:val="center"/>
          </w:tcPr>
          <w:p w14:paraId="61C646E5">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0E9A9AD5">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5C329679">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5ADEF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4431A716">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吸附罐再生周期顺控</w:t>
            </w:r>
          </w:p>
        </w:tc>
        <w:tc>
          <w:tcPr>
            <w:tcW w:w="1412" w:type="dxa"/>
            <w:vAlign w:val="center"/>
          </w:tcPr>
          <w:p w14:paraId="3FE3C72A">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205C7DBC">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17506938">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02E14D9C">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48F11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37F3C02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吸附系统顺序控制</w:t>
            </w:r>
          </w:p>
        </w:tc>
        <w:tc>
          <w:tcPr>
            <w:tcW w:w="1412" w:type="dxa"/>
            <w:vAlign w:val="center"/>
          </w:tcPr>
          <w:p w14:paraId="1D1E5F19">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313302E5">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59" w:type="dxa"/>
            <w:vAlign w:val="center"/>
          </w:tcPr>
          <w:p w14:paraId="0D02E99B">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43C88DB0">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7C972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632AD3D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吸收塔液位</w:t>
            </w:r>
          </w:p>
        </w:tc>
        <w:tc>
          <w:tcPr>
            <w:tcW w:w="1412" w:type="dxa"/>
            <w:vAlign w:val="center"/>
          </w:tcPr>
          <w:p w14:paraId="7D0CAE92">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6A921956">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01E2F3A7">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7AAA075C">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5E020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4F13A27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吸收液温度</w:t>
            </w:r>
          </w:p>
        </w:tc>
        <w:tc>
          <w:tcPr>
            <w:tcW w:w="1412" w:type="dxa"/>
            <w:vAlign w:val="center"/>
          </w:tcPr>
          <w:p w14:paraId="3F4BF11E">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5F6DCF7B">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12BD9BBF">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0F0C9DBF">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5F52F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0FA2D1EB">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吸收液流量</w:t>
            </w:r>
          </w:p>
        </w:tc>
        <w:tc>
          <w:tcPr>
            <w:tcW w:w="1412" w:type="dxa"/>
            <w:vAlign w:val="center"/>
          </w:tcPr>
          <w:p w14:paraId="745BD991">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02B68E89">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3086BED0">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c>
          <w:tcPr>
            <w:tcW w:w="1560" w:type="dxa"/>
            <w:vAlign w:val="center"/>
          </w:tcPr>
          <w:p w14:paraId="3C530F60">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0F05F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0BD783CC">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真空泵进口压力</w:t>
            </w:r>
          </w:p>
        </w:tc>
        <w:tc>
          <w:tcPr>
            <w:tcW w:w="1412" w:type="dxa"/>
            <w:vAlign w:val="center"/>
          </w:tcPr>
          <w:p w14:paraId="65E7D397">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09AD47B0">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57A3D9C4">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43E6223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w:t>
            </w:r>
          </w:p>
        </w:tc>
      </w:tr>
      <w:tr w14:paraId="1170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72E56082">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2" w:type="dxa"/>
            <w:vAlign w:val="center"/>
          </w:tcPr>
          <w:p w14:paraId="64B440AD">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72222AF3">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23D6A105">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7BEBF04A">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1B97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275A44CF">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2" w:type="dxa"/>
            <w:vAlign w:val="center"/>
          </w:tcPr>
          <w:p w14:paraId="4D0E7CB6">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3FD31ED8">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21531E4F">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0CBE8E60">
            <w:pPr>
              <w:widowControl/>
              <w:tabs>
                <w:tab w:val="center" w:pos="4201"/>
                <w:tab w:val="right" w:leader="dot" w:pos="9298"/>
              </w:tabs>
              <w:autoSpaceDE w:val="0"/>
              <w:autoSpaceDN w:val="0"/>
              <w:jc w:val="center"/>
              <w:rPr>
                <w:rFonts w:ascii="宋体" w:hAnsi="Times New Roman" w:eastAsia="宋体" w:cs="Times New Roman"/>
                <w:kern w:val="0"/>
                <w:szCs w:val="20"/>
              </w:rPr>
            </w:pPr>
          </w:p>
        </w:tc>
      </w:tr>
      <w:tr w14:paraId="6567B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1" w:type="dxa"/>
            <w:vAlign w:val="center"/>
          </w:tcPr>
          <w:p w14:paraId="1FC1D632">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2" w:type="dxa"/>
            <w:vAlign w:val="center"/>
          </w:tcPr>
          <w:p w14:paraId="6A430824">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417" w:type="dxa"/>
            <w:vAlign w:val="center"/>
          </w:tcPr>
          <w:p w14:paraId="289C2DF6">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9" w:type="dxa"/>
            <w:vAlign w:val="center"/>
          </w:tcPr>
          <w:p w14:paraId="0A9C0AE4">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60" w:type="dxa"/>
            <w:vAlign w:val="center"/>
          </w:tcPr>
          <w:p w14:paraId="1F5A7C1C">
            <w:pPr>
              <w:widowControl/>
              <w:tabs>
                <w:tab w:val="center" w:pos="4201"/>
                <w:tab w:val="right" w:leader="dot" w:pos="9298"/>
              </w:tabs>
              <w:autoSpaceDE w:val="0"/>
              <w:autoSpaceDN w:val="0"/>
              <w:jc w:val="center"/>
              <w:rPr>
                <w:rFonts w:ascii="宋体" w:hAnsi="Times New Roman" w:eastAsia="宋体" w:cs="Times New Roman"/>
                <w:kern w:val="0"/>
                <w:szCs w:val="20"/>
              </w:rPr>
            </w:pPr>
          </w:p>
        </w:tc>
      </w:tr>
    </w:tbl>
    <w:p w14:paraId="56C721D8">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4B8BBAEE">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2BF35FA6">
      <w:pPr>
        <w:pStyle w:val="2"/>
        <w:jc w:val="center"/>
        <w:rPr>
          <w:rFonts w:ascii="黑体" w:hAnsi="黑体" w:eastAsia="黑体" w:cs="黑体"/>
          <w:sz w:val="28"/>
          <w:szCs w:val="28"/>
        </w:rPr>
      </w:pPr>
      <w:bookmarkStart w:id="152" w:name="_Toc206171724"/>
      <w:bookmarkStart w:id="153" w:name="_Toc206160079"/>
      <w:bookmarkStart w:id="154" w:name="_Toc206080488"/>
      <w:bookmarkStart w:id="155" w:name="_Toc206073876"/>
      <w:r>
        <w:rPr>
          <w:rFonts w:hint="eastAsia"/>
          <w:sz w:val="28"/>
          <w:szCs w:val="28"/>
        </w:rPr>
        <w:t>附录C</w:t>
      </w:r>
      <w:r>
        <w:rPr>
          <w:sz w:val="28"/>
          <w:szCs w:val="28"/>
        </w:rPr>
        <w:t xml:space="preserve">  </w:t>
      </w:r>
      <w:r>
        <w:rPr>
          <w:rFonts w:hint="eastAsia"/>
          <w:sz w:val="28"/>
          <w:szCs w:val="28"/>
        </w:rPr>
        <w:t>主要报警联锁项目</w:t>
      </w:r>
      <w:bookmarkEnd w:id="152"/>
      <w:bookmarkEnd w:id="153"/>
      <w:bookmarkEnd w:id="154"/>
      <w:bookmarkEnd w:id="155"/>
    </w:p>
    <w:tbl>
      <w:tblPr>
        <w:tblStyle w:val="3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1554"/>
        <w:gridCol w:w="1418"/>
        <w:gridCol w:w="1417"/>
        <w:gridCol w:w="1418"/>
      </w:tblGrid>
      <w:tr w14:paraId="3673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2" w:type="dxa"/>
            <w:vAlign w:val="center"/>
          </w:tcPr>
          <w:p w14:paraId="7549CC58">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测控回路</w:t>
            </w:r>
          </w:p>
        </w:tc>
        <w:tc>
          <w:tcPr>
            <w:tcW w:w="1554" w:type="dxa"/>
            <w:vAlign w:val="center"/>
          </w:tcPr>
          <w:p w14:paraId="2B31376B">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显示</w:t>
            </w:r>
          </w:p>
        </w:tc>
        <w:tc>
          <w:tcPr>
            <w:tcW w:w="1418" w:type="dxa"/>
            <w:vAlign w:val="center"/>
          </w:tcPr>
          <w:p w14:paraId="036F037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报警</w:t>
            </w:r>
          </w:p>
        </w:tc>
        <w:tc>
          <w:tcPr>
            <w:tcW w:w="1417" w:type="dxa"/>
            <w:vAlign w:val="center"/>
          </w:tcPr>
          <w:p w14:paraId="54E42413">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联锁</w:t>
            </w:r>
          </w:p>
        </w:tc>
        <w:tc>
          <w:tcPr>
            <w:tcW w:w="1418" w:type="dxa"/>
            <w:vAlign w:val="center"/>
          </w:tcPr>
          <w:p w14:paraId="4F48C9D0">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备注</w:t>
            </w:r>
          </w:p>
        </w:tc>
      </w:tr>
      <w:tr w14:paraId="3D5C0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77BBD391">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气体压力高</w:t>
            </w:r>
          </w:p>
        </w:tc>
        <w:tc>
          <w:tcPr>
            <w:tcW w:w="1554" w:type="dxa"/>
            <w:vAlign w:val="center"/>
          </w:tcPr>
          <w:p w14:paraId="7BB0659F">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2137120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58BAE0E5">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145288EF">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73C73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38469A45">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气体温度高</w:t>
            </w:r>
          </w:p>
        </w:tc>
        <w:tc>
          <w:tcPr>
            <w:tcW w:w="1554" w:type="dxa"/>
            <w:vAlign w:val="center"/>
          </w:tcPr>
          <w:p w14:paraId="07992D19">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04567E2A">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0532C5B6">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07D7904B">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7E321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5B84B52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气体温度低</w:t>
            </w:r>
          </w:p>
        </w:tc>
        <w:tc>
          <w:tcPr>
            <w:tcW w:w="1554" w:type="dxa"/>
            <w:vAlign w:val="center"/>
          </w:tcPr>
          <w:p w14:paraId="0D278493">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1AA38242">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0DC8DEF1">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6E1D8988">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7E3D6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1E7E2562">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制冷剂流量低</w:t>
            </w:r>
          </w:p>
        </w:tc>
        <w:tc>
          <w:tcPr>
            <w:tcW w:w="1554" w:type="dxa"/>
            <w:vAlign w:val="center"/>
          </w:tcPr>
          <w:p w14:paraId="686CD559">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1D72DCB8">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5A8A5370">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07AFCC4D">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14CB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1588C0D4">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储液罐液位高</w:t>
            </w:r>
          </w:p>
        </w:tc>
        <w:tc>
          <w:tcPr>
            <w:tcW w:w="1554" w:type="dxa"/>
            <w:vAlign w:val="center"/>
          </w:tcPr>
          <w:p w14:paraId="3A5A3AE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272F2A4E">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5776CC8C">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03920B60">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2F05C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29E47D5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储液罐液位低</w:t>
            </w:r>
          </w:p>
        </w:tc>
        <w:tc>
          <w:tcPr>
            <w:tcW w:w="1554" w:type="dxa"/>
            <w:vAlign w:val="center"/>
          </w:tcPr>
          <w:p w14:paraId="3DA8B371">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629717A5">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59730BC7">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2D97AE48">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2EE1C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0B2D63FB">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冷凝器压差高</w:t>
            </w:r>
          </w:p>
        </w:tc>
        <w:tc>
          <w:tcPr>
            <w:tcW w:w="1554" w:type="dxa"/>
            <w:vAlign w:val="center"/>
          </w:tcPr>
          <w:p w14:paraId="67614BC7">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4855558D">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0CBFE50E">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38C313F7">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074CB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2EC9762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吸附罐温度高</w:t>
            </w:r>
          </w:p>
        </w:tc>
        <w:tc>
          <w:tcPr>
            <w:tcW w:w="1554" w:type="dxa"/>
            <w:vAlign w:val="center"/>
          </w:tcPr>
          <w:p w14:paraId="01C5EFBD">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68345451">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3A9390ED">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4A2BA458">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14D91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44228603">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吸附罐压差高</w:t>
            </w:r>
          </w:p>
        </w:tc>
        <w:tc>
          <w:tcPr>
            <w:tcW w:w="1554" w:type="dxa"/>
            <w:vAlign w:val="center"/>
          </w:tcPr>
          <w:p w14:paraId="7B7BF17C">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6958298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763D98B2">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3417EC83">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0CB6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19A7435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吸收塔液位高</w:t>
            </w:r>
          </w:p>
        </w:tc>
        <w:tc>
          <w:tcPr>
            <w:tcW w:w="1554" w:type="dxa"/>
            <w:vAlign w:val="center"/>
          </w:tcPr>
          <w:p w14:paraId="40D026FE">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76157334">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2FF17FF6">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5EC6D3C3">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696E8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59F26EE4">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吸收塔液位低</w:t>
            </w:r>
          </w:p>
        </w:tc>
        <w:tc>
          <w:tcPr>
            <w:tcW w:w="1554" w:type="dxa"/>
            <w:vAlign w:val="center"/>
          </w:tcPr>
          <w:p w14:paraId="4494F533">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165E6A1F">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3F19DA23">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5DD2575D">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4D5D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1E1ED961">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吸收液温度高</w:t>
            </w:r>
          </w:p>
        </w:tc>
        <w:tc>
          <w:tcPr>
            <w:tcW w:w="1554" w:type="dxa"/>
            <w:vAlign w:val="center"/>
          </w:tcPr>
          <w:p w14:paraId="20862041">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3611CF59">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644C5382">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5F2C9BAF">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2F0B4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151C1116">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吸收塔压降高</w:t>
            </w:r>
          </w:p>
        </w:tc>
        <w:tc>
          <w:tcPr>
            <w:tcW w:w="1554" w:type="dxa"/>
            <w:vAlign w:val="center"/>
          </w:tcPr>
          <w:p w14:paraId="70C8257F">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21C79757">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010596F6">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4E7D113D">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3B52E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5DEFF46E">
            <w:pPr>
              <w:widowControl/>
              <w:tabs>
                <w:tab w:val="center" w:pos="4201"/>
                <w:tab w:val="right" w:leader="dot" w:pos="9298"/>
              </w:tabs>
              <w:autoSpaceDE w:val="0"/>
              <w:autoSpaceDN w:val="0"/>
              <w:jc w:val="center"/>
              <w:rPr>
                <w:rFonts w:ascii="宋体" w:hAnsi="Times New Roman" w:eastAsia="宋体" w:cs="Times New Roman"/>
                <w:kern w:val="0"/>
                <w:szCs w:val="20"/>
              </w:rPr>
            </w:pPr>
            <w:r>
              <w:rPr>
                <w:rFonts w:hint="eastAsia" w:ascii="宋体" w:hAnsi="Times New Roman" w:eastAsia="宋体" w:cs="Times New Roman"/>
                <w:kern w:val="0"/>
                <w:szCs w:val="20"/>
              </w:rPr>
              <w:t>膜组件压降高</w:t>
            </w:r>
          </w:p>
        </w:tc>
        <w:tc>
          <w:tcPr>
            <w:tcW w:w="1554" w:type="dxa"/>
            <w:vAlign w:val="center"/>
          </w:tcPr>
          <w:p w14:paraId="59811885">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523D9F01">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7" w:type="dxa"/>
            <w:vAlign w:val="center"/>
          </w:tcPr>
          <w:p w14:paraId="2109B7BE">
            <w:pPr>
              <w:widowControl/>
              <w:tabs>
                <w:tab w:val="center" w:pos="4201"/>
                <w:tab w:val="right" w:leader="dot" w:pos="9298"/>
              </w:tabs>
              <w:autoSpaceDE w:val="0"/>
              <w:autoSpaceDN w:val="0"/>
              <w:jc w:val="center"/>
              <w:rPr>
                <w:rFonts w:ascii="宋体" w:hAnsi="Times New Roman" w:eastAsia="宋体" w:cs="Times New Roman"/>
                <w:b/>
                <w:kern w:val="0"/>
                <w:szCs w:val="20"/>
              </w:rPr>
            </w:pPr>
            <w:r>
              <w:rPr>
                <w:rFonts w:hint="eastAsia" w:ascii="宋体" w:hAnsi="Times New Roman" w:eastAsia="宋体" w:cs="Times New Roman"/>
                <w:b/>
                <w:kern w:val="0"/>
                <w:szCs w:val="20"/>
              </w:rPr>
              <w:t>√</w:t>
            </w:r>
          </w:p>
        </w:tc>
        <w:tc>
          <w:tcPr>
            <w:tcW w:w="1418" w:type="dxa"/>
            <w:vAlign w:val="center"/>
          </w:tcPr>
          <w:p w14:paraId="0CDAA75A">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082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4FDFCA6B">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4" w:type="dxa"/>
            <w:vAlign w:val="center"/>
          </w:tcPr>
          <w:p w14:paraId="57655412">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583EA95B">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7" w:type="dxa"/>
            <w:vAlign w:val="center"/>
          </w:tcPr>
          <w:p w14:paraId="76F3FCB8">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093317EE">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6123B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24B417A8">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4" w:type="dxa"/>
            <w:vAlign w:val="center"/>
          </w:tcPr>
          <w:p w14:paraId="2BFC4879">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08750587">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7" w:type="dxa"/>
            <w:vAlign w:val="center"/>
          </w:tcPr>
          <w:p w14:paraId="0C61CF08">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1F502838">
            <w:pPr>
              <w:widowControl/>
              <w:tabs>
                <w:tab w:val="center" w:pos="4201"/>
                <w:tab w:val="right" w:leader="dot" w:pos="9298"/>
              </w:tabs>
              <w:autoSpaceDE w:val="0"/>
              <w:autoSpaceDN w:val="0"/>
              <w:jc w:val="center"/>
              <w:rPr>
                <w:rFonts w:ascii="宋体" w:hAnsi="Times New Roman" w:eastAsia="宋体" w:cs="Times New Roman"/>
                <w:b/>
                <w:kern w:val="0"/>
                <w:szCs w:val="20"/>
              </w:rPr>
            </w:pPr>
          </w:p>
        </w:tc>
      </w:tr>
      <w:tr w14:paraId="31CD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52" w:type="dxa"/>
            <w:vAlign w:val="center"/>
          </w:tcPr>
          <w:p w14:paraId="7BF90F9E">
            <w:pPr>
              <w:widowControl/>
              <w:tabs>
                <w:tab w:val="center" w:pos="4201"/>
                <w:tab w:val="right" w:leader="dot" w:pos="9298"/>
              </w:tabs>
              <w:autoSpaceDE w:val="0"/>
              <w:autoSpaceDN w:val="0"/>
              <w:jc w:val="center"/>
              <w:rPr>
                <w:rFonts w:ascii="宋体" w:hAnsi="Times New Roman" w:eastAsia="宋体" w:cs="Times New Roman"/>
                <w:kern w:val="0"/>
                <w:szCs w:val="20"/>
              </w:rPr>
            </w:pPr>
          </w:p>
        </w:tc>
        <w:tc>
          <w:tcPr>
            <w:tcW w:w="1554" w:type="dxa"/>
            <w:vAlign w:val="center"/>
          </w:tcPr>
          <w:p w14:paraId="1CD92759">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51C73A0D">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7" w:type="dxa"/>
            <w:vAlign w:val="center"/>
          </w:tcPr>
          <w:p w14:paraId="630AF1D1">
            <w:pPr>
              <w:widowControl/>
              <w:tabs>
                <w:tab w:val="center" w:pos="4201"/>
                <w:tab w:val="right" w:leader="dot" w:pos="9298"/>
              </w:tabs>
              <w:autoSpaceDE w:val="0"/>
              <w:autoSpaceDN w:val="0"/>
              <w:jc w:val="center"/>
              <w:rPr>
                <w:rFonts w:ascii="宋体" w:hAnsi="Times New Roman" w:eastAsia="宋体" w:cs="Times New Roman"/>
                <w:b/>
                <w:kern w:val="0"/>
                <w:szCs w:val="20"/>
              </w:rPr>
            </w:pPr>
          </w:p>
        </w:tc>
        <w:tc>
          <w:tcPr>
            <w:tcW w:w="1418" w:type="dxa"/>
            <w:vAlign w:val="center"/>
          </w:tcPr>
          <w:p w14:paraId="35EBCAC0">
            <w:pPr>
              <w:widowControl/>
              <w:tabs>
                <w:tab w:val="center" w:pos="4201"/>
                <w:tab w:val="right" w:leader="dot" w:pos="9298"/>
              </w:tabs>
              <w:autoSpaceDE w:val="0"/>
              <w:autoSpaceDN w:val="0"/>
              <w:jc w:val="center"/>
              <w:rPr>
                <w:rFonts w:ascii="宋体" w:hAnsi="Times New Roman" w:eastAsia="宋体" w:cs="Times New Roman"/>
                <w:b/>
                <w:kern w:val="0"/>
                <w:szCs w:val="20"/>
              </w:rPr>
            </w:pPr>
          </w:p>
        </w:tc>
      </w:tr>
    </w:tbl>
    <w:p w14:paraId="7D5739C9">
      <w:pPr>
        <w:widowControl/>
        <w:tabs>
          <w:tab w:val="center" w:pos="4201"/>
          <w:tab w:val="right" w:leader="dot" w:pos="9298"/>
        </w:tabs>
        <w:autoSpaceDE w:val="0"/>
        <w:autoSpaceDN w:val="0"/>
        <w:jc w:val="left"/>
        <w:rPr>
          <w:rFonts w:ascii="宋体" w:hAnsi="Times New Roman" w:eastAsia="宋体" w:cs="Times New Roman"/>
          <w:kern w:val="0"/>
          <w:szCs w:val="20"/>
        </w:rPr>
      </w:pPr>
    </w:p>
    <w:p w14:paraId="2E31B6EF">
      <w:pPr>
        <w:widowControl/>
        <w:jc w:val="left"/>
        <w:sectPr>
          <w:pgSz w:w="11906" w:h="16838"/>
          <w:pgMar w:top="1440" w:right="1797" w:bottom="1134" w:left="1797" w:header="851" w:footer="992" w:gutter="0"/>
          <w:cols w:space="425" w:num="1"/>
          <w:docGrid w:linePitch="312" w:charSpace="0"/>
        </w:sectPr>
      </w:pPr>
      <w:r>
        <w:br w:type="page"/>
      </w:r>
    </w:p>
    <w:p w14:paraId="269950E0">
      <w:pPr>
        <w:spacing w:line="109" w:lineRule="auto"/>
        <w:rPr>
          <w:rFonts w:ascii="Arial"/>
          <w:sz w:val="2"/>
        </w:rPr>
      </w:pPr>
    </w:p>
    <w:p w14:paraId="68CDCA64">
      <w:pPr>
        <w:keepNext/>
        <w:tabs>
          <w:tab w:val="right" w:pos="1080"/>
          <w:tab w:val="left" w:pos="1162"/>
          <w:tab w:val="right" w:pos="9360"/>
        </w:tabs>
        <w:jc w:val="center"/>
        <w:outlineLvl w:val="0"/>
        <w:rPr>
          <w:rFonts w:ascii="宋体" w:hAnsi="宋体" w:cs="宋体"/>
          <w:b/>
          <w:bCs/>
          <w:sz w:val="32"/>
        </w:rPr>
      </w:pPr>
      <w:bookmarkStart w:id="156" w:name="_Toc206160080"/>
      <w:bookmarkStart w:id="157" w:name="_Toc206171725"/>
      <w:bookmarkStart w:id="158" w:name="_Toc206080489"/>
      <w:bookmarkStart w:id="159" w:name="_Toc145683587"/>
      <w:bookmarkStart w:id="160" w:name="_Toc145683528"/>
      <w:bookmarkStart w:id="161" w:name="_Toc206073877"/>
      <w:r>
        <w:rPr>
          <w:rFonts w:hint="eastAsia" w:ascii="宋体" w:hAnsi="宋体" w:cs="宋体"/>
          <w:b/>
          <w:bCs/>
          <w:sz w:val="32"/>
        </w:rPr>
        <w:t>本规范用词说明</w:t>
      </w:r>
      <w:bookmarkEnd w:id="156"/>
      <w:bookmarkEnd w:id="157"/>
      <w:bookmarkEnd w:id="158"/>
      <w:bookmarkEnd w:id="159"/>
      <w:bookmarkEnd w:id="160"/>
      <w:bookmarkEnd w:id="161"/>
    </w:p>
    <w:p w14:paraId="39DA4A73">
      <w:pPr>
        <w:widowControl/>
        <w:spacing w:line="360" w:lineRule="auto"/>
        <w:jc w:val="center"/>
        <w:rPr>
          <w:rFonts w:ascii="宋体" w:hAnsi="宋体" w:eastAsia="宋体" w:cs="仿宋"/>
          <w:b/>
          <w:sz w:val="28"/>
          <w:szCs w:val="28"/>
        </w:rPr>
      </w:pPr>
    </w:p>
    <w:p w14:paraId="0666FBBE">
      <w:pPr>
        <w:numPr>
          <w:ilvl w:val="0"/>
          <w:numId w:val="4"/>
        </w:numPr>
        <w:tabs>
          <w:tab w:val="left" w:pos="284"/>
        </w:tabs>
        <w:autoSpaceDE w:val="0"/>
        <w:autoSpaceDN w:val="0"/>
        <w:adjustRightInd w:val="0"/>
        <w:spacing w:line="360" w:lineRule="auto"/>
        <w:ind w:left="284" w:hanging="284"/>
        <w:jc w:val="left"/>
        <w:rPr>
          <w:rFonts w:ascii="宋体" w:hAnsi="宋体" w:eastAsia="宋体" w:cs="Times New Roman"/>
        </w:rPr>
      </w:pPr>
      <w:r>
        <w:rPr>
          <w:rFonts w:hint="eastAsia" w:ascii="宋体" w:hAnsi="宋体" w:eastAsia="宋体" w:cs="Times New Roman"/>
        </w:rPr>
        <w:t>为便于在使用本规范条文时能区别对待，对要求严格程度不同的用词说明如下：</w:t>
      </w:r>
    </w:p>
    <w:p w14:paraId="37D452F5">
      <w:pPr>
        <w:numPr>
          <w:ilvl w:val="1"/>
          <w:numId w:val="5"/>
        </w:numPr>
        <w:tabs>
          <w:tab w:val="left" w:pos="142"/>
          <w:tab w:val="left" w:pos="284"/>
        </w:tabs>
        <w:autoSpaceDE w:val="0"/>
        <w:autoSpaceDN w:val="0"/>
        <w:adjustRightInd w:val="0"/>
        <w:spacing w:line="360" w:lineRule="auto"/>
        <w:ind w:left="709" w:hanging="425"/>
        <w:jc w:val="left"/>
        <w:rPr>
          <w:rFonts w:ascii="宋体" w:hAnsi="宋体" w:eastAsia="宋体" w:cs="Times New Roman"/>
        </w:rPr>
      </w:pPr>
      <w:r>
        <w:rPr>
          <w:rFonts w:hint="eastAsia" w:ascii="宋体" w:hAnsi="宋体" w:eastAsia="宋体" w:cs="Times New Roman"/>
        </w:rPr>
        <w:t>表示很严格，非这样做不可的用词：</w:t>
      </w:r>
    </w:p>
    <w:p w14:paraId="677F5DEA">
      <w:pPr>
        <w:tabs>
          <w:tab w:val="left" w:pos="142"/>
          <w:tab w:val="left" w:pos="284"/>
        </w:tabs>
        <w:autoSpaceDE w:val="0"/>
        <w:autoSpaceDN w:val="0"/>
        <w:adjustRightInd w:val="0"/>
        <w:spacing w:line="360" w:lineRule="auto"/>
        <w:ind w:left="709"/>
        <w:jc w:val="left"/>
        <w:rPr>
          <w:rFonts w:ascii="宋体" w:hAnsi="宋体" w:eastAsia="宋体" w:cs="Times New Roman"/>
        </w:rPr>
      </w:pPr>
      <w:r>
        <w:rPr>
          <w:rFonts w:hint="eastAsia" w:ascii="宋体" w:hAnsi="宋体" w:eastAsia="宋体" w:cs="Times New Roman"/>
        </w:rPr>
        <w:t>正面词采用“必须”；反面词采用“严禁”。</w:t>
      </w:r>
    </w:p>
    <w:p w14:paraId="1C42BCD7">
      <w:pPr>
        <w:numPr>
          <w:ilvl w:val="1"/>
          <w:numId w:val="5"/>
        </w:numPr>
        <w:tabs>
          <w:tab w:val="left" w:pos="142"/>
          <w:tab w:val="left" w:pos="284"/>
        </w:tabs>
        <w:autoSpaceDE w:val="0"/>
        <w:autoSpaceDN w:val="0"/>
        <w:adjustRightInd w:val="0"/>
        <w:spacing w:line="360" w:lineRule="auto"/>
        <w:ind w:left="709" w:hanging="425"/>
        <w:jc w:val="left"/>
        <w:rPr>
          <w:rFonts w:ascii="宋体" w:hAnsi="宋体" w:eastAsia="宋体" w:cs="Times New Roman"/>
        </w:rPr>
      </w:pPr>
      <w:r>
        <w:rPr>
          <w:rFonts w:hint="eastAsia" w:ascii="宋体" w:hAnsi="宋体" w:eastAsia="宋体" w:cs="Times New Roman"/>
        </w:rPr>
        <w:t>表示严格，在正常情况下均应这样做的用词：</w:t>
      </w:r>
    </w:p>
    <w:p w14:paraId="47534DFC">
      <w:pPr>
        <w:tabs>
          <w:tab w:val="left" w:pos="142"/>
          <w:tab w:val="left" w:pos="284"/>
        </w:tabs>
        <w:autoSpaceDE w:val="0"/>
        <w:autoSpaceDN w:val="0"/>
        <w:adjustRightInd w:val="0"/>
        <w:spacing w:line="360" w:lineRule="auto"/>
        <w:ind w:left="709"/>
        <w:jc w:val="left"/>
        <w:rPr>
          <w:rFonts w:ascii="宋体" w:hAnsi="宋体" w:eastAsia="宋体" w:cs="Times New Roman"/>
        </w:rPr>
      </w:pPr>
      <w:r>
        <w:rPr>
          <w:rFonts w:hint="eastAsia" w:ascii="宋体" w:hAnsi="宋体" w:eastAsia="宋体" w:cs="Times New Roman"/>
        </w:rPr>
        <w:t>正面词采用“应”；反面词采用“不应”或“不得”。</w:t>
      </w:r>
    </w:p>
    <w:p w14:paraId="61E39A21">
      <w:pPr>
        <w:numPr>
          <w:ilvl w:val="1"/>
          <w:numId w:val="5"/>
        </w:numPr>
        <w:tabs>
          <w:tab w:val="left" w:pos="142"/>
          <w:tab w:val="left" w:pos="284"/>
        </w:tabs>
        <w:autoSpaceDE w:val="0"/>
        <w:autoSpaceDN w:val="0"/>
        <w:adjustRightInd w:val="0"/>
        <w:spacing w:line="360" w:lineRule="auto"/>
        <w:ind w:left="709" w:hanging="425"/>
        <w:jc w:val="left"/>
        <w:rPr>
          <w:rFonts w:ascii="宋体" w:hAnsi="宋体" w:eastAsia="宋体" w:cs="Times New Roman"/>
        </w:rPr>
      </w:pPr>
      <w:r>
        <w:rPr>
          <w:rFonts w:hint="eastAsia" w:ascii="宋体" w:hAnsi="宋体" w:eastAsia="宋体" w:cs="Times New Roman"/>
        </w:rPr>
        <w:t>表示允许稍有选择，在条件许可时首先应这样做的用词：</w:t>
      </w:r>
    </w:p>
    <w:p w14:paraId="739CDF2B">
      <w:pPr>
        <w:tabs>
          <w:tab w:val="left" w:pos="142"/>
          <w:tab w:val="left" w:pos="284"/>
        </w:tabs>
        <w:autoSpaceDE w:val="0"/>
        <w:autoSpaceDN w:val="0"/>
        <w:adjustRightInd w:val="0"/>
        <w:spacing w:line="360" w:lineRule="auto"/>
        <w:ind w:left="709"/>
        <w:jc w:val="left"/>
        <w:rPr>
          <w:rFonts w:ascii="宋体" w:hAnsi="宋体" w:eastAsia="宋体" w:cs="Times New Roman"/>
        </w:rPr>
      </w:pPr>
      <w:r>
        <w:rPr>
          <w:rFonts w:hint="eastAsia" w:ascii="宋体" w:hAnsi="宋体" w:eastAsia="宋体" w:cs="Times New Roman"/>
        </w:rPr>
        <w:t>正面词采用“宜”；反面词采用“不宜”。</w:t>
      </w:r>
    </w:p>
    <w:p w14:paraId="642A6623">
      <w:pPr>
        <w:numPr>
          <w:ilvl w:val="1"/>
          <w:numId w:val="5"/>
        </w:numPr>
        <w:tabs>
          <w:tab w:val="left" w:pos="142"/>
          <w:tab w:val="left" w:pos="284"/>
        </w:tabs>
        <w:autoSpaceDE w:val="0"/>
        <w:autoSpaceDN w:val="0"/>
        <w:adjustRightInd w:val="0"/>
        <w:spacing w:line="360" w:lineRule="auto"/>
        <w:ind w:left="709" w:hanging="425"/>
        <w:jc w:val="left"/>
        <w:rPr>
          <w:rFonts w:ascii="宋体" w:hAnsi="宋体" w:eastAsia="宋体" w:cs="Times New Roman"/>
        </w:rPr>
      </w:pPr>
      <w:r>
        <w:rPr>
          <w:rFonts w:hint="eastAsia" w:ascii="宋体" w:hAnsi="宋体" w:eastAsia="宋体" w:cs="Times New Roman"/>
        </w:rPr>
        <w:t>表示有选择，在一定条件下可以这样做，采用“可”。</w:t>
      </w:r>
    </w:p>
    <w:p w14:paraId="499D2DBF">
      <w:pPr>
        <w:numPr>
          <w:ilvl w:val="0"/>
          <w:numId w:val="4"/>
        </w:numPr>
        <w:tabs>
          <w:tab w:val="left" w:pos="284"/>
        </w:tabs>
        <w:autoSpaceDE w:val="0"/>
        <w:autoSpaceDN w:val="0"/>
        <w:adjustRightInd w:val="0"/>
        <w:spacing w:line="360" w:lineRule="auto"/>
        <w:ind w:left="284" w:hanging="284"/>
        <w:jc w:val="left"/>
        <w:rPr>
          <w:rFonts w:ascii="宋体" w:hAnsi="宋体" w:eastAsia="宋体" w:cs="Times New Roman"/>
        </w:rPr>
      </w:pPr>
      <w:r>
        <w:rPr>
          <w:rFonts w:hint="eastAsia" w:ascii="宋体" w:hAnsi="宋体" w:eastAsia="宋体" w:cs="Times New Roman"/>
        </w:rPr>
        <w:t>条文中指明应按其他有关标准执行的写法为“应符合</w:t>
      </w:r>
      <w:r>
        <w:rPr>
          <w:rFonts w:ascii="宋体" w:hAnsi="宋体" w:eastAsia="宋体" w:cs="Times New Roman"/>
        </w:rPr>
        <w:t>……</w:t>
      </w:r>
      <w:r>
        <w:rPr>
          <w:rFonts w:hint="eastAsia" w:ascii="宋体" w:hAnsi="宋体" w:eastAsia="宋体" w:cs="Times New Roman"/>
        </w:rPr>
        <w:t>的规定”或“应按</w:t>
      </w:r>
      <w:r>
        <w:rPr>
          <w:rFonts w:ascii="宋体" w:hAnsi="宋体" w:eastAsia="宋体" w:cs="Times New Roman"/>
        </w:rPr>
        <w:t>……</w:t>
      </w:r>
      <w:r>
        <w:rPr>
          <w:rFonts w:hint="eastAsia" w:ascii="宋体" w:hAnsi="宋体" w:eastAsia="宋体" w:cs="Times New Roman"/>
        </w:rPr>
        <w:t>执行”。</w:t>
      </w:r>
    </w:p>
    <w:p w14:paraId="2DF0DAD8">
      <w:pPr>
        <w:widowControl/>
        <w:spacing w:line="360" w:lineRule="auto"/>
        <w:jc w:val="center"/>
        <w:rPr>
          <w:rFonts w:ascii="宋体" w:hAnsi="宋体" w:eastAsia="宋体" w:cs="仿宋"/>
          <w:sz w:val="28"/>
          <w:szCs w:val="28"/>
        </w:rPr>
      </w:pPr>
    </w:p>
    <w:p w14:paraId="0C085DE0">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3805FFD7">
      <w:pPr>
        <w:keepNext/>
        <w:tabs>
          <w:tab w:val="right" w:pos="1080"/>
          <w:tab w:val="left" w:pos="1162"/>
          <w:tab w:val="right" w:pos="9360"/>
        </w:tabs>
        <w:jc w:val="center"/>
        <w:outlineLvl w:val="0"/>
        <w:rPr>
          <w:rFonts w:ascii="宋体" w:hAnsi="宋体" w:cs="宋体"/>
          <w:b/>
          <w:bCs/>
          <w:sz w:val="32"/>
        </w:rPr>
      </w:pPr>
      <w:bookmarkStart w:id="162" w:name="_Toc145683588"/>
      <w:bookmarkStart w:id="163" w:name="_Toc206171726"/>
      <w:bookmarkStart w:id="164" w:name="_Toc206080490"/>
      <w:bookmarkStart w:id="165" w:name="_Toc206160081"/>
      <w:bookmarkStart w:id="166" w:name="_Toc145683529"/>
      <w:bookmarkStart w:id="167" w:name="_Toc206073878"/>
      <w:r>
        <w:rPr>
          <w:rFonts w:hint="eastAsia" w:ascii="宋体" w:hAnsi="宋体" w:cs="宋体"/>
          <w:b/>
          <w:bCs/>
          <w:sz w:val="32"/>
        </w:rPr>
        <w:t>引用标准名录</w:t>
      </w:r>
      <w:bookmarkEnd w:id="162"/>
      <w:bookmarkEnd w:id="163"/>
      <w:bookmarkEnd w:id="164"/>
      <w:bookmarkEnd w:id="165"/>
      <w:bookmarkEnd w:id="166"/>
      <w:bookmarkEnd w:id="167"/>
    </w:p>
    <w:p w14:paraId="5934AE0D">
      <w:pPr>
        <w:widowControl/>
        <w:spacing w:line="360" w:lineRule="auto"/>
        <w:jc w:val="center"/>
        <w:rPr>
          <w:rFonts w:ascii="宋体" w:hAnsi="宋体" w:eastAsia="宋体" w:cs="Arial"/>
        </w:rPr>
      </w:pPr>
    </w:p>
    <w:p w14:paraId="341FA985">
      <w:pPr>
        <w:widowControl/>
        <w:spacing w:line="360" w:lineRule="auto"/>
        <w:jc w:val="left"/>
        <w:rPr>
          <w:rFonts w:hint="eastAsia" w:ascii="宋体" w:hAnsi="宋体" w:eastAsia="宋体" w:cs="Arial"/>
        </w:rPr>
      </w:pPr>
      <w:r>
        <w:rPr>
          <w:rFonts w:hint="eastAsia" w:ascii="宋体" w:hAnsi="宋体" w:eastAsia="宋体" w:cs="Arial"/>
        </w:rPr>
        <w:t xml:space="preserve">GB 31571 </w:t>
      </w:r>
      <w:r>
        <w:rPr>
          <w:rFonts w:hint="eastAsia" w:ascii="宋体" w:hAnsi="宋体" w:eastAsia="宋体" w:cs="Arial"/>
          <w:lang w:val="en-US" w:eastAsia="zh-CN"/>
        </w:rPr>
        <w:t xml:space="preserve">           </w:t>
      </w:r>
      <w:r>
        <w:rPr>
          <w:rFonts w:hint="eastAsia" w:ascii="宋体" w:hAnsi="宋体" w:eastAsia="宋体" w:cs="Arial"/>
        </w:rPr>
        <w:t>石油化学工业污染物排放标准</w:t>
      </w:r>
    </w:p>
    <w:p w14:paraId="1F11E588">
      <w:pPr>
        <w:widowControl/>
        <w:spacing w:line="360" w:lineRule="auto"/>
        <w:jc w:val="left"/>
        <w:rPr>
          <w:rFonts w:hint="eastAsia" w:ascii="宋体" w:hAnsi="宋体" w:eastAsia="宋体" w:cs="Arial"/>
        </w:rPr>
      </w:pPr>
      <w:r>
        <w:rPr>
          <w:rFonts w:hint="eastAsia" w:ascii="宋体" w:hAnsi="宋体" w:eastAsia="宋体" w:cs="Arial"/>
        </w:rPr>
        <w:t xml:space="preserve">GB 50057 </w:t>
      </w:r>
      <w:r>
        <w:rPr>
          <w:rFonts w:hint="eastAsia" w:ascii="宋体" w:hAnsi="宋体" w:eastAsia="宋体" w:cs="Arial"/>
          <w:lang w:val="en-US" w:eastAsia="zh-CN"/>
        </w:rPr>
        <w:t xml:space="preserve">           </w:t>
      </w:r>
      <w:r>
        <w:rPr>
          <w:rFonts w:hint="eastAsia" w:ascii="宋体" w:hAnsi="宋体" w:eastAsia="宋体" w:cs="Arial"/>
        </w:rPr>
        <w:t>建筑物防雷设计规范</w:t>
      </w:r>
    </w:p>
    <w:p w14:paraId="7FF09298">
      <w:pPr>
        <w:widowControl/>
        <w:spacing w:line="360" w:lineRule="auto"/>
        <w:jc w:val="left"/>
        <w:rPr>
          <w:rFonts w:hint="eastAsia" w:ascii="宋体" w:hAnsi="宋体" w:eastAsia="宋体" w:cs="Arial"/>
        </w:rPr>
      </w:pPr>
      <w:r>
        <w:rPr>
          <w:rFonts w:hint="eastAsia" w:ascii="宋体" w:hAnsi="宋体" w:eastAsia="宋体" w:cs="Arial"/>
        </w:rPr>
        <w:t xml:space="preserve">GB 50093  </w:t>
      </w:r>
      <w:r>
        <w:rPr>
          <w:rFonts w:hint="eastAsia" w:ascii="宋体" w:hAnsi="宋体" w:eastAsia="宋体" w:cs="Arial"/>
          <w:lang w:val="en-US" w:eastAsia="zh-CN"/>
        </w:rPr>
        <w:t xml:space="preserve">          </w:t>
      </w:r>
      <w:r>
        <w:rPr>
          <w:rFonts w:hint="eastAsia" w:ascii="宋体" w:hAnsi="宋体" w:eastAsia="宋体" w:cs="Arial"/>
        </w:rPr>
        <w:t>自动化仪表工程施工及质量验收规范</w:t>
      </w:r>
    </w:p>
    <w:p w14:paraId="12DC13A1">
      <w:pPr>
        <w:widowControl/>
        <w:spacing w:line="360" w:lineRule="auto"/>
        <w:jc w:val="left"/>
        <w:rPr>
          <w:rFonts w:hint="eastAsia" w:ascii="宋体" w:hAnsi="宋体" w:eastAsia="宋体" w:cs="Arial"/>
        </w:rPr>
      </w:pPr>
      <w:r>
        <w:rPr>
          <w:rFonts w:hint="eastAsia" w:ascii="宋体" w:hAnsi="宋体" w:eastAsia="宋体" w:cs="Arial"/>
        </w:rPr>
        <w:t>GB/T</w:t>
      </w:r>
      <w:r>
        <w:rPr>
          <w:rFonts w:hint="eastAsia" w:ascii="宋体" w:hAnsi="宋体" w:eastAsia="宋体" w:cs="Arial"/>
          <w:lang w:val="en-US" w:eastAsia="zh-CN"/>
        </w:rPr>
        <w:t xml:space="preserve"> </w:t>
      </w:r>
      <w:r>
        <w:rPr>
          <w:rFonts w:hint="eastAsia" w:ascii="宋体" w:hAnsi="宋体" w:eastAsia="宋体" w:cs="Arial"/>
        </w:rPr>
        <w:t xml:space="preserve">4208 </w:t>
      </w:r>
      <w:r>
        <w:rPr>
          <w:rFonts w:hint="eastAsia" w:ascii="宋体" w:hAnsi="宋体" w:eastAsia="宋体" w:cs="Arial"/>
          <w:lang w:val="en-US" w:eastAsia="zh-CN"/>
        </w:rPr>
        <w:t xml:space="preserve">          </w:t>
      </w:r>
      <w:r>
        <w:rPr>
          <w:rFonts w:hint="eastAsia" w:ascii="宋体" w:hAnsi="宋体" w:eastAsia="宋体" w:cs="Arial"/>
        </w:rPr>
        <w:t xml:space="preserve">外壳防护等级(IP代码) </w:t>
      </w:r>
    </w:p>
    <w:p w14:paraId="10B19631">
      <w:pPr>
        <w:widowControl/>
        <w:spacing w:line="360" w:lineRule="auto"/>
        <w:jc w:val="left"/>
        <w:rPr>
          <w:rFonts w:hint="eastAsia" w:ascii="宋体" w:hAnsi="宋体" w:eastAsia="宋体" w:cs="Arial"/>
        </w:rPr>
      </w:pPr>
      <w:r>
        <w:rPr>
          <w:rFonts w:hint="eastAsia" w:ascii="宋体" w:hAnsi="宋体" w:eastAsia="宋体" w:cs="Arial"/>
        </w:rPr>
        <w:t>GB/T</w:t>
      </w:r>
      <w:r>
        <w:rPr>
          <w:rFonts w:hint="eastAsia" w:ascii="宋体" w:hAnsi="宋体" w:eastAsia="宋体" w:cs="Arial"/>
          <w:lang w:val="en-US" w:eastAsia="zh-CN"/>
        </w:rPr>
        <w:t xml:space="preserve"> </w:t>
      </w:r>
      <w:r>
        <w:rPr>
          <w:rFonts w:hint="eastAsia" w:ascii="宋体" w:hAnsi="宋体" w:eastAsia="宋体" w:cs="Arial"/>
        </w:rPr>
        <w:t>4213</w:t>
      </w:r>
      <w:r>
        <w:rPr>
          <w:rFonts w:hint="eastAsia" w:ascii="宋体" w:hAnsi="宋体" w:eastAsia="宋体" w:cs="Arial"/>
          <w:lang w:val="en-US" w:eastAsia="zh-CN"/>
        </w:rPr>
        <w:t xml:space="preserve">           </w:t>
      </w:r>
      <w:r>
        <w:rPr>
          <w:rFonts w:hint="eastAsia" w:ascii="宋体" w:hAnsi="宋体" w:eastAsia="宋体" w:cs="Arial"/>
        </w:rPr>
        <w:t>气动控制阀</w:t>
      </w:r>
    </w:p>
    <w:p w14:paraId="0E9C4B20">
      <w:pPr>
        <w:widowControl/>
        <w:spacing w:line="360" w:lineRule="auto"/>
        <w:jc w:val="left"/>
        <w:rPr>
          <w:rFonts w:hint="eastAsia" w:ascii="宋体" w:hAnsi="宋体" w:eastAsia="宋体" w:cs="Arial"/>
        </w:rPr>
      </w:pPr>
      <w:r>
        <w:rPr>
          <w:rFonts w:hint="eastAsia" w:ascii="宋体" w:hAnsi="宋体" w:eastAsia="宋体" w:cs="Arial"/>
        </w:rPr>
        <w:t>GB/T</w:t>
      </w:r>
      <w:r>
        <w:rPr>
          <w:rFonts w:hint="eastAsia" w:ascii="宋体" w:hAnsi="宋体" w:eastAsia="宋体" w:cs="Arial"/>
          <w:lang w:val="en-US" w:eastAsia="zh-CN"/>
        </w:rPr>
        <w:t xml:space="preserve"> </w:t>
      </w:r>
      <w:r>
        <w:rPr>
          <w:rFonts w:hint="eastAsia" w:ascii="宋体" w:hAnsi="宋体" w:eastAsia="宋体" w:cs="Arial"/>
        </w:rPr>
        <w:t xml:space="preserve">13927 </w:t>
      </w:r>
      <w:r>
        <w:rPr>
          <w:rFonts w:hint="eastAsia" w:ascii="宋体" w:hAnsi="宋体" w:eastAsia="宋体" w:cs="Arial"/>
          <w:lang w:val="en-US" w:eastAsia="zh-CN"/>
        </w:rPr>
        <w:t xml:space="preserve">         </w:t>
      </w:r>
      <w:r>
        <w:rPr>
          <w:rFonts w:hint="eastAsia" w:ascii="宋体" w:hAnsi="宋体" w:eastAsia="宋体" w:cs="Arial"/>
        </w:rPr>
        <w:t>工业阀门  压力试验</w:t>
      </w:r>
    </w:p>
    <w:p w14:paraId="39C587B0">
      <w:pPr>
        <w:widowControl/>
        <w:spacing w:line="360" w:lineRule="auto"/>
        <w:jc w:val="left"/>
        <w:rPr>
          <w:rFonts w:hint="eastAsia" w:ascii="宋体" w:hAnsi="宋体" w:eastAsia="宋体" w:cs="Arial"/>
        </w:rPr>
      </w:pPr>
      <w:r>
        <w:rPr>
          <w:rFonts w:hint="eastAsia" w:ascii="宋体" w:hAnsi="宋体" w:eastAsia="宋体" w:cs="Arial"/>
        </w:rPr>
        <w:t>GB/T</w:t>
      </w:r>
      <w:r>
        <w:rPr>
          <w:rFonts w:hint="eastAsia" w:ascii="宋体" w:hAnsi="宋体" w:eastAsia="宋体" w:cs="Arial"/>
          <w:lang w:val="en-US" w:eastAsia="zh-CN"/>
        </w:rPr>
        <w:t xml:space="preserve"> </w:t>
      </w:r>
      <w:r>
        <w:rPr>
          <w:rFonts w:hint="eastAsia" w:ascii="宋体" w:hAnsi="宋体" w:eastAsia="宋体" w:cs="Arial"/>
        </w:rPr>
        <w:t xml:space="preserve">26481 </w:t>
      </w:r>
      <w:r>
        <w:rPr>
          <w:rFonts w:hint="eastAsia" w:ascii="宋体" w:hAnsi="宋体" w:eastAsia="宋体" w:cs="Arial"/>
          <w:lang w:val="en-US" w:eastAsia="zh-CN"/>
        </w:rPr>
        <w:t xml:space="preserve">         </w:t>
      </w:r>
      <w:r>
        <w:rPr>
          <w:rFonts w:hint="eastAsia" w:ascii="宋体" w:hAnsi="宋体" w:eastAsia="宋体" w:cs="Arial"/>
        </w:rPr>
        <w:t>阀门的逸散性试验</w:t>
      </w:r>
    </w:p>
    <w:p w14:paraId="7EE473F3">
      <w:pPr>
        <w:widowControl/>
        <w:spacing w:line="360" w:lineRule="auto"/>
        <w:jc w:val="left"/>
        <w:rPr>
          <w:rFonts w:hint="eastAsia" w:ascii="宋体" w:hAnsi="宋体" w:eastAsia="宋体" w:cs="Arial"/>
        </w:rPr>
      </w:pPr>
      <w:r>
        <w:rPr>
          <w:rFonts w:hint="eastAsia" w:ascii="宋体" w:hAnsi="宋体" w:eastAsia="宋体" w:cs="Arial"/>
        </w:rPr>
        <w:t>GB/T</w:t>
      </w:r>
      <w:r>
        <w:rPr>
          <w:rFonts w:hint="eastAsia" w:ascii="宋体" w:hAnsi="宋体" w:eastAsia="宋体" w:cs="Arial"/>
          <w:lang w:val="en-US" w:eastAsia="zh-CN"/>
        </w:rPr>
        <w:t xml:space="preserve"> </w:t>
      </w:r>
      <w:r>
        <w:rPr>
          <w:rFonts w:hint="eastAsia" w:ascii="宋体" w:hAnsi="宋体" w:eastAsia="宋体" w:cs="Arial"/>
        </w:rPr>
        <w:t xml:space="preserve">40097 </w:t>
      </w:r>
      <w:r>
        <w:rPr>
          <w:rFonts w:hint="eastAsia" w:ascii="宋体" w:hAnsi="宋体" w:eastAsia="宋体" w:cs="Arial"/>
          <w:lang w:val="en-US" w:eastAsia="zh-CN"/>
        </w:rPr>
        <w:t xml:space="preserve">         </w:t>
      </w:r>
      <w:r>
        <w:rPr>
          <w:rFonts w:hint="eastAsia" w:ascii="宋体" w:hAnsi="宋体" w:eastAsia="宋体" w:cs="Arial"/>
        </w:rPr>
        <w:t>阀门逸散性试验分类和鉴定程序</w:t>
      </w:r>
    </w:p>
    <w:p w14:paraId="3338D7D2">
      <w:pPr>
        <w:widowControl/>
        <w:spacing w:line="360" w:lineRule="auto"/>
        <w:jc w:val="left"/>
        <w:rPr>
          <w:rFonts w:hint="eastAsia" w:ascii="宋体" w:hAnsi="宋体" w:eastAsia="宋体" w:cs="Arial"/>
        </w:rPr>
      </w:pPr>
      <w:r>
        <w:rPr>
          <w:rFonts w:hint="eastAsia" w:ascii="宋体" w:hAnsi="宋体" w:eastAsia="宋体" w:cs="Arial"/>
        </w:rPr>
        <w:t xml:space="preserve">GB/T 50493 </w:t>
      </w:r>
      <w:r>
        <w:rPr>
          <w:rFonts w:hint="eastAsia" w:ascii="宋体" w:hAnsi="宋体" w:eastAsia="宋体" w:cs="Arial"/>
          <w:lang w:val="en-US" w:eastAsia="zh-CN"/>
        </w:rPr>
        <w:t xml:space="preserve">         </w:t>
      </w:r>
      <w:r>
        <w:rPr>
          <w:rFonts w:hint="eastAsia" w:ascii="宋体" w:hAnsi="宋体" w:eastAsia="宋体" w:cs="Arial"/>
        </w:rPr>
        <w:t>石油化工可燃气体和有毒气体检测报警设计标准</w:t>
      </w:r>
    </w:p>
    <w:p w14:paraId="079B1F87">
      <w:pPr>
        <w:widowControl/>
        <w:spacing w:line="360" w:lineRule="auto"/>
        <w:jc w:val="left"/>
        <w:rPr>
          <w:rFonts w:ascii="宋体" w:hAnsi="宋体" w:eastAsia="宋体" w:cs="Arial"/>
        </w:rPr>
      </w:pPr>
      <w:r>
        <w:rPr>
          <w:rFonts w:ascii="宋体" w:hAnsi="宋体" w:eastAsia="宋体" w:cs="Arial"/>
        </w:rPr>
        <w:t>HJ 76</w:t>
      </w:r>
      <w:r>
        <w:rPr>
          <w:rFonts w:hint="eastAsia" w:ascii="宋体" w:hAnsi="Times New Roman" w:cs="Times New Roman"/>
          <w:kern w:val="0"/>
          <w:szCs w:val="20"/>
        </w:rPr>
        <w:t xml:space="preserve">-2017 </w:t>
      </w:r>
      <w:r>
        <w:rPr>
          <w:rFonts w:ascii="宋体" w:hAnsi="Times New Roman" w:cs="Times New Roman"/>
          <w:kern w:val="0"/>
          <w:szCs w:val="20"/>
        </w:rPr>
        <w:tab/>
      </w:r>
      <w:r>
        <w:rPr>
          <w:rFonts w:ascii="宋体" w:hAnsi="Times New Roman" w:cs="Times New Roman"/>
          <w:kern w:val="0"/>
          <w:szCs w:val="20"/>
        </w:rPr>
        <w:tab/>
      </w:r>
      <w:r>
        <w:rPr>
          <w:rFonts w:ascii="宋体" w:hAnsi="Times New Roman" w:cs="Times New Roman"/>
          <w:kern w:val="0"/>
          <w:szCs w:val="20"/>
        </w:rPr>
        <w:tab/>
      </w:r>
      <w:r>
        <w:rPr>
          <w:rFonts w:hint="eastAsia" w:ascii="宋体" w:hAnsi="Times New Roman" w:cs="Times New Roman"/>
          <w:kern w:val="0"/>
          <w:szCs w:val="20"/>
        </w:rPr>
        <w:t>固定污染源烟气排放连续监测系统技术要求及检测方法</w:t>
      </w:r>
    </w:p>
    <w:p w14:paraId="63AAEA7F">
      <w:pPr>
        <w:widowControl/>
        <w:spacing w:line="360" w:lineRule="auto"/>
        <w:jc w:val="left"/>
        <w:rPr>
          <w:rFonts w:ascii="宋体" w:hAnsi="宋体" w:eastAsia="宋体" w:cs="Arial"/>
        </w:rPr>
      </w:pPr>
      <w:r>
        <w:rPr>
          <w:rFonts w:hint="eastAsia" w:ascii="宋体" w:hAnsi="宋体" w:eastAsia="宋体" w:cs="Arial"/>
        </w:rPr>
        <w:t>HJ 477-2009</w:t>
      </w:r>
      <w:r>
        <w:rPr>
          <w:rFonts w:hint="eastAsia" w:ascii="宋体" w:hAnsi="宋体" w:eastAsia="宋体" w:cs="Arial"/>
        </w:rPr>
        <w:tab/>
      </w:r>
      <w:r>
        <w:rPr>
          <w:rFonts w:hint="eastAsia" w:ascii="宋体" w:hAnsi="宋体" w:eastAsia="宋体" w:cs="Arial"/>
        </w:rPr>
        <w:tab/>
      </w:r>
      <w:r>
        <w:rPr>
          <w:rFonts w:hint="eastAsia" w:ascii="宋体" w:hAnsi="宋体" w:eastAsia="宋体" w:cs="Arial"/>
        </w:rPr>
        <w:tab/>
      </w:r>
      <w:r>
        <w:rPr>
          <w:rFonts w:hint="eastAsia" w:ascii="宋体" w:hAnsi="宋体" w:eastAsia="宋体" w:cs="Arial"/>
        </w:rPr>
        <w:t>污染源在线自动监控（监测）数据采集传输仪技术要求</w:t>
      </w:r>
    </w:p>
    <w:p w14:paraId="0D9B01AD">
      <w:pPr>
        <w:widowControl/>
        <w:spacing w:line="360" w:lineRule="auto"/>
        <w:jc w:val="left"/>
        <w:rPr>
          <w:rFonts w:ascii="宋体" w:hAnsi="宋体" w:eastAsia="宋体" w:cs="Arial"/>
        </w:rPr>
      </w:pPr>
      <w:r>
        <w:rPr>
          <w:rFonts w:hint="eastAsia" w:ascii="宋体" w:hAnsi="宋体" w:eastAsia="宋体" w:cs="Arial"/>
        </w:rPr>
        <w:t>HG/T 20507-2014</w:t>
      </w:r>
      <w:r>
        <w:rPr>
          <w:rFonts w:hint="eastAsia" w:ascii="宋体" w:hAnsi="宋体" w:eastAsia="宋体" w:cs="Arial"/>
        </w:rPr>
        <w:tab/>
      </w:r>
      <w:r>
        <w:rPr>
          <w:rFonts w:hint="eastAsia" w:ascii="宋体" w:hAnsi="宋体" w:eastAsia="宋体" w:cs="Arial"/>
        </w:rPr>
        <w:tab/>
      </w:r>
      <w:r>
        <w:rPr>
          <w:rFonts w:hint="eastAsia" w:ascii="宋体" w:hAnsi="宋体" w:eastAsia="宋体" w:cs="Arial"/>
        </w:rPr>
        <w:t>自动化仪表选型设计规范</w:t>
      </w:r>
    </w:p>
    <w:p w14:paraId="11C525A7">
      <w:pPr>
        <w:widowControl/>
        <w:spacing w:line="360" w:lineRule="auto"/>
        <w:jc w:val="left"/>
        <w:rPr>
          <w:rFonts w:ascii="宋体" w:hAnsi="宋体" w:eastAsia="宋体" w:cs="Arial"/>
        </w:rPr>
      </w:pPr>
      <w:r>
        <w:rPr>
          <w:rFonts w:hint="eastAsia" w:ascii="宋体" w:hAnsi="宋体" w:eastAsia="宋体" w:cs="Arial"/>
        </w:rPr>
        <w:t>HG/T 20512-2014</w:t>
      </w:r>
      <w:r>
        <w:rPr>
          <w:rFonts w:hint="eastAsia" w:ascii="宋体" w:hAnsi="宋体" w:eastAsia="宋体" w:cs="Arial"/>
        </w:rPr>
        <w:tab/>
      </w:r>
      <w:r>
        <w:rPr>
          <w:rFonts w:hint="eastAsia" w:ascii="宋体" w:hAnsi="宋体" w:eastAsia="宋体" w:cs="Arial"/>
        </w:rPr>
        <w:tab/>
      </w:r>
      <w:r>
        <w:rPr>
          <w:rFonts w:hint="eastAsia" w:ascii="宋体" w:hAnsi="宋体" w:eastAsia="宋体" w:cs="Arial"/>
        </w:rPr>
        <w:t>仪表配管配线设计规范</w:t>
      </w:r>
    </w:p>
    <w:p w14:paraId="534245AB">
      <w:pPr>
        <w:widowControl/>
        <w:spacing w:line="360" w:lineRule="auto"/>
        <w:jc w:val="left"/>
        <w:rPr>
          <w:rFonts w:ascii="宋体" w:hAnsi="宋体" w:eastAsia="宋体" w:cs="Arial"/>
        </w:rPr>
      </w:pPr>
      <w:r>
        <w:rPr>
          <w:rFonts w:hint="eastAsia" w:ascii="宋体" w:hAnsi="宋体" w:eastAsia="宋体" w:cs="Arial"/>
        </w:rPr>
        <w:t>HG/T 20513-2014</w:t>
      </w:r>
      <w:r>
        <w:rPr>
          <w:rFonts w:hint="eastAsia" w:ascii="宋体" w:hAnsi="宋体" w:eastAsia="宋体" w:cs="Arial"/>
        </w:rPr>
        <w:tab/>
      </w:r>
      <w:r>
        <w:rPr>
          <w:rFonts w:hint="eastAsia" w:ascii="宋体" w:hAnsi="宋体" w:eastAsia="宋体" w:cs="Arial"/>
        </w:rPr>
        <w:tab/>
      </w:r>
      <w:r>
        <w:rPr>
          <w:rFonts w:hint="eastAsia" w:ascii="宋体" w:hAnsi="宋体" w:eastAsia="宋体" w:cs="Arial"/>
        </w:rPr>
        <w:t>仪表系统接地设计规范</w:t>
      </w:r>
    </w:p>
    <w:p w14:paraId="30778E55">
      <w:pPr>
        <w:widowControl/>
        <w:spacing w:line="360" w:lineRule="auto"/>
        <w:jc w:val="left"/>
        <w:rPr>
          <w:rFonts w:ascii="宋体" w:hAnsi="宋体" w:eastAsia="宋体" w:cs="Arial"/>
        </w:rPr>
      </w:pPr>
      <w:r>
        <w:rPr>
          <w:rFonts w:hint="eastAsia" w:ascii="宋体" w:hAnsi="宋体" w:eastAsia="宋体" w:cs="Arial"/>
        </w:rPr>
        <w:t>HG/T</w:t>
      </w:r>
      <w:r>
        <w:rPr>
          <w:rFonts w:ascii="宋体" w:hAnsi="宋体" w:eastAsia="宋体" w:cs="Arial"/>
        </w:rPr>
        <w:t xml:space="preserve"> </w:t>
      </w:r>
      <w:r>
        <w:rPr>
          <w:rFonts w:hint="eastAsia" w:ascii="宋体" w:hAnsi="宋体" w:eastAsia="宋体" w:cs="Arial"/>
        </w:rPr>
        <w:t>2051</w:t>
      </w:r>
      <w:r>
        <w:rPr>
          <w:rFonts w:ascii="宋体" w:hAnsi="宋体" w:eastAsia="宋体" w:cs="Arial"/>
        </w:rPr>
        <w:t>4-2014</w:t>
      </w:r>
      <w:r>
        <w:rPr>
          <w:rFonts w:ascii="宋体" w:hAnsi="宋体" w:eastAsia="宋体" w:cs="Arial"/>
        </w:rPr>
        <w:tab/>
      </w:r>
      <w:r>
        <w:rPr>
          <w:rFonts w:ascii="宋体" w:hAnsi="宋体" w:eastAsia="宋体" w:cs="Arial"/>
        </w:rPr>
        <w:tab/>
      </w:r>
      <w:r>
        <w:rPr>
          <w:rFonts w:hint="eastAsia" w:ascii="宋体" w:hAnsi="宋体" w:eastAsia="宋体" w:cs="Arial"/>
        </w:rPr>
        <w:t>仪表及管线伴热和绝热保温设计规范</w:t>
      </w:r>
    </w:p>
    <w:p w14:paraId="759C2B37">
      <w:pPr>
        <w:widowControl/>
        <w:spacing w:line="360" w:lineRule="auto"/>
        <w:jc w:val="left"/>
        <w:rPr>
          <w:rFonts w:ascii="宋体" w:hAnsi="Times New Roman" w:cs="Times New Roman"/>
          <w:kern w:val="0"/>
          <w:szCs w:val="20"/>
        </w:rPr>
      </w:pPr>
      <w:r>
        <w:rPr>
          <w:rFonts w:hint="eastAsia" w:ascii="宋体" w:hAnsi="Times New Roman" w:cs="Times New Roman"/>
          <w:kern w:val="0"/>
          <w:szCs w:val="20"/>
        </w:rPr>
        <w:t>H</w:t>
      </w:r>
      <w:r>
        <w:rPr>
          <w:rFonts w:ascii="宋体" w:hAnsi="Times New Roman" w:cs="Times New Roman"/>
          <w:kern w:val="0"/>
          <w:szCs w:val="20"/>
        </w:rPr>
        <w:t>G/T 20516-2014</w:t>
      </w:r>
      <w:r>
        <w:rPr>
          <w:rFonts w:ascii="宋体" w:hAnsi="Times New Roman" w:cs="Times New Roman"/>
          <w:kern w:val="0"/>
          <w:szCs w:val="20"/>
        </w:rPr>
        <w:tab/>
      </w:r>
      <w:r>
        <w:rPr>
          <w:rFonts w:ascii="宋体" w:hAnsi="Times New Roman" w:cs="Times New Roman"/>
          <w:kern w:val="0"/>
          <w:szCs w:val="20"/>
        </w:rPr>
        <w:tab/>
      </w:r>
      <w:r>
        <w:rPr>
          <w:rFonts w:hint="eastAsia" w:ascii="宋体" w:hAnsi="Times New Roman" w:cs="Times New Roman"/>
          <w:kern w:val="0"/>
          <w:szCs w:val="20"/>
        </w:rPr>
        <w:t>自动分析器室设计规范</w:t>
      </w:r>
    </w:p>
    <w:bookmarkEnd w:id="59"/>
    <w:p w14:paraId="3BF7DAEB">
      <w:pPr>
        <w:spacing w:line="360" w:lineRule="auto"/>
      </w:pPr>
    </w:p>
    <w:p w14:paraId="2E96319B">
      <w:pPr>
        <w:spacing w:line="360" w:lineRule="auto"/>
      </w:pPr>
    </w:p>
    <w:p w14:paraId="502717C8">
      <w:pPr>
        <w:spacing w:line="360" w:lineRule="auto"/>
        <w:sectPr>
          <w:pgSz w:w="11906" w:h="16838"/>
          <w:pgMar w:top="1009" w:right="1440" w:bottom="0" w:left="1440" w:header="851" w:footer="992" w:gutter="0"/>
          <w:cols w:space="425" w:num="1"/>
          <w:docGrid w:linePitch="312" w:charSpace="0"/>
        </w:sectPr>
      </w:pPr>
    </w:p>
    <w:p w14:paraId="53CCC82E">
      <w:pPr>
        <w:wordWrap w:val="0"/>
        <w:autoSpaceDE w:val="0"/>
        <w:autoSpaceDN w:val="0"/>
        <w:adjustRightInd w:val="0"/>
        <w:jc w:val="center"/>
        <w:rPr>
          <w:rFonts w:eastAsia="黑体"/>
          <w:sz w:val="36"/>
          <w:szCs w:val="36"/>
        </w:rPr>
      </w:pPr>
      <w:bookmarkStart w:id="168" w:name="_Toc341692317"/>
      <w:r>
        <w:rPr>
          <w:rFonts w:eastAsia="黑体"/>
          <w:sz w:val="36"/>
          <w:szCs w:val="36"/>
        </w:rPr>
        <w:t>中华人民共和国</w:t>
      </w:r>
      <w:r>
        <w:rPr>
          <w:rFonts w:hint="eastAsia" w:eastAsia="黑体"/>
          <w:sz w:val="36"/>
          <w:szCs w:val="36"/>
        </w:rPr>
        <w:t>行业</w:t>
      </w:r>
      <w:r>
        <w:rPr>
          <w:rFonts w:eastAsia="黑体"/>
          <w:sz w:val="36"/>
          <w:szCs w:val="36"/>
        </w:rPr>
        <w:t>标准</w:t>
      </w:r>
    </w:p>
    <w:p w14:paraId="72286546">
      <w:pPr>
        <w:wordWrap w:val="0"/>
        <w:autoSpaceDE w:val="0"/>
        <w:autoSpaceDN w:val="0"/>
        <w:adjustRightInd w:val="0"/>
        <w:jc w:val="center"/>
        <w:rPr>
          <w:rFonts w:eastAsia="黑体"/>
          <w:sz w:val="36"/>
          <w:szCs w:val="36"/>
        </w:rPr>
      </w:pPr>
    </w:p>
    <w:p w14:paraId="12C22319">
      <w:pPr>
        <w:autoSpaceDE w:val="0"/>
        <w:autoSpaceDN w:val="0"/>
        <w:adjustRightInd w:val="0"/>
        <w:jc w:val="center"/>
        <w:rPr>
          <w:rFonts w:eastAsia="黑体"/>
          <w:b/>
          <w:bCs/>
          <w:color w:val="FF0000"/>
          <w:w w:val="95"/>
          <w:sz w:val="48"/>
          <w:szCs w:val="28"/>
        </w:rPr>
      </w:pPr>
      <w:r>
        <w:rPr>
          <w:rFonts w:hint="eastAsia" w:ascii="Calibri" w:hAnsi="Calibri" w:cs="Times New Roman"/>
          <w:b/>
          <w:sz w:val="44"/>
          <w:szCs w:val="44"/>
        </w:rPr>
        <w:t>化工挥发性有机物（VOCs）冷凝法回收装置仪表工程设计规范</w:t>
      </w:r>
    </w:p>
    <w:p w14:paraId="3CC92284">
      <w:pPr>
        <w:autoSpaceDE w:val="0"/>
        <w:autoSpaceDN w:val="0"/>
        <w:adjustRightInd w:val="0"/>
        <w:jc w:val="center"/>
        <w:rPr>
          <w:b/>
          <w:bCs/>
          <w:sz w:val="28"/>
          <w:szCs w:val="28"/>
        </w:rPr>
      </w:pPr>
    </w:p>
    <w:p w14:paraId="0B3DF0C8">
      <w:pPr>
        <w:autoSpaceDE w:val="0"/>
        <w:autoSpaceDN w:val="0"/>
        <w:adjustRightInd w:val="0"/>
        <w:ind w:firstLine="3373" w:firstLineChars="1200"/>
        <w:rPr>
          <w:b/>
          <w:bCs/>
          <w:color w:val="000000" w:themeColor="text1"/>
          <w:sz w:val="28"/>
          <w14:textFill>
            <w14:solidFill>
              <w14:schemeClr w14:val="tx1"/>
            </w14:solidFill>
          </w14:textFill>
        </w:rPr>
      </w:pPr>
      <w:r>
        <w:rPr>
          <w:rFonts w:hint="eastAsia"/>
          <w:b/>
          <w:bCs/>
          <w:sz w:val="28"/>
          <w:szCs w:val="28"/>
        </w:rPr>
        <w:t>H</w:t>
      </w:r>
      <w:r>
        <w:rPr>
          <w:rFonts w:hint="eastAsia"/>
          <w:b/>
          <w:bCs/>
          <w:color w:val="000000" w:themeColor="text1"/>
          <w:sz w:val="28"/>
          <w:szCs w:val="28"/>
          <w14:textFill>
            <w14:solidFill>
              <w14:schemeClr w14:val="tx1"/>
            </w14:solidFill>
          </w14:textFill>
        </w:rPr>
        <w:t>G/T</w:t>
      </w:r>
      <w:r>
        <w:rPr>
          <w:rFonts w:hint="eastAsia"/>
          <w:b/>
          <w:bCs/>
          <w:color w:val="000000" w:themeColor="text1"/>
          <w:sz w:val="28"/>
          <w14:textFill>
            <w14:solidFill>
              <w14:schemeClr w14:val="tx1"/>
            </w14:solidFill>
          </w14:textFill>
        </w:rPr>
        <w:t>2XXXX</w:t>
      </w:r>
      <w:r>
        <w:rPr>
          <w:b/>
          <w:bCs/>
          <w:color w:val="000000" w:themeColor="text1"/>
          <w:sz w:val="28"/>
          <w14:textFill>
            <w14:solidFill>
              <w14:schemeClr w14:val="tx1"/>
            </w14:solidFill>
          </w14:textFill>
        </w:rPr>
        <w:t>―</w:t>
      </w:r>
      <w:r>
        <w:rPr>
          <w:rFonts w:hint="eastAsia"/>
          <w:b/>
          <w:bCs/>
          <w:color w:val="000000" w:themeColor="text1"/>
          <w:sz w:val="28"/>
          <w14:textFill>
            <w14:solidFill>
              <w14:schemeClr w14:val="tx1"/>
            </w14:solidFill>
          </w14:textFill>
        </w:rPr>
        <w:t>202X</w:t>
      </w:r>
    </w:p>
    <w:p w14:paraId="624ADF6D">
      <w:pPr>
        <w:autoSpaceDE w:val="0"/>
        <w:autoSpaceDN w:val="0"/>
        <w:adjustRightInd w:val="0"/>
        <w:jc w:val="center"/>
        <w:rPr>
          <w:b/>
          <w:bCs/>
          <w:sz w:val="40"/>
          <w:szCs w:val="32"/>
        </w:rPr>
      </w:pPr>
    </w:p>
    <w:p w14:paraId="6D6A5055">
      <w:pPr>
        <w:keepNext/>
        <w:tabs>
          <w:tab w:val="right" w:pos="1080"/>
          <w:tab w:val="left" w:pos="1162"/>
          <w:tab w:val="right" w:pos="9360"/>
        </w:tabs>
        <w:jc w:val="center"/>
        <w:outlineLvl w:val="0"/>
        <w:rPr>
          <w:b/>
          <w:bCs/>
          <w:sz w:val="32"/>
          <w:szCs w:val="36"/>
        </w:rPr>
      </w:pPr>
      <w:bookmarkStart w:id="169" w:name="_Toc11561"/>
      <w:bookmarkStart w:id="170" w:name="_Toc31476"/>
      <w:bookmarkStart w:id="171" w:name="_Toc206080491"/>
      <w:bookmarkStart w:id="172" w:name="_Toc2027"/>
      <w:bookmarkStart w:id="173" w:name="_Toc206073879"/>
      <w:bookmarkStart w:id="174" w:name="_Toc720"/>
      <w:bookmarkStart w:id="175" w:name="_Toc18531"/>
      <w:bookmarkStart w:id="176" w:name="_Toc206160082"/>
      <w:bookmarkStart w:id="177" w:name="_Toc206171727"/>
      <w:r>
        <w:rPr>
          <w:rFonts w:hint="eastAsia" w:ascii="宋体" w:hAnsi="宋体" w:cs="宋体"/>
          <w:b/>
          <w:bCs/>
          <w:sz w:val="32"/>
        </w:rPr>
        <w:t>条文说明</w:t>
      </w:r>
      <w:bookmarkEnd w:id="169"/>
      <w:bookmarkEnd w:id="170"/>
      <w:bookmarkEnd w:id="171"/>
      <w:bookmarkEnd w:id="172"/>
      <w:bookmarkEnd w:id="173"/>
      <w:bookmarkEnd w:id="174"/>
      <w:bookmarkEnd w:id="175"/>
      <w:bookmarkEnd w:id="176"/>
      <w:bookmarkEnd w:id="177"/>
    </w:p>
    <w:p w14:paraId="2298B0C3">
      <w:pPr>
        <w:spacing w:before="240" w:beforeLines="100" w:line="360" w:lineRule="auto"/>
        <w:jc w:val="center"/>
        <w:rPr>
          <w:rFonts w:ascii="黑体" w:eastAsia="黑体"/>
          <w:b/>
          <w:bCs/>
          <w:sz w:val="28"/>
          <w:szCs w:val="28"/>
        </w:rPr>
      </w:pPr>
      <w:r>
        <w:rPr>
          <w:sz w:val="28"/>
          <w:szCs w:val="28"/>
        </w:rPr>
        <w:br w:type="page"/>
      </w:r>
      <w:r>
        <w:rPr>
          <w:rFonts w:hint="eastAsia" w:ascii="黑体" w:eastAsia="黑体" w:cs="黑体"/>
          <w:b/>
          <w:bCs/>
          <w:sz w:val="28"/>
          <w:szCs w:val="28"/>
        </w:rPr>
        <w:t>制订说明</w:t>
      </w:r>
    </w:p>
    <w:p w14:paraId="56C1E143">
      <w:pPr>
        <w:autoSpaceDE w:val="0"/>
        <w:autoSpaceDN w:val="0"/>
        <w:adjustRightInd w:val="0"/>
        <w:spacing w:line="360" w:lineRule="auto"/>
        <w:ind w:firstLine="420" w:firstLineChars="200"/>
        <w:rPr>
          <w:color w:val="000000" w:themeColor="text1"/>
          <w14:textFill>
            <w14:solidFill>
              <w14:schemeClr w14:val="tx1"/>
            </w14:solidFill>
          </w14:textFill>
        </w:rPr>
      </w:pPr>
      <w:r>
        <w:rPr>
          <w:rFonts w:hint="eastAsia" w:cs="宋体"/>
          <w:color w:val="000000" w:themeColor="text1"/>
          <w14:textFill>
            <w14:solidFill>
              <w14:schemeClr w14:val="tx1"/>
            </w14:solidFill>
          </w14:textFill>
        </w:rPr>
        <w:t>《</w:t>
      </w:r>
      <w:r>
        <w:rPr>
          <w:rFonts w:hint="eastAsia" w:cs="宋体"/>
        </w:rPr>
        <w:t>化工挥发性有机物（VOCs）冷凝法回收装置仪表工程设计规范</w:t>
      </w:r>
      <w:r>
        <w:rPr>
          <w:rFonts w:hint="eastAsia" w:cs="宋体"/>
          <w:color w:val="000000" w:themeColor="text1"/>
          <w14:textFill>
            <w14:solidFill>
              <w14:schemeClr w14:val="tx1"/>
            </w14:solidFill>
          </w14:textFill>
        </w:rPr>
        <w:t>》（</w:t>
      </w:r>
      <w:r>
        <w:rPr>
          <w:rFonts w:hint="eastAsia"/>
          <w:color w:val="000000" w:themeColor="text1"/>
          <w14:textFill>
            <w14:solidFill>
              <w14:schemeClr w14:val="tx1"/>
            </w14:solidFill>
          </w14:textFill>
        </w:rPr>
        <w:t>HG/T</w:t>
      </w:r>
      <w:r>
        <w:rPr>
          <w:color w:val="000000" w:themeColor="text1"/>
          <w14:textFill>
            <w14:solidFill>
              <w14:schemeClr w14:val="tx1"/>
            </w14:solidFill>
          </w14:textFill>
        </w:rPr>
        <w:t xml:space="preserve"> 2</w:t>
      </w:r>
      <w:r>
        <w:rPr>
          <w:rFonts w:hint="eastAsia" w:cs="宋体"/>
          <w:color w:val="000000" w:themeColor="text1"/>
          <w14:textFill>
            <w14:solidFill>
              <w14:schemeClr w14:val="tx1"/>
            </w14:solidFill>
          </w14:textFill>
        </w:rPr>
        <w:t>××××），经工业和信息化部××××年××月××日以第××号公告批准发布。</w:t>
      </w:r>
    </w:p>
    <w:p w14:paraId="66EB988F">
      <w:pPr>
        <w:autoSpaceDE w:val="0"/>
        <w:autoSpaceDN w:val="0"/>
        <w:adjustRightInd w:val="0"/>
        <w:spacing w:line="360" w:lineRule="auto"/>
        <w:ind w:firstLine="420" w:firstLineChars="200"/>
      </w:pPr>
      <w:r>
        <w:rPr>
          <w:rFonts w:hint="eastAsia" w:cs="宋体"/>
          <w:color w:val="000000" w:themeColor="text1"/>
          <w14:textFill>
            <w14:solidFill>
              <w14:schemeClr w14:val="tx1"/>
            </w14:solidFill>
          </w14:textFill>
        </w:rPr>
        <w:t>本规范在</w:t>
      </w:r>
      <w:r>
        <w:rPr>
          <w:rFonts w:hint="eastAsia" w:cs="宋体"/>
        </w:rPr>
        <w:t>制订过程中，编制组进行</w:t>
      </w:r>
      <w:r>
        <w:rPr>
          <w:rFonts w:hint="eastAsia" w:cs="宋体"/>
          <w:color w:val="000000" w:themeColor="text1"/>
          <w14:textFill>
            <w14:solidFill>
              <w14:schemeClr w14:val="tx1"/>
            </w14:solidFill>
          </w14:textFill>
        </w:rPr>
        <w:t>了广泛的调</w:t>
      </w:r>
      <w:r>
        <w:rPr>
          <w:rFonts w:hint="eastAsia" w:cs="宋体"/>
        </w:rPr>
        <w:t>查研究，总结了我国化工行业VOCs冷凝法及其组合式回收装置的实践经验，同时参考了国内外V</w:t>
      </w:r>
      <w:r>
        <w:rPr>
          <w:rFonts w:cs="宋体"/>
        </w:rPr>
        <w:t>OC</w:t>
      </w:r>
      <w:r>
        <w:rPr>
          <w:rFonts w:hint="eastAsia" w:cs="宋体"/>
        </w:rPr>
        <w:t>s回收处理装置应用的大量资料，先进技术法规、技术标准等，广泛征求了化工行业VOCs冷凝法及组合式回收处理装置的设备厂商、系统厂商、以及自控仪表工程设计、制造、操作维护等方面技术人员的意见，在此基础上编制了本规范。</w:t>
      </w:r>
    </w:p>
    <w:p w14:paraId="7748A241">
      <w:pPr>
        <w:autoSpaceDE w:val="0"/>
        <w:autoSpaceDN w:val="0"/>
        <w:adjustRightInd w:val="0"/>
        <w:spacing w:line="360" w:lineRule="auto"/>
        <w:ind w:firstLine="420" w:firstLineChars="20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为便于化工自控仪表工程设计、建设和操作维护等有关人员在使用本规范时能正确理解和执行条文规定，《化工挥发性有机物（VOCs）冷凝法回收装置仪表工程设计规范》编制组按章、节、条顺序编制了本规范的条文说明，对条文规定的目的、依据以及执行中需注意的有关事项进行了说明。但是，本条文说明不具备与规范正文同等的法律效力，仅供使用者作为理解和把握标准规定的参考。</w:t>
      </w:r>
    </w:p>
    <w:p w14:paraId="38857E91">
      <w:pPr>
        <w:autoSpaceDE w:val="0"/>
        <w:autoSpaceDN w:val="0"/>
        <w:adjustRightInd w:val="0"/>
        <w:spacing w:line="360" w:lineRule="auto"/>
        <w:ind w:firstLine="420" w:firstLineChars="200"/>
        <w:rPr>
          <w:rFonts w:cs="宋体"/>
        </w:rPr>
      </w:pPr>
      <w:r>
        <w:rPr>
          <w:rFonts w:hint="eastAsia" w:cs="宋体"/>
        </w:rPr>
        <w:t>本规范为首次发布。</w:t>
      </w:r>
      <w:bookmarkEnd w:id="168"/>
    </w:p>
    <w:p w14:paraId="2683C9C2">
      <w:pPr>
        <w:autoSpaceDE w:val="0"/>
        <w:autoSpaceDN w:val="0"/>
        <w:adjustRightInd w:val="0"/>
        <w:spacing w:line="360" w:lineRule="auto"/>
        <w:ind w:firstLine="420" w:firstLineChars="200"/>
        <w:rPr>
          <w:rFonts w:cs="宋体"/>
        </w:rPr>
      </w:pPr>
    </w:p>
    <w:p w14:paraId="74554A54">
      <w:pPr>
        <w:widowControl/>
        <w:jc w:val="left"/>
        <w:rPr>
          <w:rFonts w:cs="宋体"/>
        </w:rPr>
      </w:pPr>
      <w:r>
        <w:rPr>
          <w:rFonts w:cs="宋体"/>
        </w:rPr>
        <w:br w:type="page"/>
      </w:r>
    </w:p>
    <w:p w14:paraId="5B35A8C4">
      <w:pPr>
        <w:widowControl/>
        <w:spacing w:line="360" w:lineRule="auto"/>
        <w:jc w:val="center"/>
        <w:rPr>
          <w:rFonts w:ascii="宋体" w:hAnsi="宋体"/>
          <w:b/>
        </w:rPr>
      </w:pPr>
      <w:r>
        <w:rPr>
          <w:rFonts w:hint="eastAsia" w:ascii="宋体" w:hAnsi="宋体"/>
          <w:sz w:val="28"/>
          <w:szCs w:val="28"/>
        </w:rPr>
        <w:t>目  次</w:t>
      </w:r>
    </w:p>
    <w:sdt>
      <w:sdtPr>
        <w:rPr>
          <w:sz w:val="21"/>
          <w:szCs w:val="21"/>
          <w:lang w:val="zh-CN"/>
        </w:rPr>
        <w:id w:val="-686374715"/>
        <w:docPartObj>
          <w:docPartGallery w:val="Table of Contents"/>
          <w:docPartUnique/>
        </w:docPartObj>
      </w:sdtPr>
      <w:sdtEndPr>
        <w:rPr>
          <w:b/>
          <w:bCs/>
          <w:sz w:val="21"/>
          <w:szCs w:val="21"/>
          <w:lang w:val="zh-CN"/>
        </w:rPr>
      </w:sdtEndPr>
      <w:sdtContent>
        <w:p w14:paraId="35AC7F43">
          <w:pPr>
            <w:pStyle w:val="22"/>
            <w:rPr>
              <w:szCs w:val="22"/>
            </w:rPr>
          </w:pPr>
          <w:r>
            <w:rPr>
              <w:lang w:val="zh-CN"/>
            </w:rPr>
            <w:fldChar w:fldCharType="begin"/>
          </w:r>
          <w:r>
            <w:rPr>
              <w:lang w:val="zh-CN"/>
            </w:rPr>
            <w:instrText xml:space="preserve"> TOC \o "1-3" \h \z \u </w:instrText>
          </w:r>
          <w:r>
            <w:rPr>
              <w:lang w:val="zh-CN"/>
            </w:rPr>
            <w:fldChar w:fldCharType="separate"/>
          </w:r>
        </w:p>
        <w:p w14:paraId="726B950A">
          <w:pPr>
            <w:pStyle w:val="22"/>
            <w:rPr>
              <w:sz w:val="21"/>
              <w:szCs w:val="22"/>
            </w:rPr>
          </w:pPr>
          <w:r>
            <w:fldChar w:fldCharType="begin"/>
          </w:r>
          <w:r>
            <w:instrText xml:space="preserve"> HYPERLINK \l "_Toc206171728" </w:instrText>
          </w:r>
          <w:r>
            <w:fldChar w:fldCharType="separate"/>
          </w:r>
          <w:r>
            <w:rPr>
              <w:rStyle w:val="35"/>
              <w:sz w:val="21"/>
              <w:szCs w:val="21"/>
            </w:rPr>
            <w:t>2 术语和缩略语</w:t>
          </w:r>
          <w:r>
            <w:tab/>
          </w:r>
          <w:r>
            <w:rPr>
              <w:sz w:val="21"/>
              <w:szCs w:val="21"/>
            </w:rPr>
            <w:fldChar w:fldCharType="begin"/>
          </w:r>
          <w:r>
            <w:rPr>
              <w:sz w:val="21"/>
              <w:szCs w:val="21"/>
            </w:rPr>
            <w:instrText xml:space="preserve"> PAGEREF _Toc206171728 \h </w:instrText>
          </w:r>
          <w:r>
            <w:rPr>
              <w:sz w:val="21"/>
              <w:szCs w:val="21"/>
            </w:rPr>
            <w:fldChar w:fldCharType="separate"/>
          </w:r>
          <w:r>
            <w:rPr>
              <w:sz w:val="21"/>
              <w:szCs w:val="21"/>
            </w:rPr>
            <w:t>29</w:t>
          </w:r>
          <w:r>
            <w:rPr>
              <w:sz w:val="21"/>
              <w:szCs w:val="21"/>
            </w:rPr>
            <w:fldChar w:fldCharType="end"/>
          </w:r>
          <w:r>
            <w:fldChar w:fldCharType="end"/>
          </w:r>
        </w:p>
        <w:p w14:paraId="2441894F">
          <w:pPr>
            <w:pStyle w:val="25"/>
            <w:rPr>
              <w:szCs w:val="22"/>
            </w:rPr>
          </w:pPr>
          <w:r>
            <w:fldChar w:fldCharType="begin"/>
          </w:r>
          <w:r>
            <w:instrText xml:space="preserve"> HYPERLINK \l "_Toc206171729" </w:instrText>
          </w:r>
          <w:r>
            <w:fldChar w:fldCharType="separate"/>
          </w:r>
          <w:r>
            <w:rPr>
              <w:rStyle w:val="35"/>
            </w:rPr>
            <w:t>2.1术语</w:t>
          </w:r>
          <w:r>
            <w:rPr>
              <w:rFonts w:hint="eastAsia"/>
              <w:lang w:val="en-US" w:eastAsia="zh-CN"/>
            </w:rPr>
            <w:t>...................................................................................................................................</w:t>
          </w:r>
          <w:r>
            <w:fldChar w:fldCharType="begin"/>
          </w:r>
          <w:r>
            <w:instrText xml:space="preserve"> PAGEREF _Toc206171729 \h </w:instrText>
          </w:r>
          <w:r>
            <w:fldChar w:fldCharType="separate"/>
          </w:r>
          <w:r>
            <w:t>29</w:t>
          </w:r>
          <w:r>
            <w:fldChar w:fldCharType="end"/>
          </w:r>
          <w:r>
            <w:fldChar w:fldCharType="end"/>
          </w:r>
        </w:p>
        <w:p w14:paraId="013D6C1A">
          <w:pPr>
            <w:pStyle w:val="22"/>
            <w:rPr>
              <w:sz w:val="21"/>
              <w:szCs w:val="22"/>
            </w:rPr>
          </w:pPr>
          <w:r>
            <w:fldChar w:fldCharType="begin"/>
          </w:r>
          <w:r>
            <w:instrText xml:space="preserve"> HYPERLINK \l "_Toc206171730" </w:instrText>
          </w:r>
          <w:r>
            <w:fldChar w:fldCharType="separate"/>
          </w:r>
          <w:r>
            <w:rPr>
              <w:rStyle w:val="35"/>
              <w:sz w:val="21"/>
              <w:szCs w:val="21"/>
            </w:rPr>
            <w:t>3 基本规定</w:t>
          </w:r>
          <w:r>
            <w:tab/>
          </w:r>
          <w:r>
            <w:rPr>
              <w:rFonts w:hint="eastAsia"/>
              <w:lang w:val="en-US" w:eastAsia="zh-CN"/>
            </w:rPr>
            <w:t>.......</w:t>
          </w:r>
          <w:r>
            <w:rPr>
              <w:sz w:val="21"/>
              <w:szCs w:val="21"/>
            </w:rPr>
            <w:fldChar w:fldCharType="begin"/>
          </w:r>
          <w:r>
            <w:rPr>
              <w:sz w:val="21"/>
              <w:szCs w:val="21"/>
            </w:rPr>
            <w:instrText xml:space="preserve"> PAGEREF _Toc206171730 \h </w:instrText>
          </w:r>
          <w:r>
            <w:rPr>
              <w:sz w:val="21"/>
              <w:szCs w:val="21"/>
            </w:rPr>
            <w:fldChar w:fldCharType="separate"/>
          </w:r>
          <w:r>
            <w:rPr>
              <w:sz w:val="21"/>
              <w:szCs w:val="21"/>
            </w:rPr>
            <w:t>32</w:t>
          </w:r>
          <w:r>
            <w:rPr>
              <w:sz w:val="21"/>
              <w:szCs w:val="21"/>
            </w:rPr>
            <w:fldChar w:fldCharType="end"/>
          </w:r>
          <w:r>
            <w:fldChar w:fldCharType="end"/>
          </w:r>
        </w:p>
        <w:p w14:paraId="2C68D11A">
          <w:pPr>
            <w:pStyle w:val="22"/>
            <w:rPr>
              <w:sz w:val="21"/>
              <w:szCs w:val="22"/>
            </w:rPr>
          </w:pPr>
          <w:r>
            <w:fldChar w:fldCharType="begin"/>
          </w:r>
          <w:r>
            <w:instrText xml:space="preserve"> HYPERLINK \l "_Toc206171731" </w:instrText>
          </w:r>
          <w:r>
            <w:fldChar w:fldCharType="separate"/>
          </w:r>
          <w:r>
            <w:rPr>
              <w:rStyle w:val="35"/>
              <w:sz w:val="21"/>
              <w:szCs w:val="21"/>
            </w:rPr>
            <w:t>4 测控要求</w:t>
          </w:r>
          <w:r>
            <w:tab/>
          </w:r>
          <w:r>
            <w:rPr>
              <w:sz w:val="21"/>
              <w:szCs w:val="21"/>
            </w:rPr>
            <w:fldChar w:fldCharType="begin"/>
          </w:r>
          <w:r>
            <w:rPr>
              <w:sz w:val="21"/>
              <w:szCs w:val="21"/>
            </w:rPr>
            <w:instrText xml:space="preserve"> PAGEREF _Toc206171731 \h </w:instrText>
          </w:r>
          <w:r>
            <w:rPr>
              <w:sz w:val="21"/>
              <w:szCs w:val="21"/>
            </w:rPr>
            <w:fldChar w:fldCharType="separate"/>
          </w:r>
          <w:r>
            <w:rPr>
              <w:sz w:val="21"/>
              <w:szCs w:val="21"/>
            </w:rPr>
            <w:t>33</w:t>
          </w:r>
          <w:r>
            <w:rPr>
              <w:sz w:val="21"/>
              <w:szCs w:val="21"/>
            </w:rPr>
            <w:fldChar w:fldCharType="end"/>
          </w:r>
          <w:r>
            <w:fldChar w:fldCharType="end"/>
          </w:r>
        </w:p>
        <w:p w14:paraId="4C2A9A01">
          <w:pPr>
            <w:pStyle w:val="25"/>
            <w:rPr>
              <w:szCs w:val="22"/>
            </w:rPr>
          </w:pPr>
          <w:r>
            <w:fldChar w:fldCharType="begin"/>
          </w:r>
          <w:r>
            <w:instrText xml:space="preserve"> HYPERLINK \l "_Toc206171732" </w:instrText>
          </w:r>
          <w:r>
            <w:fldChar w:fldCharType="separate"/>
          </w:r>
          <w:r>
            <w:rPr>
              <w:rStyle w:val="35"/>
            </w:rPr>
            <w:t>4.1 VOCs冷凝法回收装置测控要求</w:t>
          </w:r>
          <w:r>
            <w:tab/>
          </w:r>
          <w:r>
            <w:fldChar w:fldCharType="begin"/>
          </w:r>
          <w:r>
            <w:instrText xml:space="preserve"> PAGEREF _Toc206171732 \h </w:instrText>
          </w:r>
          <w:r>
            <w:fldChar w:fldCharType="separate"/>
          </w:r>
          <w:r>
            <w:t>33</w:t>
          </w:r>
          <w:r>
            <w:fldChar w:fldCharType="end"/>
          </w:r>
          <w:r>
            <w:fldChar w:fldCharType="end"/>
          </w:r>
        </w:p>
        <w:p w14:paraId="1962E940">
          <w:pPr>
            <w:pStyle w:val="25"/>
            <w:rPr>
              <w:szCs w:val="22"/>
            </w:rPr>
          </w:pPr>
          <w:r>
            <w:fldChar w:fldCharType="begin"/>
          </w:r>
          <w:r>
            <w:instrText xml:space="preserve"> HYPERLINK \l "_Toc206171733" </w:instrText>
          </w:r>
          <w:r>
            <w:fldChar w:fldCharType="separate"/>
          </w:r>
          <w:r>
            <w:rPr>
              <w:rStyle w:val="35"/>
            </w:rPr>
            <w:t>4.2 VOCs冷凝+吸附法回收装置测控要求</w:t>
          </w:r>
          <w:r>
            <w:tab/>
          </w:r>
          <w:r>
            <w:fldChar w:fldCharType="begin"/>
          </w:r>
          <w:r>
            <w:instrText xml:space="preserve"> PAGEREF _Toc206171733 \h </w:instrText>
          </w:r>
          <w:r>
            <w:fldChar w:fldCharType="separate"/>
          </w:r>
          <w:r>
            <w:t>34</w:t>
          </w:r>
          <w:r>
            <w:fldChar w:fldCharType="end"/>
          </w:r>
          <w:r>
            <w:fldChar w:fldCharType="end"/>
          </w:r>
        </w:p>
        <w:p w14:paraId="029B05FC">
          <w:pPr>
            <w:pStyle w:val="25"/>
            <w:rPr>
              <w:szCs w:val="22"/>
            </w:rPr>
          </w:pPr>
          <w:r>
            <w:fldChar w:fldCharType="begin"/>
          </w:r>
          <w:r>
            <w:instrText xml:space="preserve"> HYPERLINK \l "_Toc206171734" </w:instrText>
          </w:r>
          <w:r>
            <w:fldChar w:fldCharType="separate"/>
          </w:r>
          <w:r>
            <w:rPr>
              <w:rStyle w:val="35"/>
            </w:rPr>
            <w:t>4.3 VOCs冷凝+吸收法回收装置测控要求</w:t>
          </w:r>
          <w:r>
            <w:tab/>
          </w:r>
          <w:r>
            <w:fldChar w:fldCharType="begin"/>
          </w:r>
          <w:r>
            <w:instrText xml:space="preserve"> PAGEREF _Toc206171734 \h </w:instrText>
          </w:r>
          <w:r>
            <w:fldChar w:fldCharType="separate"/>
          </w:r>
          <w:r>
            <w:t>34</w:t>
          </w:r>
          <w:r>
            <w:fldChar w:fldCharType="end"/>
          </w:r>
          <w:r>
            <w:fldChar w:fldCharType="end"/>
          </w:r>
        </w:p>
        <w:p w14:paraId="10413DD6">
          <w:pPr>
            <w:pStyle w:val="25"/>
            <w:rPr>
              <w:szCs w:val="22"/>
            </w:rPr>
          </w:pPr>
          <w:r>
            <w:fldChar w:fldCharType="begin"/>
          </w:r>
          <w:r>
            <w:instrText xml:space="preserve"> HYPERLINK \l "_Toc206171735" </w:instrText>
          </w:r>
          <w:r>
            <w:fldChar w:fldCharType="separate"/>
          </w:r>
          <w:r>
            <w:rPr>
              <w:rStyle w:val="35"/>
            </w:rPr>
            <w:t>4.4 VOCs冷凝+膜分离法回收装置测控要求</w:t>
          </w:r>
          <w:r>
            <w:tab/>
          </w:r>
          <w:r>
            <w:fldChar w:fldCharType="begin"/>
          </w:r>
          <w:r>
            <w:instrText xml:space="preserve"> PAGEREF _Toc206171735 \h </w:instrText>
          </w:r>
          <w:r>
            <w:fldChar w:fldCharType="separate"/>
          </w:r>
          <w:r>
            <w:t>35</w:t>
          </w:r>
          <w:r>
            <w:fldChar w:fldCharType="end"/>
          </w:r>
          <w:r>
            <w:fldChar w:fldCharType="end"/>
          </w:r>
        </w:p>
        <w:p w14:paraId="31EDF172">
          <w:pPr>
            <w:pStyle w:val="22"/>
            <w:rPr>
              <w:sz w:val="21"/>
              <w:szCs w:val="22"/>
            </w:rPr>
          </w:pPr>
          <w:r>
            <w:fldChar w:fldCharType="begin"/>
          </w:r>
          <w:r>
            <w:instrText xml:space="preserve"> HYPERLINK \l "_Toc206171736" </w:instrText>
          </w:r>
          <w:r>
            <w:fldChar w:fldCharType="separate"/>
          </w:r>
          <w:r>
            <w:rPr>
              <w:rStyle w:val="35"/>
              <w:sz w:val="21"/>
              <w:szCs w:val="21"/>
            </w:rPr>
            <w:t>5 控制系统</w:t>
          </w:r>
          <w:r>
            <w:tab/>
          </w:r>
          <w:r>
            <w:rPr>
              <w:sz w:val="21"/>
              <w:szCs w:val="21"/>
            </w:rPr>
            <w:fldChar w:fldCharType="begin"/>
          </w:r>
          <w:r>
            <w:rPr>
              <w:sz w:val="21"/>
              <w:szCs w:val="21"/>
            </w:rPr>
            <w:instrText xml:space="preserve"> PAGEREF _Toc206171736 \h </w:instrText>
          </w:r>
          <w:r>
            <w:rPr>
              <w:sz w:val="21"/>
              <w:szCs w:val="21"/>
            </w:rPr>
            <w:fldChar w:fldCharType="separate"/>
          </w:r>
          <w:r>
            <w:rPr>
              <w:sz w:val="21"/>
              <w:szCs w:val="21"/>
            </w:rPr>
            <w:t>36</w:t>
          </w:r>
          <w:r>
            <w:rPr>
              <w:sz w:val="21"/>
              <w:szCs w:val="21"/>
            </w:rPr>
            <w:fldChar w:fldCharType="end"/>
          </w:r>
          <w:r>
            <w:fldChar w:fldCharType="end"/>
          </w:r>
        </w:p>
        <w:p w14:paraId="10545D76">
          <w:pPr>
            <w:pStyle w:val="25"/>
            <w:rPr>
              <w:szCs w:val="22"/>
            </w:rPr>
          </w:pPr>
          <w:r>
            <w:fldChar w:fldCharType="begin"/>
          </w:r>
          <w:r>
            <w:instrText xml:space="preserve"> HYPERLINK \l "_Toc206171737" </w:instrText>
          </w:r>
          <w:r>
            <w:fldChar w:fldCharType="separate"/>
          </w:r>
          <w:r>
            <w:rPr>
              <w:rStyle w:val="35"/>
            </w:rPr>
            <w:t>5.1 基本过程控制系统（BPCS）</w:t>
          </w:r>
          <w:r>
            <w:tab/>
          </w:r>
          <w:r>
            <w:fldChar w:fldCharType="begin"/>
          </w:r>
          <w:r>
            <w:instrText xml:space="preserve"> PAGEREF _Toc206171737 \h </w:instrText>
          </w:r>
          <w:r>
            <w:fldChar w:fldCharType="separate"/>
          </w:r>
          <w:r>
            <w:t>36</w:t>
          </w:r>
          <w:r>
            <w:fldChar w:fldCharType="end"/>
          </w:r>
          <w:r>
            <w:fldChar w:fldCharType="end"/>
          </w:r>
        </w:p>
        <w:p w14:paraId="0F923071">
          <w:pPr>
            <w:pStyle w:val="22"/>
            <w:rPr>
              <w:sz w:val="21"/>
              <w:szCs w:val="22"/>
            </w:rPr>
          </w:pPr>
          <w:r>
            <w:fldChar w:fldCharType="begin"/>
          </w:r>
          <w:r>
            <w:instrText xml:space="preserve"> HYPERLINK \l "_Toc206171738" </w:instrText>
          </w:r>
          <w:r>
            <w:fldChar w:fldCharType="separate"/>
          </w:r>
          <w:r>
            <w:rPr>
              <w:rStyle w:val="35"/>
              <w:sz w:val="21"/>
              <w:szCs w:val="21"/>
            </w:rPr>
            <w:t>6 检测仪表</w:t>
          </w:r>
          <w:r>
            <w:tab/>
          </w:r>
          <w:r>
            <w:rPr>
              <w:sz w:val="21"/>
              <w:szCs w:val="21"/>
            </w:rPr>
            <w:fldChar w:fldCharType="begin"/>
          </w:r>
          <w:r>
            <w:rPr>
              <w:sz w:val="21"/>
              <w:szCs w:val="21"/>
            </w:rPr>
            <w:instrText xml:space="preserve"> PAGEREF _Toc206171738 \h </w:instrText>
          </w:r>
          <w:r>
            <w:rPr>
              <w:sz w:val="21"/>
              <w:szCs w:val="21"/>
            </w:rPr>
            <w:fldChar w:fldCharType="separate"/>
          </w:r>
          <w:r>
            <w:rPr>
              <w:sz w:val="21"/>
              <w:szCs w:val="21"/>
            </w:rPr>
            <w:t>37</w:t>
          </w:r>
          <w:r>
            <w:rPr>
              <w:sz w:val="21"/>
              <w:szCs w:val="21"/>
            </w:rPr>
            <w:fldChar w:fldCharType="end"/>
          </w:r>
          <w:r>
            <w:fldChar w:fldCharType="end"/>
          </w:r>
        </w:p>
        <w:p w14:paraId="765917D8">
          <w:pPr>
            <w:pStyle w:val="25"/>
            <w:rPr>
              <w:szCs w:val="22"/>
            </w:rPr>
          </w:pPr>
          <w:r>
            <w:fldChar w:fldCharType="begin"/>
          </w:r>
          <w:r>
            <w:instrText xml:space="preserve"> HYPERLINK \l "_Toc206171739" </w:instrText>
          </w:r>
          <w:r>
            <w:fldChar w:fldCharType="separate"/>
          </w:r>
          <w:r>
            <w:rPr>
              <w:rStyle w:val="35"/>
            </w:rPr>
            <w:t>6.1 一般规定</w:t>
          </w:r>
          <w:r>
            <w:tab/>
          </w:r>
          <w:r>
            <w:fldChar w:fldCharType="begin"/>
          </w:r>
          <w:r>
            <w:instrText xml:space="preserve"> PAGEREF _Toc206171739 \h </w:instrText>
          </w:r>
          <w:r>
            <w:fldChar w:fldCharType="separate"/>
          </w:r>
          <w:r>
            <w:t>37</w:t>
          </w:r>
          <w:r>
            <w:fldChar w:fldCharType="end"/>
          </w:r>
          <w:r>
            <w:fldChar w:fldCharType="end"/>
          </w:r>
        </w:p>
        <w:p w14:paraId="52F4AD88">
          <w:pPr>
            <w:pStyle w:val="25"/>
            <w:rPr>
              <w:szCs w:val="22"/>
            </w:rPr>
          </w:pPr>
          <w:r>
            <w:fldChar w:fldCharType="begin"/>
          </w:r>
          <w:r>
            <w:instrText xml:space="preserve"> HYPERLINK \l "_Toc206171740" </w:instrText>
          </w:r>
          <w:r>
            <w:fldChar w:fldCharType="separate"/>
          </w:r>
          <w:r>
            <w:rPr>
              <w:rStyle w:val="35"/>
            </w:rPr>
            <w:t>6.4 流量仪表</w:t>
          </w:r>
          <w:r>
            <w:tab/>
          </w:r>
          <w:r>
            <w:fldChar w:fldCharType="begin"/>
          </w:r>
          <w:r>
            <w:instrText xml:space="preserve"> PAGEREF _Toc206171740 \h </w:instrText>
          </w:r>
          <w:r>
            <w:fldChar w:fldCharType="separate"/>
          </w:r>
          <w:r>
            <w:t>37</w:t>
          </w:r>
          <w:r>
            <w:fldChar w:fldCharType="end"/>
          </w:r>
          <w:r>
            <w:fldChar w:fldCharType="end"/>
          </w:r>
        </w:p>
        <w:p w14:paraId="0FB2222F">
          <w:pPr>
            <w:pStyle w:val="25"/>
            <w:rPr>
              <w:szCs w:val="22"/>
            </w:rPr>
          </w:pPr>
          <w:r>
            <w:fldChar w:fldCharType="begin"/>
          </w:r>
          <w:r>
            <w:instrText xml:space="preserve"> HYPERLINK \l "_Toc206171741" </w:instrText>
          </w:r>
          <w:r>
            <w:fldChar w:fldCharType="separate"/>
          </w:r>
          <w:r>
            <w:rPr>
              <w:rStyle w:val="35"/>
            </w:rPr>
            <w:t>6.6 分析仪表</w:t>
          </w:r>
          <w:r>
            <w:tab/>
          </w:r>
          <w:r>
            <w:fldChar w:fldCharType="begin"/>
          </w:r>
          <w:r>
            <w:instrText xml:space="preserve"> PAGEREF _Toc206171741 \h </w:instrText>
          </w:r>
          <w:r>
            <w:fldChar w:fldCharType="separate"/>
          </w:r>
          <w:r>
            <w:t>37</w:t>
          </w:r>
          <w:r>
            <w:fldChar w:fldCharType="end"/>
          </w:r>
          <w:r>
            <w:fldChar w:fldCharType="end"/>
          </w:r>
        </w:p>
        <w:p w14:paraId="3FD62E81">
          <w:pPr>
            <w:pStyle w:val="25"/>
            <w:rPr>
              <w:szCs w:val="22"/>
            </w:rPr>
          </w:pPr>
          <w:r>
            <w:fldChar w:fldCharType="begin"/>
          </w:r>
          <w:r>
            <w:instrText xml:space="preserve"> HYPERLINK \l "_Toc206171742" </w:instrText>
          </w:r>
          <w:r>
            <w:fldChar w:fldCharType="separate"/>
          </w:r>
          <w:r>
            <w:rPr>
              <w:rStyle w:val="35"/>
            </w:rPr>
            <w:t>6.7 控制阀</w:t>
          </w:r>
          <w:r>
            <w:tab/>
          </w:r>
          <w:r>
            <w:fldChar w:fldCharType="begin"/>
          </w:r>
          <w:r>
            <w:instrText xml:space="preserve"> PAGEREF _Toc206171742 \h </w:instrText>
          </w:r>
          <w:r>
            <w:fldChar w:fldCharType="separate"/>
          </w:r>
          <w:r>
            <w:t>38</w:t>
          </w:r>
          <w:r>
            <w:fldChar w:fldCharType="end"/>
          </w:r>
          <w:r>
            <w:fldChar w:fldCharType="end"/>
          </w:r>
        </w:p>
        <w:p w14:paraId="16C2E501">
          <w:pPr>
            <w:pStyle w:val="22"/>
            <w:rPr>
              <w:sz w:val="21"/>
              <w:szCs w:val="22"/>
            </w:rPr>
          </w:pPr>
          <w:r>
            <w:fldChar w:fldCharType="begin"/>
          </w:r>
          <w:r>
            <w:instrText xml:space="preserve"> HYPERLINK \l "_Toc206171743" </w:instrText>
          </w:r>
          <w:r>
            <w:fldChar w:fldCharType="separate"/>
          </w:r>
          <w:r>
            <w:rPr>
              <w:rStyle w:val="35"/>
              <w:sz w:val="21"/>
              <w:szCs w:val="21"/>
            </w:rPr>
            <w:t>7 排放监测系统</w:t>
          </w:r>
          <w:r>
            <w:tab/>
          </w:r>
          <w:r>
            <w:rPr>
              <w:sz w:val="21"/>
              <w:szCs w:val="21"/>
            </w:rPr>
            <w:fldChar w:fldCharType="begin"/>
          </w:r>
          <w:r>
            <w:rPr>
              <w:sz w:val="21"/>
              <w:szCs w:val="21"/>
            </w:rPr>
            <w:instrText xml:space="preserve"> PAGEREF _Toc206171743 \h </w:instrText>
          </w:r>
          <w:r>
            <w:rPr>
              <w:sz w:val="21"/>
              <w:szCs w:val="21"/>
            </w:rPr>
            <w:fldChar w:fldCharType="separate"/>
          </w:r>
          <w:r>
            <w:rPr>
              <w:sz w:val="21"/>
              <w:szCs w:val="21"/>
            </w:rPr>
            <w:t>39</w:t>
          </w:r>
          <w:r>
            <w:rPr>
              <w:sz w:val="21"/>
              <w:szCs w:val="21"/>
            </w:rPr>
            <w:fldChar w:fldCharType="end"/>
          </w:r>
          <w:r>
            <w:fldChar w:fldCharType="end"/>
          </w:r>
        </w:p>
        <w:p w14:paraId="4DD81E8B">
          <w:pPr>
            <w:pStyle w:val="25"/>
            <w:rPr>
              <w:szCs w:val="22"/>
            </w:rPr>
          </w:pPr>
          <w:r>
            <w:fldChar w:fldCharType="begin"/>
          </w:r>
          <w:r>
            <w:instrText xml:space="preserve"> HYPERLINK \l "_Toc206171744" </w:instrText>
          </w:r>
          <w:r>
            <w:fldChar w:fldCharType="separate"/>
          </w:r>
          <w:r>
            <w:rPr>
              <w:rStyle w:val="35"/>
            </w:rPr>
            <w:t>7.1 一般规定</w:t>
          </w:r>
          <w:r>
            <w:tab/>
          </w:r>
          <w:r>
            <w:fldChar w:fldCharType="begin"/>
          </w:r>
          <w:r>
            <w:instrText xml:space="preserve"> PAGEREF _Toc206171744 \h </w:instrText>
          </w:r>
          <w:r>
            <w:fldChar w:fldCharType="separate"/>
          </w:r>
          <w:r>
            <w:t>39</w:t>
          </w:r>
          <w:r>
            <w:fldChar w:fldCharType="end"/>
          </w:r>
          <w:r>
            <w:fldChar w:fldCharType="end"/>
          </w:r>
        </w:p>
        <w:p w14:paraId="7718A9C3">
          <w:pPr>
            <w:pStyle w:val="25"/>
            <w:rPr>
              <w:szCs w:val="22"/>
            </w:rPr>
          </w:pPr>
          <w:r>
            <w:fldChar w:fldCharType="begin"/>
          </w:r>
          <w:r>
            <w:instrText xml:space="preserve"> HYPERLINK \l "_Toc206171745" </w:instrText>
          </w:r>
          <w:r>
            <w:fldChar w:fldCharType="separate"/>
          </w:r>
          <w:r>
            <w:rPr>
              <w:rStyle w:val="35"/>
            </w:rPr>
            <w:t>7.2 排放监测系统组成</w:t>
          </w:r>
          <w:r>
            <w:tab/>
          </w:r>
          <w:r>
            <w:fldChar w:fldCharType="begin"/>
          </w:r>
          <w:r>
            <w:instrText xml:space="preserve"> PAGEREF _Toc206171745 \h </w:instrText>
          </w:r>
          <w:r>
            <w:fldChar w:fldCharType="separate"/>
          </w:r>
          <w:r>
            <w:t>39</w:t>
          </w:r>
          <w:r>
            <w:fldChar w:fldCharType="end"/>
          </w:r>
          <w:r>
            <w:fldChar w:fldCharType="end"/>
          </w:r>
        </w:p>
        <w:p w14:paraId="083593EE">
          <w:pPr>
            <w:pStyle w:val="25"/>
            <w:rPr>
              <w:szCs w:val="22"/>
            </w:rPr>
          </w:pPr>
          <w:r>
            <w:fldChar w:fldCharType="begin"/>
          </w:r>
          <w:r>
            <w:instrText xml:space="preserve"> HYPERLINK \l "_Toc206171746" </w:instrText>
          </w:r>
          <w:r>
            <w:fldChar w:fldCharType="separate"/>
          </w:r>
          <w:r>
            <w:rPr>
              <w:rStyle w:val="35"/>
            </w:rPr>
            <w:t>7.3 数据采集系统</w:t>
          </w:r>
          <w:r>
            <w:tab/>
          </w:r>
          <w:r>
            <w:fldChar w:fldCharType="begin"/>
          </w:r>
          <w:r>
            <w:instrText xml:space="preserve"> PAGEREF _Toc206171746 \h </w:instrText>
          </w:r>
          <w:r>
            <w:fldChar w:fldCharType="separate"/>
          </w:r>
          <w:r>
            <w:t>41</w:t>
          </w:r>
          <w:r>
            <w:fldChar w:fldCharType="end"/>
          </w:r>
          <w:r>
            <w:fldChar w:fldCharType="end"/>
          </w:r>
        </w:p>
        <w:p w14:paraId="0A78CF21">
          <w:pPr>
            <w:pStyle w:val="22"/>
            <w:rPr>
              <w:sz w:val="21"/>
              <w:szCs w:val="22"/>
            </w:rPr>
          </w:pPr>
          <w:r>
            <w:fldChar w:fldCharType="begin"/>
          </w:r>
          <w:r>
            <w:instrText xml:space="preserve"> HYPERLINK \l "_Toc206171747" </w:instrText>
          </w:r>
          <w:r>
            <w:fldChar w:fldCharType="separate"/>
          </w:r>
          <w:r>
            <w:rPr>
              <w:rStyle w:val="35"/>
              <w:sz w:val="21"/>
              <w:szCs w:val="21"/>
            </w:rPr>
            <w:t>8 监测站房</w:t>
          </w:r>
          <w:r>
            <w:tab/>
          </w:r>
          <w:r>
            <w:rPr>
              <w:sz w:val="21"/>
              <w:szCs w:val="21"/>
            </w:rPr>
            <w:fldChar w:fldCharType="begin"/>
          </w:r>
          <w:r>
            <w:rPr>
              <w:sz w:val="21"/>
              <w:szCs w:val="21"/>
            </w:rPr>
            <w:instrText xml:space="preserve"> PAGEREF _Toc206171747 \h </w:instrText>
          </w:r>
          <w:r>
            <w:rPr>
              <w:sz w:val="21"/>
              <w:szCs w:val="21"/>
            </w:rPr>
            <w:fldChar w:fldCharType="separate"/>
          </w:r>
          <w:r>
            <w:rPr>
              <w:sz w:val="21"/>
              <w:szCs w:val="21"/>
            </w:rPr>
            <w:t>42</w:t>
          </w:r>
          <w:r>
            <w:rPr>
              <w:sz w:val="21"/>
              <w:szCs w:val="21"/>
            </w:rPr>
            <w:fldChar w:fldCharType="end"/>
          </w:r>
          <w:r>
            <w:fldChar w:fldCharType="end"/>
          </w:r>
        </w:p>
        <w:p w14:paraId="57AEEB45">
          <w:pPr>
            <w:pStyle w:val="22"/>
            <w:rPr>
              <w:sz w:val="21"/>
              <w:szCs w:val="22"/>
            </w:rPr>
          </w:pPr>
          <w:r>
            <w:fldChar w:fldCharType="begin"/>
          </w:r>
          <w:r>
            <w:instrText xml:space="preserve"> HYPERLINK \l "_Toc206171748" </w:instrText>
          </w:r>
          <w:r>
            <w:fldChar w:fldCharType="separate"/>
          </w:r>
          <w:r>
            <w:rPr>
              <w:rStyle w:val="35"/>
              <w:sz w:val="21"/>
              <w:szCs w:val="21"/>
            </w:rPr>
            <w:t>9 安装设计</w:t>
          </w:r>
          <w:r>
            <w:tab/>
          </w:r>
          <w:r>
            <w:rPr>
              <w:sz w:val="21"/>
              <w:szCs w:val="21"/>
            </w:rPr>
            <w:fldChar w:fldCharType="begin"/>
          </w:r>
          <w:r>
            <w:rPr>
              <w:sz w:val="21"/>
              <w:szCs w:val="21"/>
            </w:rPr>
            <w:instrText xml:space="preserve"> PAGEREF _Toc206171748 \h </w:instrText>
          </w:r>
          <w:r>
            <w:rPr>
              <w:sz w:val="21"/>
              <w:szCs w:val="21"/>
            </w:rPr>
            <w:fldChar w:fldCharType="separate"/>
          </w:r>
          <w:r>
            <w:rPr>
              <w:sz w:val="21"/>
              <w:szCs w:val="21"/>
            </w:rPr>
            <w:t>43</w:t>
          </w:r>
          <w:r>
            <w:rPr>
              <w:sz w:val="21"/>
              <w:szCs w:val="21"/>
            </w:rPr>
            <w:fldChar w:fldCharType="end"/>
          </w:r>
          <w:r>
            <w:fldChar w:fldCharType="end"/>
          </w:r>
        </w:p>
        <w:p w14:paraId="6C849E70">
          <w:pPr>
            <w:pStyle w:val="25"/>
            <w:rPr>
              <w:szCs w:val="22"/>
            </w:rPr>
          </w:pPr>
          <w:r>
            <w:fldChar w:fldCharType="begin"/>
          </w:r>
          <w:r>
            <w:instrText xml:space="preserve"> HYPERLINK \l "_Toc206171749" </w:instrText>
          </w:r>
          <w:r>
            <w:fldChar w:fldCharType="separate"/>
          </w:r>
          <w:r>
            <w:rPr>
              <w:rStyle w:val="35"/>
            </w:rPr>
            <w:t>9.4 仪表接地和防雷</w:t>
          </w:r>
          <w:r>
            <w:tab/>
          </w:r>
          <w:r>
            <w:fldChar w:fldCharType="begin"/>
          </w:r>
          <w:r>
            <w:instrText xml:space="preserve"> PAGEREF _Toc206171749 \h </w:instrText>
          </w:r>
          <w:r>
            <w:fldChar w:fldCharType="separate"/>
          </w:r>
          <w:r>
            <w:t>43</w:t>
          </w:r>
          <w:r>
            <w:fldChar w:fldCharType="end"/>
          </w:r>
          <w:r>
            <w:fldChar w:fldCharType="end"/>
          </w:r>
        </w:p>
        <w:p w14:paraId="36BF2FDD">
          <w:pPr>
            <w:pStyle w:val="22"/>
            <w:rPr>
              <w:sz w:val="21"/>
              <w:szCs w:val="22"/>
            </w:rPr>
          </w:pPr>
          <w:r>
            <w:fldChar w:fldCharType="begin"/>
          </w:r>
          <w:r>
            <w:instrText xml:space="preserve"> HYPERLINK \l "_Toc206171750" </w:instrText>
          </w:r>
          <w:r>
            <w:fldChar w:fldCharType="separate"/>
          </w:r>
          <w:r>
            <w:rPr>
              <w:rStyle w:val="35"/>
              <w:sz w:val="21"/>
              <w:szCs w:val="21"/>
            </w:rPr>
            <w:t>资料A  常用的大气污染物排放指标</w:t>
          </w:r>
          <w:r>
            <w:tab/>
          </w:r>
          <w:r>
            <w:rPr>
              <w:sz w:val="21"/>
              <w:szCs w:val="21"/>
            </w:rPr>
            <w:fldChar w:fldCharType="begin"/>
          </w:r>
          <w:r>
            <w:rPr>
              <w:sz w:val="21"/>
              <w:szCs w:val="21"/>
            </w:rPr>
            <w:instrText xml:space="preserve"> PAGEREF _Toc206171750 \h </w:instrText>
          </w:r>
          <w:r>
            <w:rPr>
              <w:sz w:val="21"/>
              <w:szCs w:val="21"/>
            </w:rPr>
            <w:fldChar w:fldCharType="separate"/>
          </w:r>
          <w:r>
            <w:rPr>
              <w:sz w:val="21"/>
              <w:szCs w:val="21"/>
            </w:rPr>
            <w:t>44</w:t>
          </w:r>
          <w:r>
            <w:rPr>
              <w:sz w:val="21"/>
              <w:szCs w:val="21"/>
            </w:rPr>
            <w:fldChar w:fldCharType="end"/>
          </w:r>
          <w:r>
            <w:fldChar w:fldCharType="end"/>
          </w:r>
        </w:p>
        <w:p w14:paraId="5F9C10D1">
          <w:pPr>
            <w:pStyle w:val="22"/>
            <w:rPr>
              <w:sz w:val="21"/>
              <w:szCs w:val="22"/>
            </w:rPr>
          </w:pPr>
          <w:r>
            <w:fldChar w:fldCharType="begin"/>
          </w:r>
          <w:r>
            <w:instrText xml:space="preserve"> HYPERLINK \l "_Toc206171751" </w:instrText>
          </w:r>
          <w:r>
            <w:fldChar w:fldCharType="separate"/>
          </w:r>
          <w:r>
            <w:rPr>
              <w:rStyle w:val="35"/>
              <w:sz w:val="21"/>
              <w:szCs w:val="21"/>
            </w:rPr>
            <w:t>资料B  常用的大气排放物浓度检测分析仪表</w:t>
          </w:r>
          <w:r>
            <w:tab/>
          </w:r>
          <w:r>
            <w:rPr>
              <w:sz w:val="21"/>
              <w:szCs w:val="21"/>
            </w:rPr>
            <w:fldChar w:fldCharType="begin"/>
          </w:r>
          <w:r>
            <w:rPr>
              <w:sz w:val="21"/>
              <w:szCs w:val="21"/>
            </w:rPr>
            <w:instrText xml:space="preserve"> PAGEREF _Toc206171751 \h </w:instrText>
          </w:r>
          <w:r>
            <w:rPr>
              <w:sz w:val="21"/>
              <w:szCs w:val="21"/>
            </w:rPr>
            <w:fldChar w:fldCharType="separate"/>
          </w:r>
          <w:r>
            <w:rPr>
              <w:sz w:val="21"/>
              <w:szCs w:val="21"/>
            </w:rPr>
            <w:t>46</w:t>
          </w:r>
          <w:r>
            <w:rPr>
              <w:sz w:val="21"/>
              <w:szCs w:val="21"/>
            </w:rPr>
            <w:fldChar w:fldCharType="end"/>
          </w:r>
          <w:r>
            <w:fldChar w:fldCharType="end"/>
          </w:r>
        </w:p>
        <w:p w14:paraId="013E1279">
          <w:pPr>
            <w:pStyle w:val="22"/>
            <w:rPr>
              <w:sz w:val="21"/>
              <w:szCs w:val="22"/>
            </w:rPr>
          </w:pPr>
          <w:r>
            <w:fldChar w:fldCharType="begin"/>
          </w:r>
          <w:r>
            <w:instrText xml:space="preserve"> HYPERLINK \l "_Toc206171752" </w:instrText>
          </w:r>
          <w:r>
            <w:fldChar w:fldCharType="separate"/>
          </w:r>
          <w:r>
            <w:rPr>
              <w:rStyle w:val="35"/>
              <w:sz w:val="21"/>
              <w:szCs w:val="21"/>
            </w:rPr>
            <w:t>资料C  挥发性有机物治理技术选择表</w:t>
          </w:r>
          <w:r>
            <w:tab/>
          </w:r>
          <w:r>
            <w:rPr>
              <w:sz w:val="21"/>
              <w:szCs w:val="21"/>
            </w:rPr>
            <w:fldChar w:fldCharType="begin"/>
          </w:r>
          <w:r>
            <w:rPr>
              <w:sz w:val="21"/>
              <w:szCs w:val="21"/>
            </w:rPr>
            <w:instrText xml:space="preserve"> PAGEREF _Toc206171752 \h </w:instrText>
          </w:r>
          <w:r>
            <w:rPr>
              <w:sz w:val="21"/>
              <w:szCs w:val="21"/>
            </w:rPr>
            <w:fldChar w:fldCharType="separate"/>
          </w:r>
          <w:r>
            <w:rPr>
              <w:sz w:val="21"/>
              <w:szCs w:val="21"/>
            </w:rPr>
            <w:t>48</w:t>
          </w:r>
          <w:r>
            <w:rPr>
              <w:sz w:val="21"/>
              <w:szCs w:val="21"/>
            </w:rPr>
            <w:fldChar w:fldCharType="end"/>
          </w:r>
          <w:r>
            <w:fldChar w:fldCharType="end"/>
          </w:r>
        </w:p>
        <w:p w14:paraId="6A77FF58">
          <w:pPr>
            <w:spacing w:line="360" w:lineRule="auto"/>
          </w:pPr>
          <w:r>
            <w:rPr>
              <w:b/>
              <w:bCs/>
              <w:lang w:val="zh-CN"/>
            </w:rPr>
            <w:fldChar w:fldCharType="end"/>
          </w:r>
        </w:p>
      </w:sdtContent>
    </w:sdt>
    <w:p w14:paraId="56B516B0">
      <w:pPr>
        <w:widowControl/>
        <w:jc w:val="left"/>
        <w:rPr>
          <w:rFonts w:cs="宋体"/>
        </w:rPr>
      </w:pPr>
    </w:p>
    <w:p w14:paraId="32413A9B">
      <w:pPr>
        <w:widowControl/>
        <w:jc w:val="left"/>
        <w:rPr>
          <w:b/>
          <w:bCs/>
          <w:kern w:val="44"/>
          <w:sz w:val="28"/>
          <w:szCs w:val="28"/>
        </w:rPr>
      </w:pPr>
      <w:r>
        <w:rPr>
          <w:sz w:val="28"/>
          <w:szCs w:val="28"/>
        </w:rPr>
        <w:br w:type="page"/>
      </w:r>
    </w:p>
    <w:p w14:paraId="11F24C92">
      <w:pPr>
        <w:pStyle w:val="2"/>
        <w:jc w:val="center"/>
        <w:rPr>
          <w:sz w:val="28"/>
          <w:szCs w:val="28"/>
        </w:rPr>
      </w:pPr>
      <w:bookmarkStart w:id="178" w:name="_Toc206160083"/>
      <w:bookmarkStart w:id="179" w:name="_Toc206171728"/>
      <w:r>
        <w:rPr>
          <w:rFonts w:hint="eastAsia"/>
          <w:sz w:val="28"/>
          <w:szCs w:val="28"/>
        </w:rPr>
        <w:t>2</w:t>
      </w:r>
      <w:r>
        <w:rPr>
          <w:sz w:val="28"/>
          <w:szCs w:val="28"/>
        </w:rPr>
        <w:t xml:space="preserve"> 术语和缩略语</w:t>
      </w:r>
      <w:bookmarkEnd w:id="178"/>
      <w:bookmarkEnd w:id="179"/>
    </w:p>
    <w:p w14:paraId="177049C5">
      <w:pPr>
        <w:pStyle w:val="3"/>
        <w:jc w:val="center"/>
        <w:rPr>
          <w:sz w:val="21"/>
          <w:szCs w:val="21"/>
        </w:rPr>
      </w:pPr>
      <w:bookmarkStart w:id="180" w:name="_Toc206171729"/>
      <w:bookmarkStart w:id="181" w:name="_Toc206160084"/>
      <w:r>
        <w:rPr>
          <w:rFonts w:hint="eastAsia"/>
          <w:sz w:val="21"/>
          <w:szCs w:val="21"/>
        </w:rPr>
        <w:t>2</w:t>
      </w:r>
      <w:r>
        <w:rPr>
          <w:sz w:val="21"/>
          <w:szCs w:val="21"/>
        </w:rPr>
        <w:t>.1术语</w:t>
      </w:r>
      <w:bookmarkEnd w:id="180"/>
      <w:bookmarkEnd w:id="181"/>
    </w:p>
    <w:p w14:paraId="49CABE0B">
      <w:pPr>
        <w:pStyle w:val="56"/>
        <w:numPr>
          <w:ilvl w:val="0"/>
          <w:numId w:val="0"/>
        </w:numPr>
        <w:tabs>
          <w:tab w:val="clear" w:pos="426"/>
        </w:tabs>
        <w:spacing w:line="360" w:lineRule="auto"/>
        <w:rPr>
          <w:rFonts w:hint="eastAsia" w:eastAsia="宋体" w:cstheme="minorHAnsi"/>
          <w:color w:val="auto"/>
          <w:kern w:val="0"/>
          <w:szCs w:val="20"/>
          <w:lang w:val="en-US" w:eastAsia="zh-CN"/>
        </w:rPr>
      </w:pPr>
      <w:r>
        <w:rPr>
          <w:rFonts w:eastAsia="宋体" w:cstheme="minorHAnsi"/>
          <w:color w:val="auto"/>
          <w:kern w:val="0"/>
          <w:szCs w:val="20"/>
        </w:rPr>
        <w:t>2.1.1 挥发性有机物 volatile organic compounds</w:t>
      </w:r>
      <w:r>
        <w:rPr>
          <w:rFonts w:hint="eastAsia" w:eastAsia="宋体" w:cstheme="minorHAnsi"/>
          <w:color w:val="auto"/>
          <w:kern w:val="0"/>
          <w:szCs w:val="20"/>
          <w:lang w:val="en-US" w:eastAsia="zh-CN"/>
        </w:rPr>
        <w:t>;</w:t>
      </w:r>
      <w:r>
        <w:rPr>
          <w:rFonts w:eastAsia="宋体" w:cstheme="minorHAnsi"/>
          <w:color w:val="auto"/>
          <w:kern w:val="0"/>
          <w:szCs w:val="20"/>
        </w:rPr>
        <w:t>VOCs</w:t>
      </w:r>
    </w:p>
    <w:p w14:paraId="1367FCA0">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 xml:space="preserve">参考 </w:t>
      </w:r>
      <w:r>
        <w:rPr>
          <w:rFonts w:hint="eastAsia" w:eastAsia="宋体" w:cstheme="minorHAnsi"/>
          <w:color w:val="auto"/>
          <w:kern w:val="0"/>
          <w:szCs w:val="20"/>
          <w:lang w:eastAsia="zh-CN"/>
        </w:rPr>
        <w:t>《</w:t>
      </w:r>
      <w:r>
        <w:rPr>
          <w:rFonts w:eastAsia="宋体" w:cstheme="minorHAnsi"/>
          <w:color w:val="auto"/>
          <w:kern w:val="0"/>
          <w:szCs w:val="20"/>
        </w:rPr>
        <w:t>挥发性有机物无组织排放控制标准</w:t>
      </w:r>
      <w:r>
        <w:rPr>
          <w:rFonts w:hint="eastAsia" w:eastAsia="宋体" w:cstheme="minorHAnsi"/>
          <w:color w:val="auto"/>
          <w:kern w:val="0"/>
          <w:szCs w:val="20"/>
          <w:lang w:eastAsia="zh-CN"/>
        </w:rPr>
        <w:t>》</w:t>
      </w:r>
      <w:r>
        <w:rPr>
          <w:rFonts w:eastAsia="宋体" w:cstheme="minorHAnsi"/>
          <w:color w:val="auto"/>
          <w:kern w:val="0"/>
          <w:szCs w:val="20"/>
        </w:rPr>
        <w:t>GB 37822-2019中对VOCs的定义：参与大气光化学反应的有机化合物，或者根据有关规定确定的有机化合物。在表征 VOCs总体排放情况时，根据行业特征和环境管理要求，可采用总挥发性有机物（以TVOC表示）、非甲烷总烃（以NMHC表示）作为污染物控制项目。</w:t>
      </w:r>
    </w:p>
    <w:p w14:paraId="594F7CD8">
      <w:pPr>
        <w:pStyle w:val="56"/>
        <w:numPr>
          <w:ilvl w:val="0"/>
          <w:numId w:val="0"/>
        </w:numPr>
        <w:tabs>
          <w:tab w:val="clear" w:pos="426"/>
        </w:tabs>
        <w:spacing w:line="360" w:lineRule="auto"/>
        <w:rPr>
          <w:rFonts w:hint="eastAsia" w:eastAsia="宋体" w:cstheme="minorHAnsi"/>
          <w:color w:val="auto"/>
          <w:kern w:val="0"/>
          <w:szCs w:val="20"/>
          <w:lang w:val="en-US" w:eastAsia="zh-CN"/>
        </w:rPr>
      </w:pPr>
      <w:r>
        <w:rPr>
          <w:rFonts w:eastAsia="宋体" w:cstheme="minorHAnsi"/>
          <w:color w:val="auto"/>
          <w:kern w:val="0"/>
          <w:szCs w:val="20"/>
        </w:rPr>
        <w:t>2.1.2 总挥发有机物 total volatile organic compounds</w:t>
      </w:r>
      <w:r>
        <w:rPr>
          <w:rFonts w:hint="eastAsia" w:eastAsia="宋体" w:cstheme="minorHAnsi"/>
          <w:color w:val="auto"/>
          <w:kern w:val="0"/>
          <w:szCs w:val="20"/>
          <w:lang w:val="en-US" w:eastAsia="zh-CN"/>
        </w:rPr>
        <w:t>;</w:t>
      </w:r>
      <w:r>
        <w:rPr>
          <w:rFonts w:eastAsia="宋体" w:cstheme="minorHAnsi"/>
          <w:color w:val="auto"/>
          <w:kern w:val="0"/>
          <w:szCs w:val="20"/>
        </w:rPr>
        <w:t>TVOC</w:t>
      </w:r>
    </w:p>
    <w:p w14:paraId="59755F81">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 xml:space="preserve">参考GB 37822-2019 对TVOC的定义：采用规定的监测方法，对废气中的单项VOCs物质进行测量，加和得到VOCs物质的总量，以单项VOCs物质的质量浓度之和计。实际工作中，应按预期分析结果，对占总量90%以上的单项 VOCs物质进行测量，加和得出。 </w:t>
      </w:r>
    </w:p>
    <w:p w14:paraId="061EA837">
      <w:pPr>
        <w:pStyle w:val="56"/>
        <w:numPr>
          <w:ilvl w:val="0"/>
          <w:numId w:val="0"/>
        </w:numPr>
        <w:tabs>
          <w:tab w:val="clear" w:pos="426"/>
        </w:tabs>
        <w:spacing w:line="360" w:lineRule="auto"/>
        <w:rPr>
          <w:rFonts w:hint="eastAsia" w:eastAsia="宋体" w:cstheme="minorHAnsi"/>
          <w:color w:val="auto"/>
          <w:kern w:val="0"/>
          <w:szCs w:val="20"/>
          <w:lang w:val="en-US" w:eastAsia="zh-CN"/>
        </w:rPr>
      </w:pPr>
      <w:r>
        <w:rPr>
          <w:rFonts w:eastAsia="宋体" w:cstheme="minorHAnsi"/>
          <w:color w:val="auto"/>
          <w:kern w:val="0"/>
          <w:szCs w:val="20"/>
        </w:rPr>
        <w:t>2.1.3 非甲烷总烃 non-methane hydrocarbon</w:t>
      </w:r>
      <w:r>
        <w:rPr>
          <w:rFonts w:hint="eastAsia" w:eastAsia="宋体" w:cstheme="minorHAnsi"/>
          <w:color w:val="auto"/>
          <w:kern w:val="0"/>
          <w:szCs w:val="20"/>
          <w:lang w:val="en-US" w:eastAsia="zh-CN"/>
        </w:rPr>
        <w:t>;</w:t>
      </w:r>
      <w:r>
        <w:rPr>
          <w:rFonts w:eastAsia="宋体" w:cstheme="minorHAnsi"/>
          <w:color w:val="auto"/>
          <w:kern w:val="0"/>
          <w:szCs w:val="20"/>
        </w:rPr>
        <w:t>NMHC</w:t>
      </w:r>
    </w:p>
    <w:p w14:paraId="612802BF">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参考GB 37822-2019 对NMHC的定义：采用规定的监测方法，氢火焰离子化检测器有响应的除甲烷外的气态有机化合物的总和，以碳的质量浓度计。</w:t>
      </w:r>
    </w:p>
    <w:p w14:paraId="20758CFE">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泡点蒸气压 （True Vapor Pressure）：有机液体工作（储存）温度下的饱和蒸气压（绝对压力），或有机混合物液体气化率为零时的蒸气压，又称泡点蒸气压，可根据</w:t>
      </w:r>
      <w:r>
        <w:rPr>
          <w:rFonts w:hint="eastAsia" w:eastAsia="宋体" w:cstheme="minorHAnsi"/>
          <w:color w:val="auto"/>
          <w:kern w:val="0"/>
          <w:szCs w:val="20"/>
          <w:lang w:eastAsia="zh-CN"/>
        </w:rPr>
        <w:t>《石油产品蒸气压的测定</w:t>
      </w:r>
      <w:r>
        <w:rPr>
          <w:rFonts w:hint="eastAsia" w:eastAsia="宋体" w:cstheme="minorHAnsi"/>
          <w:color w:val="auto"/>
          <w:kern w:val="0"/>
          <w:szCs w:val="20"/>
          <w:lang w:val="en-US" w:eastAsia="zh-CN"/>
        </w:rPr>
        <w:t xml:space="preserve"> 雷德法</w:t>
      </w:r>
      <w:r>
        <w:rPr>
          <w:rFonts w:hint="eastAsia" w:eastAsia="宋体" w:cstheme="minorHAnsi"/>
          <w:color w:val="auto"/>
          <w:kern w:val="0"/>
          <w:szCs w:val="20"/>
          <w:lang w:eastAsia="zh-CN"/>
        </w:rPr>
        <w:t>》</w:t>
      </w:r>
      <w:r>
        <w:rPr>
          <w:rFonts w:eastAsia="宋体" w:cstheme="minorHAnsi"/>
          <w:color w:val="auto"/>
          <w:kern w:val="0"/>
          <w:szCs w:val="20"/>
        </w:rPr>
        <w:t xml:space="preserve"> GB/T 8017、</w:t>
      </w:r>
      <w:r>
        <w:rPr>
          <w:rFonts w:hint="eastAsia" w:eastAsia="宋体" w:cstheme="minorHAnsi"/>
          <w:color w:val="auto"/>
          <w:kern w:val="0"/>
          <w:szCs w:val="20"/>
          <w:lang w:eastAsia="zh-CN"/>
        </w:rPr>
        <w:t>《原油蒸气压的测定</w:t>
      </w:r>
      <w:r>
        <w:rPr>
          <w:rFonts w:hint="eastAsia" w:eastAsia="宋体" w:cstheme="minorHAnsi"/>
          <w:color w:val="auto"/>
          <w:kern w:val="0"/>
          <w:szCs w:val="20"/>
          <w:lang w:val="en-US" w:eastAsia="zh-CN"/>
        </w:rPr>
        <w:t xml:space="preserve"> 膨胀法</w:t>
      </w:r>
      <w:r>
        <w:rPr>
          <w:rFonts w:hint="eastAsia" w:eastAsia="宋体" w:cstheme="minorHAnsi"/>
          <w:color w:val="auto"/>
          <w:kern w:val="0"/>
          <w:szCs w:val="20"/>
          <w:lang w:eastAsia="zh-CN"/>
        </w:rPr>
        <w:t>》</w:t>
      </w:r>
      <w:r>
        <w:rPr>
          <w:rFonts w:eastAsia="宋体" w:cstheme="minorHAnsi"/>
          <w:color w:val="auto"/>
          <w:kern w:val="0"/>
          <w:szCs w:val="20"/>
        </w:rPr>
        <w:t>GB/T 11059 等相应测定方法换算得到。</w:t>
      </w:r>
    </w:p>
    <w:p w14:paraId="58AE9EB3">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 xml:space="preserve">注：在常温下工作（储存）的有机液体，其工作（储存）温度按常年的月平均气温最大值计算。 </w:t>
      </w:r>
      <w:r>
        <w:rPr>
          <w:rFonts w:hint="eastAsia" w:eastAsia="宋体" w:cstheme="minorHAnsi"/>
          <w:color w:val="auto"/>
          <w:kern w:val="0"/>
          <w:szCs w:val="20"/>
        </w:rPr>
        <w:t>（</w:t>
      </w:r>
      <w:r>
        <w:rPr>
          <w:rFonts w:hint="eastAsia" w:eastAsia="宋体" w:cstheme="minorHAnsi"/>
          <w:color w:val="auto"/>
          <w:kern w:val="0"/>
          <w:szCs w:val="20"/>
          <w:lang w:eastAsia="zh-CN"/>
        </w:rPr>
        <w:t>《</w:t>
      </w:r>
      <w:r>
        <w:rPr>
          <w:rFonts w:eastAsia="宋体" w:cstheme="minorHAnsi"/>
          <w:color w:val="auto"/>
          <w:kern w:val="0"/>
          <w:szCs w:val="20"/>
        </w:rPr>
        <w:t>挥发性有机物无组织排放控制标准</w:t>
      </w:r>
      <w:r>
        <w:rPr>
          <w:rFonts w:hint="eastAsia" w:eastAsia="宋体" w:cstheme="minorHAnsi"/>
          <w:color w:val="auto"/>
          <w:kern w:val="0"/>
          <w:szCs w:val="20"/>
          <w:lang w:eastAsia="zh-CN"/>
        </w:rPr>
        <w:t>》</w:t>
      </w:r>
      <w:r>
        <w:rPr>
          <w:rFonts w:eastAsia="宋体" w:cstheme="minorHAnsi"/>
          <w:color w:val="auto"/>
          <w:kern w:val="0"/>
          <w:szCs w:val="20"/>
        </w:rPr>
        <w:t>GB 37822-2019</w:t>
      </w:r>
      <w:r>
        <w:rPr>
          <w:rFonts w:hint="eastAsia" w:eastAsia="宋体" w:cstheme="minorHAnsi"/>
          <w:color w:val="auto"/>
          <w:kern w:val="0"/>
          <w:szCs w:val="20"/>
        </w:rPr>
        <w:t>）。</w:t>
      </w:r>
    </w:p>
    <w:p w14:paraId="221C99E8">
      <w:pPr>
        <w:pStyle w:val="56"/>
        <w:numPr>
          <w:ilvl w:val="0"/>
          <w:numId w:val="0"/>
        </w:numPr>
        <w:tabs>
          <w:tab w:val="clear" w:pos="426"/>
        </w:tabs>
        <w:spacing w:line="360" w:lineRule="auto"/>
        <w:ind w:left="567" w:hanging="567" w:hangingChars="270"/>
        <w:rPr>
          <w:rFonts w:eastAsia="宋体" w:cstheme="minorHAnsi"/>
          <w:color w:val="auto"/>
          <w:kern w:val="0"/>
          <w:szCs w:val="20"/>
        </w:rPr>
      </w:pPr>
      <w:r>
        <w:rPr>
          <w:rFonts w:eastAsia="宋体" w:cstheme="minorHAnsi"/>
          <w:color w:val="auto"/>
          <w:kern w:val="0"/>
          <w:szCs w:val="20"/>
        </w:rPr>
        <w:t>2.1.4 VOCs冷凝法回收装置 VOCs Condensation Recovery Unit</w:t>
      </w:r>
    </w:p>
    <w:p w14:paraId="26628684">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在大气污染控制领域，继粉尘、SO</w:t>
      </w:r>
      <w:r>
        <w:rPr>
          <w:rFonts w:eastAsia="宋体" w:cstheme="minorHAnsi"/>
          <w:kern w:val="0"/>
          <w:szCs w:val="20"/>
          <w:vertAlign w:val="subscript"/>
        </w:rPr>
        <w:t>2</w:t>
      </w:r>
      <w:r>
        <w:rPr>
          <w:rFonts w:eastAsia="宋体" w:cstheme="minorHAnsi"/>
          <w:kern w:val="0"/>
          <w:szCs w:val="20"/>
        </w:rPr>
        <w:t>、NOx之后，介质种类繁多、排放领域多样的挥发性有机物（volatile organic compounds</w:t>
      </w:r>
      <w:r>
        <w:rPr>
          <w:rFonts w:hint="eastAsia" w:eastAsia="宋体" w:cstheme="minorHAnsi"/>
          <w:kern w:val="0"/>
          <w:szCs w:val="20"/>
        </w:rPr>
        <w:t>，</w:t>
      </w:r>
      <w:r>
        <w:rPr>
          <w:rFonts w:eastAsia="宋体" w:cstheme="minorHAnsi"/>
          <w:kern w:val="0"/>
          <w:szCs w:val="20"/>
        </w:rPr>
        <w:t>VOCs），越来越受到社会各界的关注。</w:t>
      </w:r>
    </w:p>
    <w:p w14:paraId="3491F667">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hint="eastAsia" w:eastAsia="宋体" w:cstheme="minorHAnsi"/>
          <w:kern w:val="0"/>
          <w:szCs w:val="20"/>
        </w:rPr>
        <w:t>一、主要的V</w:t>
      </w:r>
      <w:r>
        <w:rPr>
          <w:rFonts w:eastAsia="宋体" w:cstheme="minorHAnsi"/>
          <w:kern w:val="0"/>
          <w:szCs w:val="20"/>
        </w:rPr>
        <w:t>OC</w:t>
      </w:r>
      <w:r>
        <w:rPr>
          <w:rFonts w:hint="eastAsia" w:eastAsia="宋体" w:cstheme="minorHAnsi"/>
          <w:kern w:val="0"/>
          <w:szCs w:val="20"/>
        </w:rPr>
        <w:t>s回收处理方法</w:t>
      </w:r>
    </w:p>
    <w:p w14:paraId="15F116B9">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VOCs回收治理可采用多种技术方法，常见的有冷凝法、吸附法、吸收法、膜分离法、蓄热式燃烧法、催化燃烧法等。生态环境部（及原环境保护部）和工业信息部已发布多个相关的标准规范，如《环境保护产品技术要求 工业有机废气催化净化装置》HJ/T 389-2007、《吸附法工业有机废气治理工程技术规范》HJ 2026-2013、《催化燃烧法工业有机废气治理工程技术规范》HJ 2027-2013、《蓄热燃烧法工业有机废气治理工程技术规范》HJ 1093-2020、《包装印刷业有机废气治理工程技术规范》HJ 1163-2021、《工业有机废气蓄热催化燃烧装置》JB/T 13733-2019、《工业有机废气蓄热热力燃烧装置》JB/T 13734-2019等。还有林业局发布的《工业有机废气净化用活性炭技术指标及试验方法》LY/T 3284-2021。目前行业内暂无专门针对冷凝法，特别是其仪表工程的标准规范。《化工工艺有机废气处理装置技术规范》HG/T 6113-2022虽涉及有机废气处理，但并非冷凝法仪表工程专用标准。</w:t>
      </w:r>
    </w:p>
    <w:p w14:paraId="12B24B85">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冷凝</w:t>
      </w:r>
      <w:r>
        <w:rPr>
          <w:rFonts w:hint="eastAsia" w:eastAsia="宋体" w:cstheme="minorHAnsi"/>
          <w:kern w:val="0"/>
          <w:szCs w:val="20"/>
        </w:rPr>
        <w:t>法</w:t>
      </w:r>
      <w:r>
        <w:rPr>
          <w:rFonts w:eastAsia="宋体" w:cstheme="minorHAnsi"/>
          <w:kern w:val="0"/>
          <w:szCs w:val="20"/>
        </w:rPr>
        <w:t>是指利用冷凝法产生低温来降低VOCs-空气混合气体的温度，从而使VOCs中具有不同露点温度的组分依次被冷凝成液态而分离出来。</w:t>
      </w:r>
    </w:p>
    <w:p w14:paraId="5D07E67C">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除冷凝法外，吸收法、吸附法、膜分离法、蓄热燃烧（RTO）、催化燃烧（CO）或蓄热催化燃烧（RCO）等也是处理含VOCs气体的常用方案。</w:t>
      </w:r>
    </w:p>
    <w:p w14:paraId="13221398">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吸收法，是指利用液相吸收原理，将气体中的VOCs转移到液相中的气体净化技术。吸收法装置通常包括吸收塔、填料、吸收液泵等。</w:t>
      </w:r>
    </w:p>
    <w:p w14:paraId="1D565AF4">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吸附法，指利用VOCs在分子筛或活性炭等吸附介质中易于被吸附的原理，从而净化气体的技术。吸附法装置通常包括固定床（或流化床）吸附罐（塔）等。</w:t>
      </w:r>
    </w:p>
    <w:p w14:paraId="14EC06FA">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蓄热燃烧（RTO），是指将含VOCs废气进行高温燃烧净化，并利用蓄热体对待处理气体进行换热升温、同时对净化后气体进行换热降温以回收热量的技术。催化燃烧装置通常由催化反应室、热交换室及加热室组成。</w:t>
      </w:r>
    </w:p>
    <w:p w14:paraId="3DD47179">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催化燃烧（CO），是指利用固体催化剂，在较低温度下将气体中的VOCs通过氧化作用转化为二氧化碳和水等无害化合物，从而对气体进行净化的技术。催化燃烧装置通常由催化反应室、热交换室及加热室组成。</w:t>
      </w:r>
    </w:p>
    <w:p w14:paraId="1A1201D5">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蓄热催化燃烧（RCO），则是结合了蓄热体热回收和催化剂低温氧化优势的技术。</w:t>
      </w:r>
    </w:p>
    <w:p w14:paraId="3FDCF7CF">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此外，对于热值较高且无需回收VOCs的气体，可考虑热力氧化炉（TO）。而对于热值较低、风量较大的气体，转轮浓缩（结合吸附与脱附）技术也有广泛的应用。</w:t>
      </w:r>
    </w:p>
    <w:p w14:paraId="634EFCC1">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hint="eastAsia" w:eastAsia="宋体" w:cstheme="minorHAnsi"/>
          <w:kern w:val="0"/>
          <w:szCs w:val="20"/>
        </w:rPr>
        <w:t>二、冷凝回收法简介</w:t>
      </w:r>
    </w:p>
    <w:p w14:paraId="5EB5547F">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生态环境部2013年发布《挥发性有机物（VOCs）污染防治技术政策》指出：“对于含高浓度VOCs的废气，宜优先采用冷凝回收、吸附回收技术进行回收利用，并辅助以其他治理技术实现达标排放。”2019年6月26日发布的《重点行业挥发性有机物综合治理方案》指出：</w:t>
      </w:r>
      <w:r>
        <w:rPr>
          <w:rFonts w:hint="eastAsia" w:eastAsia="宋体" w:cstheme="minorHAnsi"/>
          <w:kern w:val="0"/>
          <w:szCs w:val="20"/>
        </w:rPr>
        <w:t>“</w:t>
      </w:r>
      <w:r>
        <w:rPr>
          <w:rFonts w:eastAsia="宋体" w:cstheme="minorHAnsi"/>
          <w:kern w:val="0"/>
          <w:szCs w:val="20"/>
        </w:rPr>
        <w:t>实施废气分类收集处理。优先选用冷凝、吸附再生等回收技术；难以回收的，宜选用燃烧、吸附浓缩+燃烧等高效治理技术。水溶性、酸碱VOCs废气宜选用多级化学吸收的高处立技术</w:t>
      </w:r>
      <w:r>
        <w:rPr>
          <w:rFonts w:hint="eastAsia" w:eastAsia="宋体" w:cstheme="minorHAnsi"/>
          <w:kern w:val="0"/>
          <w:szCs w:val="20"/>
        </w:rPr>
        <w:t>”</w:t>
      </w:r>
      <w:r>
        <w:rPr>
          <w:rFonts w:eastAsia="宋体" w:cstheme="minorHAnsi"/>
          <w:kern w:val="0"/>
          <w:szCs w:val="20"/>
        </w:rPr>
        <w:t>。2025年05月发布的《国家污染防治技术指导目录》将</w:t>
      </w:r>
      <w:r>
        <w:rPr>
          <w:rFonts w:hint="eastAsia" w:eastAsia="宋体" w:cstheme="minorHAnsi"/>
          <w:kern w:val="0"/>
          <w:szCs w:val="20"/>
        </w:rPr>
        <w:t>“</w:t>
      </w:r>
      <w:r>
        <w:rPr>
          <w:rFonts w:eastAsia="宋体" w:cstheme="minorHAnsi"/>
          <w:kern w:val="0"/>
          <w:szCs w:val="20"/>
        </w:rPr>
        <w:t>冷凝-吸附-催化油气回收净化技术</w:t>
      </w:r>
      <w:r>
        <w:rPr>
          <w:rFonts w:hint="eastAsia" w:eastAsia="宋体" w:cstheme="minorHAnsi"/>
          <w:kern w:val="0"/>
          <w:szCs w:val="20"/>
        </w:rPr>
        <w:t>”</w:t>
      </w:r>
      <w:r>
        <w:rPr>
          <w:rFonts w:eastAsia="宋体" w:cstheme="minorHAnsi"/>
          <w:kern w:val="0"/>
          <w:szCs w:val="20"/>
        </w:rPr>
        <w:t>列入示范技术，其主要技术指标及应用效果为</w:t>
      </w:r>
      <w:r>
        <w:rPr>
          <w:rFonts w:hint="eastAsia" w:eastAsia="宋体" w:cstheme="minorHAnsi"/>
          <w:kern w:val="0"/>
          <w:szCs w:val="20"/>
        </w:rPr>
        <w:t>“</w:t>
      </w:r>
      <w:r>
        <w:rPr>
          <w:rFonts w:eastAsia="宋体" w:cstheme="minorHAnsi"/>
          <w:kern w:val="0"/>
          <w:szCs w:val="20"/>
        </w:rPr>
        <w:t>针对非甲烷总烃浓度为20g/m</w:t>
      </w:r>
      <w:r>
        <w:rPr>
          <w:rFonts w:eastAsia="宋体" w:cstheme="minorHAnsi"/>
          <w:kern w:val="0"/>
          <w:szCs w:val="20"/>
          <w:vertAlign w:val="superscript"/>
        </w:rPr>
        <w:t>3</w:t>
      </w:r>
      <w:r>
        <w:rPr>
          <w:rFonts w:eastAsia="宋体" w:cstheme="minorHAnsi"/>
          <w:kern w:val="0"/>
          <w:szCs w:val="20"/>
        </w:rPr>
        <w:t>～400g/m</w:t>
      </w:r>
      <w:r>
        <w:rPr>
          <w:rFonts w:eastAsia="宋体" w:cstheme="minorHAnsi"/>
          <w:kern w:val="0"/>
          <w:szCs w:val="20"/>
          <w:vertAlign w:val="superscript"/>
        </w:rPr>
        <w:t>3</w:t>
      </w:r>
      <w:r>
        <w:rPr>
          <w:rFonts w:eastAsia="宋体" w:cstheme="minorHAnsi"/>
          <w:kern w:val="0"/>
          <w:szCs w:val="20"/>
        </w:rPr>
        <w:t>的油气</w:t>
      </w:r>
      <w:r>
        <w:rPr>
          <w:rFonts w:hint="eastAsia" w:eastAsia="宋体" w:cstheme="minorHAnsi"/>
          <w:kern w:val="0"/>
          <w:szCs w:val="20"/>
        </w:rPr>
        <w:t>，</w:t>
      </w:r>
      <w:r>
        <w:rPr>
          <w:rFonts w:eastAsia="宋体" w:cstheme="minorHAnsi"/>
          <w:kern w:val="0"/>
          <w:szCs w:val="20"/>
        </w:rPr>
        <w:t>油气回收率＞90%</w:t>
      </w:r>
      <w:r>
        <w:rPr>
          <w:rFonts w:hint="eastAsia" w:eastAsia="宋体" w:cstheme="minorHAnsi"/>
          <w:kern w:val="0"/>
          <w:szCs w:val="20"/>
        </w:rPr>
        <w:t>，</w:t>
      </w:r>
      <w:r>
        <w:rPr>
          <w:rFonts w:eastAsia="宋体" w:cstheme="minorHAnsi"/>
          <w:kern w:val="0"/>
          <w:szCs w:val="20"/>
        </w:rPr>
        <w:t>VOCs净化效率＞99%。单台（套）处理能力可达6000m</w:t>
      </w:r>
      <w:r>
        <w:rPr>
          <w:rFonts w:eastAsia="宋体" w:cstheme="minorHAnsi"/>
          <w:kern w:val="0"/>
          <w:szCs w:val="20"/>
          <w:vertAlign w:val="superscript"/>
        </w:rPr>
        <w:t>3</w:t>
      </w:r>
      <w:r>
        <w:rPr>
          <w:rFonts w:eastAsia="宋体" w:cstheme="minorHAnsi"/>
          <w:kern w:val="0"/>
          <w:szCs w:val="20"/>
        </w:rPr>
        <w:t>/h。</w:t>
      </w:r>
      <w:r>
        <w:rPr>
          <w:rFonts w:hint="eastAsia" w:eastAsia="宋体" w:cstheme="minorHAnsi"/>
          <w:kern w:val="0"/>
          <w:szCs w:val="20"/>
        </w:rPr>
        <w:t>”。</w:t>
      </w:r>
    </w:p>
    <w:p w14:paraId="6E3B5B42">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冷凝法回收VOCs具有流程简洁、技术成熟、适用介质范围广、运行安全可靠、可回收有价物料等特点，广泛应用的领域包括：石脑油、汽柴油、苯、有机溶剂（如印刷、喷涂厂房）、甲醇及其它沸点较高、含量较高介质的回收。冷凝法通常不适用于处理沸点较低、浓度较低的气体。对于此类气体，可考虑采用蓄热燃烧（RTO）、催化燃烧（CO）或蓄热催化燃烧（RCO）等处理方案。必要时可先经沸石转轮等浓缩技术提浓后再处理。对于热值较高且无需回收的气体，可考虑热力氧化炉（TO）处理方案。</w:t>
      </w:r>
    </w:p>
    <w:p w14:paraId="0B6114AA">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冷凝法可单独使用，亦常和其它方法联合使用。</w:t>
      </w:r>
    </w:p>
    <w:p w14:paraId="6928A728">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组分在某吸收液中溶解度较大或产生化学反应的，可考虑采用冷凝+吸收的方法。</w:t>
      </w:r>
    </w:p>
    <w:p w14:paraId="1641D431">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组分在分子筛或活性炭等吸附剂中易于吸附的，可考虑冷凝+吸附的方法。</w:t>
      </w:r>
    </w:p>
    <w:p w14:paraId="0ACF7D05">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组分在膜组件中选择性高、通量较大的，可考虑冷凝+膜分离的方法。</w:t>
      </w:r>
    </w:p>
    <w:p w14:paraId="08453C1B">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挥发性有机物在不同温度下准确的饱和蒸汽压数据，是装置设计的重要基础。该数据可以通过实验测定、手册查询、安托尼方程计算及借助专业软件查询等手段获得。需注意，将通用手册中适用于常温至高温范围的公式及参数直接外推至低温范围，通常无法获得可靠的蒸汽压数据。</w:t>
      </w:r>
    </w:p>
    <w:p w14:paraId="5BF1A9D7">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hint="eastAsia" w:eastAsia="宋体" w:cstheme="minorHAnsi"/>
          <w:kern w:val="0"/>
          <w:szCs w:val="20"/>
        </w:rPr>
        <w:t>三、冷凝法技术特点</w:t>
      </w:r>
    </w:p>
    <w:p w14:paraId="5E947501">
      <w:pPr>
        <w:widowControl/>
        <w:tabs>
          <w:tab w:val="center" w:pos="4201"/>
          <w:tab w:val="right" w:leader="dot" w:pos="9298"/>
        </w:tabs>
        <w:autoSpaceDE w:val="0"/>
        <w:autoSpaceDN w:val="0"/>
        <w:spacing w:line="360" w:lineRule="auto"/>
        <w:ind w:firstLine="420" w:firstLineChars="200"/>
        <w:rPr>
          <w:rFonts w:eastAsia="宋体" w:cstheme="minorHAnsi"/>
          <w:kern w:val="0"/>
          <w:szCs w:val="20"/>
        </w:rPr>
      </w:pPr>
      <w:r>
        <w:rPr>
          <w:rFonts w:eastAsia="宋体" w:cstheme="minorHAnsi"/>
          <w:kern w:val="0"/>
          <w:szCs w:val="20"/>
        </w:rPr>
        <w:t>冷凝回收法技术特点包括：</w:t>
      </w:r>
    </w:p>
    <w:p w14:paraId="6C6FC9D7">
      <w:pPr>
        <w:pStyle w:val="48"/>
        <w:widowControl/>
        <w:numPr>
          <w:ilvl w:val="0"/>
          <w:numId w:val="0"/>
        </w:numPr>
        <w:tabs>
          <w:tab w:val="center" w:pos="4201"/>
          <w:tab w:val="right" w:leader="dot" w:pos="9298"/>
        </w:tabs>
        <w:autoSpaceDE w:val="0"/>
        <w:autoSpaceDN w:val="0"/>
        <w:spacing w:line="360" w:lineRule="auto"/>
        <w:ind w:leftChars="0" w:firstLine="420" w:firstLineChars="200"/>
        <w:jc w:val="left"/>
        <w:rPr>
          <w:rFonts w:eastAsia="宋体" w:cstheme="minorHAnsi"/>
          <w:kern w:val="0"/>
          <w:szCs w:val="20"/>
        </w:rPr>
      </w:pPr>
      <w:r>
        <w:rPr>
          <w:rFonts w:hint="eastAsia" w:eastAsia="宋体" w:cstheme="minorHAnsi"/>
          <w:kern w:val="0"/>
          <w:szCs w:val="20"/>
        </w:rPr>
        <w:t>●</w:t>
      </w:r>
      <w:r>
        <w:rPr>
          <w:rFonts w:hint="eastAsia" w:eastAsia="宋体" w:cstheme="minorHAnsi"/>
          <w:kern w:val="0"/>
          <w:szCs w:val="20"/>
          <w:lang w:val="en-US" w:eastAsia="zh-CN"/>
        </w:rPr>
        <w:t xml:space="preserve"> </w:t>
      </w:r>
      <w:r>
        <w:rPr>
          <w:rFonts w:eastAsia="宋体" w:cstheme="minorHAnsi"/>
          <w:kern w:val="0"/>
          <w:szCs w:val="20"/>
        </w:rPr>
        <w:t>可回收有价值物料，不仅可减少环境污染，同时回收物料进行再利用。</w:t>
      </w:r>
    </w:p>
    <w:p w14:paraId="055C9274">
      <w:pPr>
        <w:pStyle w:val="48"/>
        <w:widowControl/>
        <w:numPr>
          <w:ilvl w:val="0"/>
          <w:numId w:val="0"/>
        </w:numPr>
        <w:tabs>
          <w:tab w:val="center" w:pos="4201"/>
          <w:tab w:val="right" w:leader="dot" w:pos="9298"/>
        </w:tabs>
        <w:autoSpaceDE w:val="0"/>
        <w:autoSpaceDN w:val="0"/>
        <w:spacing w:line="360" w:lineRule="auto"/>
        <w:ind w:left="420" w:leftChars="0"/>
        <w:rPr>
          <w:rFonts w:eastAsia="宋体" w:cstheme="minorHAnsi"/>
          <w:kern w:val="0"/>
          <w:szCs w:val="20"/>
        </w:rPr>
      </w:pPr>
      <w:r>
        <w:rPr>
          <w:rFonts w:hint="eastAsia" w:eastAsia="宋体" w:cstheme="minorHAnsi"/>
          <w:kern w:val="0"/>
          <w:szCs w:val="20"/>
        </w:rPr>
        <w:t>●</w:t>
      </w:r>
      <w:r>
        <w:rPr>
          <w:rFonts w:hint="eastAsia" w:eastAsia="宋体" w:cstheme="minorHAnsi"/>
          <w:kern w:val="0"/>
          <w:szCs w:val="20"/>
          <w:lang w:val="en-US" w:eastAsia="zh-CN"/>
        </w:rPr>
        <w:t xml:space="preserve"> </w:t>
      </w:r>
      <w:r>
        <w:rPr>
          <w:rFonts w:eastAsia="宋体" w:cstheme="minorHAnsi"/>
          <w:kern w:val="0"/>
          <w:szCs w:val="20"/>
        </w:rPr>
        <w:t>能耗相对较低：相比其他处理方式如蓄热燃烧、催化燃烧等，冷凝回收法的运行能耗较低。</w:t>
      </w:r>
    </w:p>
    <w:p w14:paraId="4B6B22B1">
      <w:pPr>
        <w:pStyle w:val="48"/>
        <w:widowControl/>
        <w:numPr>
          <w:ilvl w:val="0"/>
          <w:numId w:val="0"/>
        </w:numPr>
        <w:tabs>
          <w:tab w:val="center" w:pos="4201"/>
          <w:tab w:val="right" w:leader="dot" w:pos="9298"/>
        </w:tabs>
        <w:autoSpaceDE w:val="0"/>
        <w:autoSpaceDN w:val="0"/>
        <w:spacing w:line="360" w:lineRule="auto"/>
        <w:ind w:left="420" w:leftChars="0"/>
        <w:rPr>
          <w:rFonts w:eastAsia="宋体" w:cstheme="minorHAnsi"/>
          <w:kern w:val="0"/>
          <w:szCs w:val="20"/>
        </w:rPr>
      </w:pPr>
      <w:r>
        <w:rPr>
          <w:rFonts w:hint="eastAsia" w:eastAsia="宋体" w:cstheme="minorHAnsi"/>
          <w:kern w:val="0"/>
          <w:szCs w:val="20"/>
        </w:rPr>
        <w:t>●</w:t>
      </w:r>
      <w:r>
        <w:rPr>
          <w:rFonts w:hint="eastAsia" w:eastAsia="宋体" w:cstheme="minorHAnsi"/>
          <w:kern w:val="0"/>
          <w:szCs w:val="20"/>
          <w:lang w:val="en-US" w:eastAsia="zh-CN"/>
        </w:rPr>
        <w:t xml:space="preserve"> </w:t>
      </w:r>
      <w:r>
        <w:rPr>
          <w:rFonts w:eastAsia="宋体" w:cstheme="minorHAnsi"/>
          <w:kern w:val="0"/>
          <w:szCs w:val="20"/>
        </w:rPr>
        <w:t>适用范围广：能处理含多种沸点较高、含量较高的气体。</w:t>
      </w:r>
    </w:p>
    <w:p w14:paraId="681EAB23">
      <w:pPr>
        <w:pStyle w:val="48"/>
        <w:widowControl/>
        <w:numPr>
          <w:ilvl w:val="0"/>
          <w:numId w:val="0"/>
        </w:numPr>
        <w:tabs>
          <w:tab w:val="center" w:pos="4201"/>
          <w:tab w:val="right" w:leader="dot" w:pos="9298"/>
        </w:tabs>
        <w:autoSpaceDE w:val="0"/>
        <w:autoSpaceDN w:val="0"/>
        <w:spacing w:line="360" w:lineRule="auto"/>
        <w:ind w:left="420" w:leftChars="0"/>
        <w:rPr>
          <w:rFonts w:eastAsia="宋体" w:cstheme="minorHAnsi"/>
          <w:kern w:val="0"/>
          <w:szCs w:val="20"/>
        </w:rPr>
      </w:pPr>
      <w:r>
        <w:rPr>
          <w:rFonts w:hint="eastAsia" w:eastAsia="宋体" w:cstheme="minorHAnsi"/>
          <w:kern w:val="0"/>
          <w:szCs w:val="20"/>
        </w:rPr>
        <w:t>●</w:t>
      </w:r>
      <w:r>
        <w:rPr>
          <w:rFonts w:hint="eastAsia" w:eastAsia="宋体" w:cstheme="minorHAnsi"/>
          <w:kern w:val="0"/>
          <w:szCs w:val="20"/>
          <w:lang w:val="en-US" w:eastAsia="zh-CN"/>
        </w:rPr>
        <w:t xml:space="preserve"> </w:t>
      </w:r>
      <w:r>
        <w:rPr>
          <w:rFonts w:eastAsia="宋体" w:cstheme="minorHAnsi"/>
          <w:kern w:val="0"/>
          <w:szCs w:val="20"/>
        </w:rPr>
        <w:t>过程安全：操作温度相对较低，一般不涉及高温工况，降低了火灾爆炸风险。</w:t>
      </w:r>
    </w:p>
    <w:p w14:paraId="4067A4B9">
      <w:pPr>
        <w:pStyle w:val="48"/>
        <w:widowControl/>
        <w:numPr>
          <w:ilvl w:val="0"/>
          <w:numId w:val="0"/>
        </w:numPr>
        <w:tabs>
          <w:tab w:val="center" w:pos="4201"/>
          <w:tab w:val="right" w:leader="dot" w:pos="9298"/>
        </w:tabs>
        <w:autoSpaceDE w:val="0"/>
        <w:autoSpaceDN w:val="0"/>
        <w:spacing w:line="360" w:lineRule="auto"/>
        <w:ind w:left="420" w:leftChars="0"/>
        <w:rPr>
          <w:rFonts w:eastAsia="宋体" w:cstheme="minorHAnsi"/>
          <w:kern w:val="0"/>
          <w:szCs w:val="20"/>
        </w:rPr>
      </w:pPr>
      <w:r>
        <w:rPr>
          <w:rFonts w:hint="eastAsia" w:eastAsia="宋体" w:cstheme="minorHAnsi"/>
          <w:kern w:val="0"/>
          <w:szCs w:val="20"/>
        </w:rPr>
        <w:t>●</w:t>
      </w:r>
      <w:r>
        <w:rPr>
          <w:rFonts w:hint="eastAsia" w:eastAsia="宋体" w:cstheme="minorHAnsi"/>
          <w:kern w:val="0"/>
          <w:szCs w:val="20"/>
          <w:lang w:val="en-US" w:eastAsia="zh-CN"/>
        </w:rPr>
        <w:t xml:space="preserve"> </w:t>
      </w:r>
      <w:r>
        <w:rPr>
          <w:rFonts w:eastAsia="宋体" w:cstheme="minorHAnsi"/>
          <w:kern w:val="0"/>
          <w:szCs w:val="20"/>
        </w:rPr>
        <w:t>可与其他方法联锁：可作为首级处理措施，与吸附法、吸收法、膜分离法及其它多种燃烧方法联合使用。</w:t>
      </w:r>
    </w:p>
    <w:p w14:paraId="1768681A">
      <w:pPr>
        <w:pStyle w:val="56"/>
        <w:numPr>
          <w:ilvl w:val="0"/>
          <w:numId w:val="0"/>
        </w:numPr>
        <w:tabs>
          <w:tab w:val="clear" w:pos="426"/>
        </w:tabs>
        <w:spacing w:line="360" w:lineRule="auto"/>
        <w:rPr>
          <w:rFonts w:eastAsia="宋体" w:cstheme="minorHAnsi"/>
          <w:color w:val="auto"/>
          <w:kern w:val="0"/>
          <w:szCs w:val="20"/>
        </w:rPr>
      </w:pPr>
      <w:r>
        <w:rPr>
          <w:rFonts w:eastAsia="宋体" w:cstheme="minorHAnsi"/>
          <w:color w:val="auto"/>
          <w:kern w:val="0"/>
          <w:szCs w:val="20"/>
        </w:rPr>
        <w:t>2.1.6 监测站房 emission monitoring house</w:t>
      </w:r>
    </w:p>
    <w:p w14:paraId="4E751920">
      <w:pPr>
        <w:pStyle w:val="56"/>
        <w:numPr>
          <w:ilvl w:val="0"/>
          <w:numId w:val="0"/>
        </w:numPr>
        <w:tabs>
          <w:tab w:val="clear" w:pos="426"/>
        </w:tabs>
        <w:spacing w:line="360" w:lineRule="auto"/>
        <w:ind w:firstLine="420" w:firstLineChars="200"/>
        <w:rPr>
          <w:rFonts w:eastAsia="宋体" w:cstheme="minorHAnsi"/>
          <w:color w:val="auto"/>
          <w:kern w:val="0"/>
          <w:szCs w:val="20"/>
        </w:rPr>
      </w:pPr>
      <w:r>
        <w:rPr>
          <w:rFonts w:eastAsia="宋体" w:cstheme="minorHAnsi"/>
          <w:color w:val="auto"/>
          <w:kern w:val="0"/>
          <w:szCs w:val="20"/>
        </w:rPr>
        <w:t>监测站房的设置需满足当地环保要求。分析小屋和在线监测站房可共用。</w:t>
      </w:r>
    </w:p>
    <w:p w14:paraId="371F3770">
      <w:pPr>
        <w:pStyle w:val="48"/>
        <w:spacing w:line="360" w:lineRule="auto"/>
        <w:jc w:val="left"/>
        <w:textAlignment w:val="baseline"/>
        <w:rPr>
          <w:rFonts w:cstheme="minorHAnsi"/>
        </w:rPr>
      </w:pPr>
    </w:p>
    <w:p w14:paraId="6233493E">
      <w:pPr>
        <w:widowControl/>
        <w:jc w:val="left"/>
        <w:rPr>
          <w:rFonts w:cs="Arial"/>
        </w:rPr>
      </w:pPr>
      <w:r>
        <w:rPr>
          <w:rFonts w:cs="Arial"/>
        </w:rPr>
        <w:br w:type="page"/>
      </w:r>
    </w:p>
    <w:p w14:paraId="0628A0A7">
      <w:pPr>
        <w:pStyle w:val="2"/>
        <w:jc w:val="center"/>
        <w:rPr>
          <w:sz w:val="28"/>
          <w:szCs w:val="28"/>
        </w:rPr>
      </w:pPr>
      <w:bookmarkStart w:id="182" w:name="_Toc206171730"/>
      <w:bookmarkStart w:id="183" w:name="_Toc206160085"/>
      <w:r>
        <w:rPr>
          <w:sz w:val="28"/>
          <w:szCs w:val="28"/>
        </w:rPr>
        <w:t xml:space="preserve">3 </w:t>
      </w:r>
      <w:r>
        <w:rPr>
          <w:rFonts w:hint="eastAsia"/>
          <w:sz w:val="28"/>
          <w:szCs w:val="28"/>
        </w:rPr>
        <w:t>基本规定</w:t>
      </w:r>
      <w:bookmarkEnd w:id="182"/>
      <w:bookmarkEnd w:id="183"/>
    </w:p>
    <w:p w14:paraId="1BF0E901">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3.0.2 VOC</w:t>
      </w:r>
      <w:r>
        <w:rPr>
          <w:rFonts w:hint="eastAsia" w:ascii="宋体" w:hAnsi="Times New Roman" w:eastAsia="宋体" w:cs="Times New Roman"/>
          <w:kern w:val="0"/>
          <w:szCs w:val="20"/>
        </w:rPr>
        <w:t>s冷凝法回收装置如果与相关工艺装置同开同停，则可共用D</w:t>
      </w:r>
      <w:r>
        <w:rPr>
          <w:rFonts w:ascii="宋体" w:hAnsi="Times New Roman" w:eastAsia="宋体" w:cs="Times New Roman"/>
          <w:kern w:val="0"/>
          <w:szCs w:val="20"/>
        </w:rPr>
        <w:t>CS</w:t>
      </w:r>
      <w:r>
        <w:rPr>
          <w:rFonts w:hint="eastAsia" w:ascii="宋体" w:hAnsi="Times New Roman" w:eastAsia="宋体" w:cs="Times New Roman"/>
          <w:kern w:val="0"/>
          <w:szCs w:val="20"/>
        </w:rPr>
        <w:t>系统；如不同开同停，则应采用独立D</w:t>
      </w:r>
      <w:r>
        <w:rPr>
          <w:rFonts w:ascii="宋体" w:hAnsi="Times New Roman" w:eastAsia="宋体" w:cs="Times New Roman"/>
          <w:kern w:val="0"/>
          <w:szCs w:val="20"/>
        </w:rPr>
        <w:t>CS</w:t>
      </w:r>
      <w:r>
        <w:rPr>
          <w:rFonts w:hint="eastAsia" w:ascii="宋体" w:hAnsi="Times New Roman" w:eastAsia="宋体" w:cs="Times New Roman"/>
          <w:kern w:val="0"/>
          <w:szCs w:val="20"/>
        </w:rPr>
        <w:t>控制器和卡件。</w:t>
      </w:r>
    </w:p>
    <w:p w14:paraId="30C9CD4D">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VOCs冷凝法回收装置</w:t>
      </w:r>
      <w:r>
        <w:rPr>
          <w:rFonts w:hint="eastAsia" w:ascii="宋体" w:hAnsi="Times New Roman" w:eastAsia="宋体" w:cs="Times New Roman"/>
          <w:kern w:val="0"/>
          <w:szCs w:val="20"/>
        </w:rPr>
        <w:t>是否设置S</w:t>
      </w:r>
      <w:r>
        <w:rPr>
          <w:rFonts w:ascii="宋体" w:hAnsi="Times New Roman" w:eastAsia="宋体" w:cs="Times New Roman"/>
          <w:kern w:val="0"/>
          <w:szCs w:val="20"/>
        </w:rPr>
        <w:t>IS</w:t>
      </w:r>
      <w:r>
        <w:rPr>
          <w:rFonts w:hint="eastAsia" w:ascii="宋体" w:hAnsi="Times New Roman" w:eastAsia="宋体" w:cs="Times New Roman"/>
          <w:kern w:val="0"/>
          <w:szCs w:val="20"/>
        </w:rPr>
        <w:t>系统，</w:t>
      </w:r>
      <w:r>
        <w:rPr>
          <w:rFonts w:ascii="宋体" w:hAnsi="Times New Roman" w:eastAsia="宋体" w:cs="Times New Roman"/>
          <w:kern w:val="0"/>
          <w:szCs w:val="20"/>
        </w:rPr>
        <w:t>应根据</w:t>
      </w:r>
      <w:r>
        <w:rPr>
          <w:rFonts w:hint="eastAsia" w:ascii="宋体" w:hAnsi="Times New Roman" w:eastAsia="宋体" w:cs="Times New Roman"/>
          <w:kern w:val="0"/>
          <w:szCs w:val="20"/>
        </w:rPr>
        <w:t>安全完整性等级（</w:t>
      </w:r>
      <w:r>
        <w:rPr>
          <w:rFonts w:ascii="宋体" w:hAnsi="Times New Roman" w:eastAsia="宋体" w:cs="Times New Roman"/>
          <w:kern w:val="0"/>
          <w:szCs w:val="20"/>
        </w:rPr>
        <w:t>SIL</w:t>
      </w:r>
      <w:r>
        <w:rPr>
          <w:rFonts w:hint="eastAsia" w:ascii="宋体" w:hAnsi="Times New Roman" w:eastAsia="宋体" w:cs="Times New Roman"/>
          <w:kern w:val="0"/>
          <w:szCs w:val="20"/>
        </w:rPr>
        <w:t>）</w:t>
      </w:r>
      <w:r>
        <w:rPr>
          <w:rFonts w:ascii="宋体" w:hAnsi="Times New Roman" w:eastAsia="宋体" w:cs="Times New Roman"/>
          <w:kern w:val="0"/>
          <w:szCs w:val="20"/>
        </w:rPr>
        <w:t>定级报告及安全仪表规格书（SRS）的要求设置安全仪表系统（SIS），</w:t>
      </w:r>
      <w:r>
        <w:rPr>
          <w:rFonts w:hint="eastAsia" w:ascii="宋体" w:hAnsi="Times New Roman" w:eastAsia="宋体" w:cs="Times New Roman"/>
          <w:kern w:val="0"/>
          <w:szCs w:val="20"/>
        </w:rPr>
        <w:t>S</w:t>
      </w:r>
      <w:r>
        <w:rPr>
          <w:rFonts w:ascii="宋体" w:hAnsi="Times New Roman" w:eastAsia="宋体" w:cs="Times New Roman"/>
          <w:kern w:val="0"/>
          <w:szCs w:val="20"/>
        </w:rPr>
        <w:t>IS</w:t>
      </w:r>
      <w:r>
        <w:rPr>
          <w:rFonts w:hint="eastAsia" w:ascii="宋体" w:hAnsi="Times New Roman" w:eastAsia="宋体" w:cs="Times New Roman"/>
          <w:kern w:val="0"/>
          <w:szCs w:val="20"/>
        </w:rPr>
        <w:t>系统</w:t>
      </w:r>
      <w:r>
        <w:rPr>
          <w:rFonts w:ascii="宋体" w:hAnsi="Times New Roman" w:eastAsia="宋体" w:cs="Times New Roman"/>
          <w:kern w:val="0"/>
          <w:szCs w:val="20"/>
        </w:rPr>
        <w:t>宜与相关装置</w:t>
      </w:r>
      <w:r>
        <w:rPr>
          <w:rFonts w:hint="eastAsia" w:ascii="宋体" w:hAnsi="Times New Roman" w:eastAsia="宋体" w:cs="Times New Roman"/>
          <w:kern w:val="0"/>
          <w:szCs w:val="20"/>
        </w:rPr>
        <w:t>共</w:t>
      </w:r>
      <w:r>
        <w:rPr>
          <w:rFonts w:ascii="宋体" w:hAnsi="Times New Roman" w:eastAsia="宋体" w:cs="Times New Roman"/>
          <w:kern w:val="0"/>
          <w:szCs w:val="20"/>
        </w:rPr>
        <w:t>用。</w:t>
      </w:r>
      <w:r>
        <w:rPr>
          <w:rFonts w:hint="eastAsia" w:ascii="宋体" w:hAnsi="Times New Roman" w:eastAsia="宋体" w:cs="Times New Roman"/>
          <w:kern w:val="0"/>
          <w:szCs w:val="20"/>
        </w:rPr>
        <w:t>一般情况，冷凝法及其组合式装置，不需设置S</w:t>
      </w:r>
      <w:r>
        <w:rPr>
          <w:rFonts w:ascii="宋体" w:hAnsi="Times New Roman" w:eastAsia="宋体" w:cs="Times New Roman"/>
          <w:kern w:val="0"/>
          <w:szCs w:val="20"/>
        </w:rPr>
        <w:t>IS</w:t>
      </w:r>
      <w:r>
        <w:rPr>
          <w:rFonts w:hint="eastAsia" w:ascii="宋体" w:hAnsi="Times New Roman" w:eastAsia="宋体" w:cs="Times New Roman"/>
          <w:kern w:val="0"/>
          <w:szCs w:val="20"/>
        </w:rPr>
        <w:t>系统。</w:t>
      </w:r>
    </w:p>
    <w:p w14:paraId="0BF562F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3.0.4《挥发性有机物无组织排放控制标准》GB 37822</w:t>
      </w:r>
      <w:r>
        <w:rPr>
          <w:rFonts w:hint="eastAsia" w:ascii="宋体" w:hAnsi="Times New Roman" w:eastAsia="宋体" w:cs="Times New Roman"/>
          <w:kern w:val="0"/>
          <w:szCs w:val="20"/>
        </w:rPr>
        <w:t>可作为参考使用</w:t>
      </w:r>
      <w:r>
        <w:rPr>
          <w:rFonts w:ascii="宋体" w:hAnsi="Times New Roman" w:eastAsia="宋体" w:cs="Times New Roman"/>
          <w:kern w:val="0"/>
          <w:szCs w:val="20"/>
        </w:rPr>
        <w:t>。</w:t>
      </w:r>
    </w:p>
    <w:p w14:paraId="2E53966A">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3</w:t>
      </w:r>
      <w:r>
        <w:rPr>
          <w:rFonts w:ascii="宋体" w:hAnsi="Times New Roman" w:eastAsia="宋体" w:cs="Times New Roman"/>
          <w:kern w:val="0"/>
          <w:szCs w:val="20"/>
        </w:rPr>
        <w:t xml:space="preserve">.0.5 </w:t>
      </w:r>
      <w:r>
        <w:rPr>
          <w:rFonts w:hint="eastAsia" w:ascii="宋体" w:hAnsi="Times New Roman" w:eastAsia="宋体" w:cs="Times New Roman"/>
          <w:kern w:val="0"/>
          <w:szCs w:val="20"/>
        </w:rPr>
        <w:t>V</w:t>
      </w:r>
      <w:r>
        <w:rPr>
          <w:rFonts w:ascii="宋体" w:hAnsi="Times New Roman" w:eastAsia="宋体" w:cs="Times New Roman"/>
          <w:kern w:val="0"/>
          <w:szCs w:val="20"/>
        </w:rPr>
        <w:t>OC</w:t>
      </w:r>
      <w:r>
        <w:rPr>
          <w:rFonts w:hint="eastAsia" w:ascii="宋体" w:hAnsi="Times New Roman" w:eastAsia="宋体" w:cs="Times New Roman"/>
          <w:kern w:val="0"/>
          <w:szCs w:val="20"/>
        </w:rPr>
        <w:t>s冷凝法回收装置可利用现有的控制室或机柜间完成上述功能。如处理系统较小也可设置钢制集成小屋，以满足生产和操作的要求。</w:t>
      </w:r>
    </w:p>
    <w:p w14:paraId="0B6E8AB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4975F15B">
      <w:pPr>
        <w:widowControl/>
        <w:jc w:val="left"/>
        <w:rPr>
          <w:rFonts w:ascii="宋体" w:hAnsi="Times New Roman" w:eastAsia="宋体" w:cs="Times New Roman"/>
          <w:color w:val="0000FF"/>
          <w:kern w:val="0"/>
          <w:szCs w:val="20"/>
        </w:rPr>
      </w:pPr>
      <w:r>
        <w:rPr>
          <w:rFonts w:ascii="宋体" w:hAnsi="Times New Roman" w:eastAsia="宋体" w:cs="Times New Roman"/>
          <w:color w:val="0000FF"/>
          <w:kern w:val="0"/>
          <w:szCs w:val="20"/>
        </w:rPr>
        <w:br w:type="page"/>
      </w:r>
    </w:p>
    <w:p w14:paraId="373F83E4">
      <w:pPr>
        <w:pStyle w:val="2"/>
        <w:jc w:val="center"/>
        <w:rPr>
          <w:sz w:val="28"/>
          <w:szCs w:val="28"/>
        </w:rPr>
      </w:pPr>
      <w:bookmarkStart w:id="184" w:name="_Toc206171731"/>
      <w:bookmarkStart w:id="185" w:name="_Toc206160086"/>
      <w:r>
        <w:rPr>
          <w:rFonts w:hint="eastAsia"/>
          <w:sz w:val="28"/>
          <w:szCs w:val="28"/>
        </w:rPr>
        <w:t>4</w:t>
      </w:r>
      <w:r>
        <w:rPr>
          <w:sz w:val="28"/>
          <w:szCs w:val="28"/>
        </w:rPr>
        <w:t xml:space="preserve"> </w:t>
      </w:r>
      <w:r>
        <w:rPr>
          <w:rFonts w:hint="eastAsia"/>
          <w:sz w:val="28"/>
          <w:szCs w:val="28"/>
        </w:rPr>
        <w:t>测控要求</w:t>
      </w:r>
      <w:bookmarkEnd w:id="184"/>
      <w:bookmarkEnd w:id="185"/>
    </w:p>
    <w:p w14:paraId="1C1B0461">
      <w:pPr>
        <w:pStyle w:val="3"/>
        <w:jc w:val="center"/>
        <w:rPr>
          <w:sz w:val="21"/>
          <w:szCs w:val="21"/>
        </w:rPr>
      </w:pPr>
      <w:bookmarkStart w:id="186" w:name="_Toc206171732"/>
      <w:bookmarkStart w:id="187" w:name="_Toc206160087"/>
      <w:r>
        <w:rPr>
          <w:rFonts w:hint="eastAsia"/>
          <w:sz w:val="21"/>
          <w:szCs w:val="21"/>
        </w:rPr>
        <w:t>4.</w:t>
      </w:r>
      <w:r>
        <w:rPr>
          <w:sz w:val="21"/>
          <w:szCs w:val="21"/>
        </w:rPr>
        <w:t>1</w:t>
      </w:r>
      <w:r>
        <w:rPr>
          <w:rFonts w:hint="eastAsia"/>
          <w:sz w:val="21"/>
          <w:szCs w:val="21"/>
        </w:rPr>
        <w:t xml:space="preserve"> V</w:t>
      </w:r>
      <w:r>
        <w:rPr>
          <w:sz w:val="21"/>
          <w:szCs w:val="21"/>
        </w:rPr>
        <w:t>OC</w:t>
      </w:r>
      <w:r>
        <w:rPr>
          <w:rFonts w:hint="eastAsia"/>
          <w:sz w:val="21"/>
          <w:szCs w:val="21"/>
        </w:rPr>
        <w:t>s冷凝法回收装置测控要求</w:t>
      </w:r>
      <w:bookmarkEnd w:id="186"/>
      <w:bookmarkEnd w:id="187"/>
    </w:p>
    <w:p w14:paraId="04FBA5C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4.</w:t>
      </w:r>
      <w:r>
        <w:rPr>
          <w:rFonts w:ascii="宋体" w:hAnsi="Times New Roman" w:eastAsia="宋体" w:cs="Times New Roman"/>
          <w:kern w:val="0"/>
          <w:szCs w:val="20"/>
        </w:rPr>
        <w:t>1.1</w:t>
      </w:r>
      <w:r>
        <w:rPr>
          <w:rFonts w:hint="eastAsia" w:ascii="宋体" w:hAnsi="Times New Roman" w:eastAsia="宋体" w:cs="Times New Roman"/>
          <w:kern w:val="0"/>
          <w:szCs w:val="20"/>
        </w:rPr>
        <w:t xml:space="preserve"> 典型</w:t>
      </w:r>
      <w:r>
        <w:rPr>
          <w:rFonts w:ascii="宋体" w:hAnsi="Times New Roman" w:eastAsia="宋体" w:cs="Times New Roman"/>
          <w:kern w:val="0"/>
          <w:szCs w:val="20"/>
        </w:rPr>
        <w:t>V</w:t>
      </w:r>
      <w:r>
        <w:rPr>
          <w:rFonts w:hint="eastAsia" w:ascii="宋体" w:hAnsi="Times New Roman" w:eastAsia="宋体" w:cs="Times New Roman"/>
          <w:kern w:val="0"/>
          <w:szCs w:val="20"/>
        </w:rPr>
        <w:t>O</w:t>
      </w:r>
      <w:r>
        <w:rPr>
          <w:rFonts w:ascii="宋体" w:hAnsi="Times New Roman" w:eastAsia="宋体" w:cs="Times New Roman"/>
          <w:kern w:val="0"/>
          <w:szCs w:val="20"/>
        </w:rPr>
        <w:t>C</w:t>
      </w:r>
      <w:r>
        <w:rPr>
          <w:rFonts w:hint="eastAsia" w:ascii="宋体" w:hAnsi="Times New Roman" w:eastAsia="宋体" w:cs="Times New Roman"/>
          <w:kern w:val="0"/>
          <w:szCs w:val="20"/>
        </w:rPr>
        <w:t>s冷凝法回收装置的主要工艺流程一般包括：</w:t>
      </w:r>
    </w:p>
    <w:p w14:paraId="4512E9C1">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①预处理阶段：首先，含VOCs的废气经过预处理，以除去颗粒物、水分和其他可能影响后续处理步骤的杂质。预处理设备可能包括过滤器、脱水器等。</w:t>
      </w:r>
    </w:p>
    <w:p w14:paraId="019E68A2">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②主冷凝阶段：经预处理的废气进入主冷凝单元。在这里，废气被引导通过一个或多个冷却装置，通常是管壳式或板式换热器。为有效降温，冷却介质在换热器中与废气逆流接触，最大限度地提高热交换效率。根据VOCs组分的不同沸点，调节温度以实现针对性的冷凝。对于具有不同沸点的混合物，可能需要多级冷却来实现更彻底的回收。</w:t>
      </w:r>
    </w:p>
    <w:p w14:paraId="45B1D7D8">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③分离阶段：冷凝后的VOCs以液态形式从气相中分离出来，通常利用重力和离心力的作用。分离设备一般包括气液分离器、油水分离器等。</w:t>
      </w:r>
    </w:p>
    <w:p w14:paraId="1C70F3A7">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④尾气排放：经过冷凝回收后的废气如果达不到排放标准，则需进一步处理以满足环保排放标准。</w:t>
      </w:r>
    </w:p>
    <w:p w14:paraId="25953CC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4.1.2 </w:t>
      </w:r>
      <w:r>
        <w:rPr>
          <w:rFonts w:hint="eastAsia" w:ascii="宋体" w:hAnsi="Times New Roman" w:eastAsia="宋体" w:cs="Times New Roman"/>
          <w:kern w:val="0"/>
          <w:szCs w:val="20"/>
        </w:rPr>
        <w:t>污染物排放标准应按《石油炼制工业污染物排放标准》GB</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31570-2015、《石油化学工业污染物排放标准》GB</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31571-2015、《合成树脂工业污染物排放标准》GB</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31572-2015或《炼焦化学工业大气污染物排放标准》GB</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16171.1-2024的规定执行。</w:t>
      </w:r>
    </w:p>
    <w:p w14:paraId="0BFE2B37">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《石油炼制工业污染物排放标准》GB</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31570-2015的6.3.1要求排气筒中大气污染物的监测采样按《固定污染源排气中颗粒物测定与气态污染物采样方法》GB/T</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16157-1996（2018年修改单）、《固定源废气监测技术规范》HJ/T</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397-2007、《固定污染源废气</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挥发性有机物的采样</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气袋法》HJ</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732-2014、《固定污染源监测质量保证与质量控制技术规范（试行）》HJ/T</w:t>
      </w:r>
      <w:r>
        <w:rPr>
          <w:rFonts w:ascii="宋体" w:hAnsi="Times New Roman" w:eastAsia="宋体" w:cs="Times New Roman"/>
          <w:kern w:val="0"/>
          <w:szCs w:val="20"/>
        </w:rPr>
        <w:t xml:space="preserve"> </w:t>
      </w:r>
      <w:r>
        <w:rPr>
          <w:rFonts w:hint="eastAsia" w:ascii="宋体" w:hAnsi="Times New Roman" w:eastAsia="宋体" w:cs="Times New Roman"/>
          <w:kern w:val="0"/>
          <w:szCs w:val="20"/>
        </w:rPr>
        <w:t>373-2007或《固定污染源烟气(SO</w:t>
      </w:r>
      <w:r>
        <w:rPr>
          <w:rFonts w:hint="eastAsia" w:ascii="宋体" w:hAnsi="Times New Roman" w:eastAsia="宋体" w:cs="Times New Roman"/>
          <w:kern w:val="0"/>
          <w:szCs w:val="20"/>
          <w:vertAlign w:val="subscript"/>
        </w:rPr>
        <w:t>2</w:t>
      </w:r>
      <w:r>
        <w:rPr>
          <w:rFonts w:hint="eastAsia" w:ascii="宋体" w:hAnsi="Times New Roman" w:eastAsia="宋体" w:cs="Times New Roman"/>
          <w:kern w:val="0"/>
          <w:szCs w:val="20"/>
        </w:rPr>
        <w:t>、NOx、颗粒物)排放连续监测技术规范》HJ</w:t>
      </w:r>
      <w:r>
        <w:rPr>
          <w:rFonts w:ascii="宋体" w:hAnsi="Times New Roman" w:eastAsia="宋体" w:cs="Times New Roman"/>
          <w:kern w:val="0"/>
          <w:szCs w:val="20"/>
        </w:rPr>
        <w:t xml:space="preserve"> 75-20</w:t>
      </w:r>
      <w:r>
        <w:rPr>
          <w:rFonts w:hint="eastAsia" w:ascii="宋体" w:hAnsi="Times New Roman" w:eastAsia="宋体" w:cs="Times New Roman"/>
          <w:kern w:val="0"/>
          <w:szCs w:val="20"/>
        </w:rPr>
        <w:t>17及《固定污染源烟气排放连续监测系统技术要求及检测方法》HJ</w:t>
      </w:r>
      <w:r>
        <w:rPr>
          <w:rFonts w:ascii="宋体" w:hAnsi="Times New Roman" w:eastAsia="宋体" w:cs="Times New Roman"/>
          <w:kern w:val="0"/>
          <w:szCs w:val="20"/>
        </w:rPr>
        <w:t xml:space="preserve"> 76-20</w:t>
      </w:r>
      <w:r>
        <w:rPr>
          <w:rFonts w:hint="eastAsia" w:ascii="宋体" w:hAnsi="Times New Roman" w:eastAsia="宋体" w:cs="Times New Roman"/>
          <w:kern w:val="0"/>
          <w:szCs w:val="20"/>
        </w:rPr>
        <w:t>17执行。同时，污染物排放标准及在线分析仪的设置应满足建设地及园区的要求以及环境影响报告书的批复要求。</w:t>
      </w:r>
    </w:p>
    <w:p w14:paraId="42A05335">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GB31571-2015有提及采样及分析，采样描述如下，分析引用了多个标准</w:t>
      </w:r>
      <w:r>
        <w:rPr>
          <w:rFonts w:hint="eastAsia" w:ascii="宋体" w:hAnsi="Times New Roman" w:eastAsia="宋体" w:cs="Times New Roman"/>
          <w:kern w:val="0"/>
          <w:szCs w:val="20"/>
        </w:rPr>
        <w:t>：</w:t>
      </w:r>
    </w:p>
    <w:p w14:paraId="3C083F48">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1</w:t>
      </w:r>
      <w:r>
        <w:rPr>
          <w:rFonts w:hint="eastAsia" w:ascii="宋体" w:hAnsi="Times New Roman" w:eastAsia="宋体" w:cs="Times New Roman"/>
          <w:kern w:val="0"/>
          <w:szCs w:val="20"/>
        </w:rPr>
        <w:t>）</w:t>
      </w:r>
      <w:r>
        <w:rPr>
          <w:rFonts w:ascii="宋体" w:hAnsi="Times New Roman" w:eastAsia="宋体" w:cs="Times New Roman"/>
          <w:kern w:val="0"/>
          <w:szCs w:val="20"/>
        </w:rPr>
        <w:t>5.4.7 采样对于含挥发性有机物、恶臭物质的物料，其采样口应采用密闭采样或等效设施。</w:t>
      </w:r>
    </w:p>
    <w:p w14:paraId="23708F50">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2</w:t>
      </w:r>
      <w:r>
        <w:rPr>
          <w:rFonts w:hint="eastAsia" w:ascii="宋体" w:hAnsi="Times New Roman" w:eastAsia="宋体" w:cs="Times New Roman"/>
          <w:kern w:val="0"/>
          <w:szCs w:val="20"/>
        </w:rPr>
        <w:t>）</w:t>
      </w:r>
      <w:r>
        <w:rPr>
          <w:rFonts w:ascii="宋体" w:hAnsi="Times New Roman" w:eastAsia="宋体" w:cs="Times New Roman"/>
          <w:kern w:val="0"/>
          <w:szCs w:val="20"/>
        </w:rPr>
        <w:t>引用了 HJ 732-2014，可见是采样后离线分析。</w:t>
      </w:r>
    </w:p>
    <w:p w14:paraId="3036C7F4">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综合考虑VOC处理装置</w:t>
      </w:r>
      <w:r>
        <w:rPr>
          <w:rFonts w:hint="eastAsia" w:ascii="宋体" w:hAnsi="Times New Roman" w:eastAsia="宋体" w:cs="Times New Roman"/>
          <w:kern w:val="0"/>
          <w:szCs w:val="20"/>
        </w:rPr>
        <w:t>的行业、规模及</w:t>
      </w:r>
      <w:r>
        <w:rPr>
          <w:rFonts w:ascii="宋体" w:hAnsi="Times New Roman" w:eastAsia="宋体" w:cs="Times New Roman"/>
          <w:kern w:val="0"/>
          <w:szCs w:val="20"/>
        </w:rPr>
        <w:t>介质多样性，目前</w:t>
      </w:r>
      <w:r>
        <w:rPr>
          <w:rFonts w:hint="eastAsia" w:ascii="宋体" w:hAnsi="Times New Roman" w:eastAsia="宋体" w:cs="Times New Roman"/>
          <w:kern w:val="0"/>
          <w:szCs w:val="20"/>
        </w:rPr>
        <w:t>“待</w:t>
      </w:r>
      <w:r>
        <w:rPr>
          <w:rFonts w:ascii="宋体" w:hAnsi="Times New Roman" w:eastAsia="宋体" w:cs="Times New Roman"/>
          <w:kern w:val="0"/>
          <w:szCs w:val="20"/>
        </w:rPr>
        <w:t>处理</w:t>
      </w:r>
      <w:r>
        <w:rPr>
          <w:rFonts w:hint="eastAsia" w:ascii="宋体" w:hAnsi="Times New Roman" w:eastAsia="宋体" w:cs="Times New Roman"/>
          <w:kern w:val="0"/>
          <w:szCs w:val="20"/>
        </w:rPr>
        <w:t>及处理</w:t>
      </w:r>
      <w:r>
        <w:rPr>
          <w:rFonts w:ascii="宋体" w:hAnsi="Times New Roman" w:eastAsia="宋体" w:cs="Times New Roman"/>
          <w:kern w:val="0"/>
          <w:szCs w:val="20"/>
        </w:rPr>
        <w:t>后气体管路</w:t>
      </w:r>
      <w:r>
        <w:rPr>
          <w:rFonts w:hint="eastAsia" w:ascii="宋体" w:hAnsi="Times New Roman" w:eastAsia="宋体" w:cs="Times New Roman"/>
          <w:kern w:val="0"/>
          <w:szCs w:val="20"/>
        </w:rPr>
        <w:t>要求设置</w:t>
      </w:r>
      <w:r>
        <w:rPr>
          <w:rFonts w:ascii="宋体" w:hAnsi="Times New Roman" w:eastAsia="宋体" w:cs="Times New Roman"/>
          <w:kern w:val="0"/>
          <w:szCs w:val="20"/>
        </w:rPr>
        <w:t>永久性采样口或在线分析仪。</w:t>
      </w:r>
      <w:r>
        <w:rPr>
          <w:rFonts w:hint="eastAsia" w:ascii="宋体" w:hAnsi="Times New Roman" w:eastAsia="宋体" w:cs="Times New Roman"/>
          <w:kern w:val="0"/>
          <w:szCs w:val="20"/>
        </w:rPr>
        <w:t>”</w:t>
      </w:r>
      <w:r>
        <w:rPr>
          <w:rFonts w:ascii="宋体" w:hAnsi="Times New Roman" w:eastAsia="宋体" w:cs="Times New Roman"/>
          <w:kern w:val="0"/>
          <w:szCs w:val="20"/>
        </w:rPr>
        <w:t>具体项目实施时，可以环评批复、当地监管等意见为准。</w:t>
      </w:r>
    </w:p>
    <w:p w14:paraId="566BDDFA">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4</w:t>
      </w:r>
      <w:r>
        <w:rPr>
          <w:rFonts w:ascii="宋体" w:hAnsi="Times New Roman" w:eastAsia="宋体" w:cs="Times New Roman"/>
          <w:kern w:val="0"/>
          <w:szCs w:val="20"/>
        </w:rPr>
        <w:t xml:space="preserve">.1.3 </w:t>
      </w:r>
      <w:r>
        <w:rPr>
          <w:rFonts w:hint="eastAsia" w:ascii="宋体" w:hAnsi="Times New Roman" w:eastAsia="宋体" w:cs="Times New Roman"/>
          <w:kern w:val="0"/>
          <w:szCs w:val="20"/>
        </w:rPr>
        <w:t>冷凝温度直接影响尾气处理效果，是装置设计的重要参数，也是有关部门重点监管的操作参数。</w:t>
      </w:r>
    </w:p>
    <w:p w14:paraId="2EA702FB">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4.1.5 典型冷凝法</w:t>
      </w:r>
      <w:r>
        <w:rPr>
          <w:rFonts w:hint="eastAsia" w:ascii="宋体" w:hAnsi="Times New Roman" w:eastAsia="宋体" w:cs="Times New Roman"/>
          <w:kern w:val="0"/>
          <w:szCs w:val="20"/>
        </w:rPr>
        <w:t>回收装置</w:t>
      </w:r>
      <w:r>
        <w:rPr>
          <w:rFonts w:ascii="宋体" w:hAnsi="Times New Roman" w:eastAsia="宋体" w:cs="Times New Roman"/>
          <w:kern w:val="0"/>
          <w:szCs w:val="20"/>
        </w:rPr>
        <w:t>一般由风机增压、多级冷凝、凝液收集及输送等部分组成，其主要设备包括：冷凝器、储液罐、制冷机等。</w:t>
      </w:r>
      <w:r>
        <w:rPr>
          <w:rFonts w:hint="eastAsia" w:ascii="宋体" w:hAnsi="Times New Roman" w:eastAsia="宋体" w:cs="Times New Roman"/>
          <w:kern w:val="0"/>
          <w:szCs w:val="20"/>
        </w:rPr>
        <w:t>除了冷凝器、储液罐、制冷机等，冷凝回收法的设备一般还包括风机、预除尘除液器、进出料换热器等。冷源亦可从外部直接供应以省去制冷机。对于终了温度较低的装置，推荐使用梯级温度冷凝以节省能耗，此时可考虑采用复叠式制冷机组。</w:t>
      </w:r>
    </w:p>
    <w:p w14:paraId="582A123A">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对于待处理气体中在换热器内可能发生凝固的情况，</w:t>
      </w:r>
      <w:r>
        <w:rPr>
          <w:rFonts w:hint="eastAsia" w:ascii="宋体" w:hAnsi="Times New Roman" w:eastAsia="宋体" w:cs="Times New Roman"/>
          <w:kern w:val="0"/>
          <w:szCs w:val="20"/>
        </w:rPr>
        <w:t>应</w:t>
      </w:r>
      <w:r>
        <w:rPr>
          <w:rFonts w:ascii="宋体" w:hAnsi="Times New Roman" w:eastAsia="宋体" w:cs="Times New Roman"/>
          <w:kern w:val="0"/>
          <w:szCs w:val="20"/>
        </w:rPr>
        <w:t>采用双通道冷凝回收系统，并设置复热除霜程序。</w:t>
      </w:r>
    </w:p>
    <w:p w14:paraId="76DE5CB9">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若介质在冷凝温度下可能结霜，则需要配置除霜措施，除霜措施一般设置手动除霜及自动除霜两种控制方式，自控除霜可以定时或根据压力检测启停。</w:t>
      </w:r>
    </w:p>
    <w:p w14:paraId="7F99F237">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对于待处理连续排放的，应考虑冷凝回收装置故障时气体的去向。</w:t>
      </w:r>
    </w:p>
    <w:p w14:paraId="4FEE2C27">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处理后气体不满足大气污染物排放要求的，应设置二次处理措施，不得直排大气。</w:t>
      </w:r>
    </w:p>
    <w:p w14:paraId="0466F75A">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p>
    <w:p w14:paraId="183E6F5F">
      <w:pPr>
        <w:pStyle w:val="3"/>
        <w:jc w:val="center"/>
        <w:rPr>
          <w:sz w:val="21"/>
          <w:szCs w:val="21"/>
        </w:rPr>
      </w:pPr>
      <w:bookmarkStart w:id="188" w:name="_Toc206171733"/>
      <w:bookmarkStart w:id="189" w:name="_Toc206160088"/>
      <w:r>
        <w:rPr>
          <w:rFonts w:hint="eastAsia"/>
          <w:sz w:val="21"/>
          <w:szCs w:val="21"/>
        </w:rPr>
        <w:t>4.</w:t>
      </w:r>
      <w:r>
        <w:rPr>
          <w:sz w:val="21"/>
          <w:szCs w:val="21"/>
        </w:rPr>
        <w:t>2</w:t>
      </w:r>
      <w:r>
        <w:rPr>
          <w:rFonts w:hint="eastAsia"/>
          <w:sz w:val="21"/>
          <w:szCs w:val="21"/>
        </w:rPr>
        <w:t xml:space="preserve"> </w:t>
      </w:r>
      <w:r>
        <w:rPr>
          <w:sz w:val="21"/>
          <w:szCs w:val="21"/>
        </w:rPr>
        <w:t>VOC</w:t>
      </w:r>
      <w:r>
        <w:rPr>
          <w:rFonts w:hint="eastAsia"/>
          <w:sz w:val="21"/>
          <w:szCs w:val="21"/>
        </w:rPr>
        <w:t>s冷凝+吸附法回收装置测控要求</w:t>
      </w:r>
      <w:bookmarkEnd w:id="188"/>
      <w:bookmarkEnd w:id="189"/>
    </w:p>
    <w:p w14:paraId="28524630">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4.2.1 冷凝+吸附</w:t>
      </w:r>
      <w:r>
        <w:rPr>
          <w:rFonts w:hint="eastAsia" w:ascii="宋体" w:hAnsi="Times New Roman" w:eastAsia="宋体" w:cs="Times New Roman"/>
          <w:kern w:val="0"/>
          <w:szCs w:val="20"/>
        </w:rPr>
        <w:t>法</w:t>
      </w:r>
      <w:r>
        <w:rPr>
          <w:rFonts w:ascii="宋体" w:hAnsi="Times New Roman" w:eastAsia="宋体" w:cs="Times New Roman"/>
          <w:kern w:val="0"/>
          <w:szCs w:val="20"/>
        </w:rPr>
        <w:t>回收</w:t>
      </w:r>
      <w:r>
        <w:rPr>
          <w:rFonts w:hint="eastAsia" w:ascii="宋体" w:hAnsi="Times New Roman" w:eastAsia="宋体" w:cs="Times New Roman"/>
          <w:kern w:val="0"/>
          <w:szCs w:val="20"/>
        </w:rPr>
        <w:t>装置</w:t>
      </w:r>
      <w:r>
        <w:rPr>
          <w:rFonts w:ascii="宋体" w:hAnsi="Times New Roman" w:eastAsia="宋体" w:cs="Times New Roman"/>
          <w:kern w:val="0"/>
          <w:szCs w:val="20"/>
        </w:rPr>
        <w:t>工艺流程一般由正压吸附、吸附剂再生等部分组成，其主要设备包括：吸附罐、再生真空泵或水蒸气再生进料阀门管路或热气再生进料阀门管路等。</w:t>
      </w:r>
    </w:p>
    <w:p w14:paraId="775B6DCF">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根据进吸附罐气体的设计流量、间歇连续特性、待回收组分浓度、吸附放热量，排出吸附罐气体浓度的要求，以及吸附剂的种类及特性等情况确定吸附剂的装填量及吸附罐的数量。</w:t>
      </w:r>
    </w:p>
    <w:p w14:paraId="57904E43">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冷凝+吸附回收法工艺可采用先冷凝后吸附的方案，亦可采用先吸附后冷凝的方案。</w:t>
      </w:r>
    </w:p>
    <w:p w14:paraId="56174A96">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4.2.</w:t>
      </w:r>
      <w:r>
        <w:rPr>
          <w:rFonts w:ascii="宋体" w:hAnsi="Times New Roman" w:eastAsia="宋体" w:cs="Times New Roman"/>
          <w:kern w:val="0"/>
          <w:szCs w:val="20"/>
        </w:rPr>
        <w:t xml:space="preserve">2 </w:t>
      </w:r>
      <w:r>
        <w:rPr>
          <w:rFonts w:hint="eastAsia" w:ascii="宋体" w:hAnsi="Times New Roman" w:eastAsia="宋体" w:cs="Times New Roman"/>
          <w:kern w:val="0"/>
          <w:szCs w:val="20"/>
        </w:rPr>
        <w:t>HJ 2026-2013的6.1.3：吸附装置的净化效率不得低于90%。</w:t>
      </w:r>
    </w:p>
    <w:p w14:paraId="7B8C7760">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2AE331AC">
      <w:pPr>
        <w:pStyle w:val="3"/>
        <w:jc w:val="center"/>
        <w:rPr>
          <w:sz w:val="21"/>
          <w:szCs w:val="21"/>
        </w:rPr>
      </w:pPr>
      <w:bookmarkStart w:id="190" w:name="_Toc206171734"/>
      <w:bookmarkStart w:id="191" w:name="_Toc206160089"/>
      <w:r>
        <w:rPr>
          <w:rFonts w:hint="eastAsia"/>
          <w:sz w:val="21"/>
          <w:szCs w:val="21"/>
        </w:rPr>
        <w:t>4</w:t>
      </w:r>
      <w:r>
        <w:rPr>
          <w:sz w:val="21"/>
          <w:szCs w:val="21"/>
        </w:rPr>
        <w:t>.3 VOC</w:t>
      </w:r>
      <w:r>
        <w:rPr>
          <w:rFonts w:hint="eastAsia"/>
          <w:sz w:val="21"/>
          <w:szCs w:val="21"/>
        </w:rPr>
        <w:t>s冷凝+吸收法回收装置测控要求</w:t>
      </w:r>
      <w:bookmarkEnd w:id="190"/>
      <w:bookmarkEnd w:id="191"/>
    </w:p>
    <w:p w14:paraId="54D7122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4.3.1 冷凝+吸收</w:t>
      </w:r>
      <w:r>
        <w:rPr>
          <w:rFonts w:hint="eastAsia" w:ascii="宋体" w:hAnsi="Times New Roman" w:eastAsia="宋体" w:cs="Times New Roman"/>
          <w:kern w:val="0"/>
          <w:szCs w:val="20"/>
        </w:rPr>
        <w:t>法</w:t>
      </w:r>
      <w:r>
        <w:rPr>
          <w:rFonts w:ascii="宋体" w:hAnsi="Times New Roman" w:eastAsia="宋体" w:cs="Times New Roman"/>
          <w:kern w:val="0"/>
          <w:szCs w:val="20"/>
        </w:rPr>
        <w:t>回收</w:t>
      </w:r>
      <w:r>
        <w:rPr>
          <w:rFonts w:hint="eastAsia" w:ascii="宋体" w:hAnsi="Times New Roman" w:eastAsia="宋体" w:cs="Times New Roman"/>
          <w:kern w:val="0"/>
          <w:szCs w:val="20"/>
        </w:rPr>
        <w:t>装置工艺</w:t>
      </w:r>
      <w:r>
        <w:rPr>
          <w:rFonts w:ascii="宋体" w:hAnsi="Times New Roman" w:eastAsia="宋体" w:cs="Times New Roman"/>
          <w:kern w:val="0"/>
          <w:szCs w:val="20"/>
        </w:rPr>
        <w:t>流程一般由气体吸收、吸收液冷却等部分组成，其主要设备包括：吸收塔、吸收塔循环泵、吸收液冷却器等。</w:t>
      </w:r>
    </w:p>
    <w:p w14:paraId="344178E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4.3.</w:t>
      </w:r>
      <w:r>
        <w:rPr>
          <w:rFonts w:ascii="宋体" w:hAnsi="Times New Roman" w:eastAsia="宋体" w:cs="Times New Roman"/>
          <w:kern w:val="0"/>
          <w:szCs w:val="20"/>
        </w:rPr>
        <w:t xml:space="preserve">2 </w:t>
      </w:r>
      <w:r>
        <w:rPr>
          <w:rFonts w:hint="eastAsia" w:ascii="宋体" w:hAnsi="Times New Roman" w:eastAsia="宋体" w:cs="Times New Roman"/>
          <w:kern w:val="0"/>
          <w:szCs w:val="20"/>
        </w:rPr>
        <w:t>《环境保护产品技术要求 工业废气吸收净化装置》HJ 387-2007的4.2.2条：净化装置的压力损失不大于2kPa，高压文丘里氏吸收器不受此项限制。《油气回收处理设施技术标准》GB</w:t>
      </w:r>
      <w:r>
        <w:rPr>
          <w:rFonts w:hint="eastAsia" w:ascii="宋体" w:hAnsi="Times New Roman" w:eastAsia="宋体" w:cs="Times New Roman"/>
          <w:kern w:val="0"/>
          <w:szCs w:val="20"/>
          <w:lang w:val="en-US" w:eastAsia="zh-CN"/>
        </w:rPr>
        <w:t>/</w:t>
      </w:r>
      <w:r>
        <w:rPr>
          <w:rFonts w:hint="eastAsia" w:ascii="宋体" w:hAnsi="Times New Roman" w:eastAsia="宋体" w:cs="Times New Roman"/>
          <w:kern w:val="0"/>
          <w:szCs w:val="20"/>
        </w:rPr>
        <w:t>T 50759-2022的5.5.5条的第2条，填料宜为低压降、规整填料，压降不宜高于1kPa。</w:t>
      </w:r>
    </w:p>
    <w:p w14:paraId="32E44F7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365F579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4E04698B">
      <w:pPr>
        <w:pStyle w:val="3"/>
        <w:jc w:val="center"/>
        <w:rPr>
          <w:sz w:val="21"/>
          <w:szCs w:val="21"/>
        </w:rPr>
      </w:pPr>
      <w:bookmarkStart w:id="192" w:name="_Toc206160090"/>
      <w:bookmarkStart w:id="193" w:name="_Toc206171735"/>
      <w:r>
        <w:rPr>
          <w:rFonts w:hint="eastAsia"/>
          <w:sz w:val="21"/>
          <w:szCs w:val="21"/>
        </w:rPr>
        <w:t>4</w:t>
      </w:r>
      <w:r>
        <w:rPr>
          <w:sz w:val="21"/>
          <w:szCs w:val="21"/>
        </w:rPr>
        <w:t xml:space="preserve">.4 </w:t>
      </w:r>
      <w:r>
        <w:rPr>
          <w:rFonts w:hint="eastAsia"/>
          <w:sz w:val="21"/>
          <w:szCs w:val="21"/>
        </w:rPr>
        <w:t>V</w:t>
      </w:r>
      <w:r>
        <w:rPr>
          <w:sz w:val="21"/>
          <w:szCs w:val="21"/>
        </w:rPr>
        <w:t>OC</w:t>
      </w:r>
      <w:r>
        <w:rPr>
          <w:rFonts w:hint="eastAsia"/>
          <w:sz w:val="21"/>
          <w:szCs w:val="21"/>
        </w:rPr>
        <w:t>s冷凝+膜分离法回收装置测控要求</w:t>
      </w:r>
      <w:bookmarkEnd w:id="192"/>
      <w:bookmarkEnd w:id="193"/>
    </w:p>
    <w:p w14:paraId="5502EF36">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4.4.1 冷凝+膜分离</w:t>
      </w:r>
      <w:r>
        <w:rPr>
          <w:rFonts w:hint="eastAsia" w:ascii="宋体" w:hAnsi="Times New Roman" w:eastAsia="宋体" w:cs="Times New Roman"/>
          <w:kern w:val="0"/>
          <w:szCs w:val="20"/>
        </w:rPr>
        <w:t>法</w:t>
      </w:r>
      <w:r>
        <w:rPr>
          <w:rFonts w:ascii="宋体" w:hAnsi="Times New Roman" w:eastAsia="宋体" w:cs="Times New Roman"/>
          <w:kern w:val="0"/>
          <w:szCs w:val="20"/>
        </w:rPr>
        <w:t>回收</w:t>
      </w:r>
      <w:r>
        <w:rPr>
          <w:rFonts w:hint="eastAsia" w:ascii="宋体" w:hAnsi="Times New Roman" w:eastAsia="宋体" w:cs="Times New Roman"/>
          <w:kern w:val="0"/>
          <w:szCs w:val="20"/>
        </w:rPr>
        <w:t>装置</w:t>
      </w:r>
      <w:r>
        <w:rPr>
          <w:rFonts w:ascii="宋体" w:hAnsi="Times New Roman" w:eastAsia="宋体" w:cs="Times New Roman"/>
          <w:kern w:val="0"/>
          <w:szCs w:val="20"/>
        </w:rPr>
        <w:t>工艺流程一般由膜分离等部分组成，其主要设备包括：膜组件、增压机或真空泵等。</w:t>
      </w:r>
    </w:p>
    <w:p w14:paraId="20C38C1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4.</w:t>
      </w:r>
      <w:r>
        <w:rPr>
          <w:rFonts w:hint="eastAsia" w:ascii="宋体" w:hAnsi="Times New Roman" w:eastAsia="宋体" w:cs="Times New Roman"/>
          <w:kern w:val="0"/>
          <w:szCs w:val="20"/>
        </w:rPr>
        <w:t>4</w:t>
      </w:r>
      <w:r>
        <w:rPr>
          <w:rFonts w:ascii="宋体" w:hAnsi="Times New Roman" w:eastAsia="宋体" w:cs="Times New Roman"/>
          <w:kern w:val="0"/>
          <w:szCs w:val="20"/>
        </w:rPr>
        <w:t xml:space="preserve">.2 </w:t>
      </w:r>
      <w:r>
        <w:rPr>
          <w:rFonts w:hint="eastAsia" w:ascii="宋体" w:hAnsi="Times New Roman" w:eastAsia="宋体" w:cs="Times New Roman"/>
          <w:kern w:val="0"/>
          <w:szCs w:val="20"/>
        </w:rPr>
        <w:t>GB</w:t>
      </w:r>
      <w:r>
        <w:rPr>
          <w:rFonts w:hint="eastAsia" w:ascii="宋体" w:hAnsi="Times New Roman" w:eastAsia="宋体" w:cs="Times New Roman"/>
          <w:kern w:val="0"/>
          <w:szCs w:val="20"/>
          <w:lang w:val="en-US" w:eastAsia="zh-CN"/>
        </w:rPr>
        <w:t>/</w:t>
      </w:r>
      <w:r>
        <w:rPr>
          <w:rFonts w:hint="eastAsia" w:ascii="宋体" w:hAnsi="Times New Roman" w:eastAsia="宋体" w:cs="Times New Roman"/>
          <w:kern w:val="0"/>
          <w:szCs w:val="20"/>
        </w:rPr>
        <w:t>T 50759-2022的5.5.6条的第3条：有机材料分离膜的膜组件操作温度不应超过50℃。</w:t>
      </w:r>
    </w:p>
    <w:p w14:paraId="08E30E4E">
      <w:pPr>
        <w:widowControl/>
        <w:tabs>
          <w:tab w:val="center" w:pos="4201"/>
          <w:tab w:val="right" w:leader="dot" w:pos="9298"/>
        </w:tabs>
        <w:autoSpaceDE w:val="0"/>
        <w:autoSpaceDN w:val="0"/>
        <w:spacing w:line="360" w:lineRule="auto"/>
        <w:rPr>
          <w:rFonts w:ascii="宋体" w:hAnsi="Times New Roman" w:eastAsia="宋体" w:cs="Times New Roman"/>
          <w:b/>
          <w:kern w:val="0"/>
          <w:szCs w:val="20"/>
        </w:rPr>
      </w:pPr>
    </w:p>
    <w:p w14:paraId="53FF6396">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60A6450A">
      <w:pPr>
        <w:pStyle w:val="2"/>
        <w:jc w:val="center"/>
        <w:rPr>
          <w:sz w:val="28"/>
          <w:szCs w:val="28"/>
        </w:rPr>
      </w:pPr>
      <w:bookmarkStart w:id="194" w:name="_Toc206171736"/>
      <w:bookmarkStart w:id="195" w:name="_Toc206160091"/>
      <w:r>
        <w:rPr>
          <w:sz w:val="28"/>
          <w:szCs w:val="28"/>
        </w:rPr>
        <w:t xml:space="preserve">5 </w:t>
      </w:r>
      <w:r>
        <w:rPr>
          <w:rFonts w:hint="eastAsia"/>
          <w:sz w:val="28"/>
          <w:szCs w:val="28"/>
        </w:rPr>
        <w:t>控制系统</w:t>
      </w:r>
      <w:bookmarkEnd w:id="194"/>
      <w:bookmarkEnd w:id="195"/>
    </w:p>
    <w:p w14:paraId="51C21029">
      <w:pPr>
        <w:pStyle w:val="3"/>
        <w:jc w:val="center"/>
        <w:rPr>
          <w:sz w:val="21"/>
          <w:szCs w:val="21"/>
        </w:rPr>
      </w:pPr>
      <w:bookmarkStart w:id="196" w:name="_Toc206160092"/>
      <w:bookmarkStart w:id="197" w:name="_Toc206171737"/>
      <w:r>
        <w:rPr>
          <w:sz w:val="21"/>
          <w:szCs w:val="21"/>
        </w:rPr>
        <w:t>5</w:t>
      </w:r>
      <w:r>
        <w:rPr>
          <w:rFonts w:hint="eastAsia"/>
          <w:sz w:val="21"/>
          <w:szCs w:val="21"/>
        </w:rPr>
        <w:t>.1 基本过程控制系统（B</w:t>
      </w:r>
      <w:r>
        <w:rPr>
          <w:sz w:val="21"/>
          <w:szCs w:val="21"/>
        </w:rPr>
        <w:t>PCS</w:t>
      </w:r>
      <w:r>
        <w:rPr>
          <w:rFonts w:hint="eastAsia"/>
          <w:sz w:val="21"/>
          <w:szCs w:val="21"/>
        </w:rPr>
        <w:t>）</w:t>
      </w:r>
      <w:bookmarkEnd w:id="196"/>
      <w:bookmarkEnd w:id="197"/>
    </w:p>
    <w:p w14:paraId="78C77ED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5.1.6  </w:t>
      </w:r>
      <w:r>
        <w:rPr>
          <w:rFonts w:hint="eastAsia" w:ascii="宋体" w:hAnsi="Times New Roman" w:eastAsia="宋体" w:cs="Times New Roman"/>
          <w:kern w:val="0"/>
          <w:szCs w:val="20"/>
        </w:rPr>
        <w:t>V</w:t>
      </w:r>
      <w:r>
        <w:rPr>
          <w:rFonts w:ascii="宋体" w:hAnsi="Times New Roman" w:eastAsia="宋体" w:cs="Times New Roman"/>
          <w:kern w:val="0"/>
          <w:szCs w:val="20"/>
        </w:rPr>
        <w:t>OC</w:t>
      </w:r>
      <w:r>
        <w:rPr>
          <w:rFonts w:hint="eastAsia" w:ascii="宋体" w:hAnsi="Times New Roman" w:eastAsia="宋体" w:cs="Times New Roman"/>
          <w:kern w:val="0"/>
          <w:szCs w:val="20"/>
        </w:rPr>
        <w:t>s冷凝法回收装置如采用撬装，随机监控P</w:t>
      </w:r>
      <w:r>
        <w:rPr>
          <w:rFonts w:ascii="宋体" w:hAnsi="Times New Roman" w:eastAsia="宋体" w:cs="Times New Roman"/>
          <w:kern w:val="0"/>
          <w:szCs w:val="20"/>
        </w:rPr>
        <w:t>LC</w:t>
      </w:r>
      <w:r>
        <w:rPr>
          <w:rFonts w:hint="eastAsia" w:ascii="宋体" w:hAnsi="Times New Roman" w:eastAsia="宋体" w:cs="Times New Roman"/>
          <w:kern w:val="0"/>
          <w:szCs w:val="20"/>
        </w:rPr>
        <w:t>系统机柜可安装在撬块上。</w:t>
      </w:r>
    </w:p>
    <w:p w14:paraId="4DB9595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4B6D2219">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1669E65F">
      <w:pPr>
        <w:pStyle w:val="2"/>
        <w:jc w:val="center"/>
        <w:rPr>
          <w:sz w:val="28"/>
          <w:szCs w:val="28"/>
        </w:rPr>
      </w:pPr>
      <w:bookmarkStart w:id="198" w:name="_Toc206160093"/>
      <w:bookmarkStart w:id="199" w:name="_Toc206171738"/>
      <w:r>
        <w:rPr>
          <w:sz w:val="28"/>
          <w:szCs w:val="28"/>
        </w:rPr>
        <w:t xml:space="preserve">6 </w:t>
      </w:r>
      <w:r>
        <w:rPr>
          <w:rFonts w:hint="eastAsia"/>
          <w:sz w:val="28"/>
          <w:szCs w:val="28"/>
        </w:rPr>
        <w:t>检测仪表</w:t>
      </w:r>
      <w:bookmarkEnd w:id="198"/>
      <w:bookmarkEnd w:id="199"/>
    </w:p>
    <w:p w14:paraId="57FB66F7">
      <w:pPr>
        <w:pStyle w:val="3"/>
        <w:jc w:val="center"/>
        <w:rPr>
          <w:sz w:val="21"/>
          <w:szCs w:val="21"/>
        </w:rPr>
      </w:pPr>
      <w:bookmarkStart w:id="200" w:name="_Toc206160094"/>
      <w:bookmarkStart w:id="201" w:name="_Toc206171739"/>
      <w:r>
        <w:rPr>
          <w:sz w:val="21"/>
          <w:szCs w:val="21"/>
        </w:rPr>
        <w:t>6</w:t>
      </w:r>
      <w:r>
        <w:rPr>
          <w:rFonts w:hint="eastAsia"/>
          <w:sz w:val="21"/>
          <w:szCs w:val="21"/>
        </w:rPr>
        <w:t>.1 一般规定</w:t>
      </w:r>
      <w:bookmarkEnd w:id="200"/>
      <w:bookmarkEnd w:id="201"/>
    </w:p>
    <w:p w14:paraId="62A9FA8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6.1.1 VOCs</w:t>
      </w:r>
      <w:r>
        <w:rPr>
          <w:rFonts w:hint="eastAsia" w:ascii="宋体" w:hAnsi="Times New Roman" w:eastAsia="宋体" w:cs="Times New Roman"/>
          <w:kern w:val="0"/>
          <w:szCs w:val="20"/>
        </w:rPr>
        <w:t>在线检测系统，至少需要测量温度、压力、流量、适度以及非甲烷总烃含量，测量精度</w:t>
      </w:r>
      <w:r>
        <w:rPr>
          <w:rFonts w:ascii="宋体" w:hAnsi="Times New Roman" w:eastAsia="宋体" w:cs="Times New Roman"/>
          <w:kern w:val="0"/>
          <w:szCs w:val="20"/>
        </w:rPr>
        <w:t>≤±1%F.S</w:t>
      </w:r>
      <w:r>
        <w:rPr>
          <w:rFonts w:hint="eastAsia" w:ascii="宋体" w:hAnsi="Times New Roman" w:eastAsia="宋体" w:cs="Times New Roman"/>
          <w:kern w:val="0"/>
          <w:szCs w:val="20"/>
        </w:rPr>
        <w:t>。</w:t>
      </w:r>
    </w:p>
    <w:p w14:paraId="2DFDF7D9">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6.1.2 </w:t>
      </w:r>
      <w:r>
        <w:rPr>
          <w:rFonts w:hint="eastAsia" w:ascii="宋体" w:hAnsi="Times New Roman" w:eastAsia="宋体" w:cs="Times New Roman"/>
          <w:kern w:val="0"/>
          <w:szCs w:val="20"/>
        </w:rPr>
        <w:t>正确安装位置：监测仪表的安装位置对其性能有重要影响。必须确保仪表安装在能准确反映过程参数变化的位置，同时避免安装在可能导致测量误差的地方，如死角或湍流区。</w:t>
      </w:r>
    </w:p>
    <w:p w14:paraId="031A06A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6.1.3 </w:t>
      </w:r>
      <w:r>
        <w:rPr>
          <w:rFonts w:hint="eastAsia" w:ascii="宋体" w:hAnsi="Times New Roman" w:eastAsia="宋体" w:cs="Times New Roman"/>
          <w:kern w:val="0"/>
          <w:szCs w:val="20"/>
        </w:rPr>
        <w:t>冗余配置：对于关键测量点，可以考虑采用冗余配置，即安装两个或更多的相同功能仪表，以提高系统的可靠性和减少单点故障的风险。</w:t>
      </w:r>
    </w:p>
    <w:p w14:paraId="187D8E0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6.1.4 </w:t>
      </w:r>
      <w:r>
        <w:rPr>
          <w:rFonts w:hint="eastAsia" w:ascii="宋体" w:hAnsi="Times New Roman" w:eastAsia="宋体" w:cs="Times New Roman"/>
          <w:kern w:val="0"/>
          <w:szCs w:val="20"/>
        </w:rPr>
        <w:t>维护和校准：在线监测仪表应定期进行校准和维护，以保证其长期内的准确性和稳定性。配置时，应考虑仪表的维护便利性和校准的需求。</w:t>
      </w:r>
    </w:p>
    <w:p w14:paraId="23BDA0B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6.1.5 </w:t>
      </w:r>
      <w:r>
        <w:rPr>
          <w:rFonts w:hint="eastAsia" w:ascii="宋体" w:hAnsi="Times New Roman" w:eastAsia="宋体" w:cs="Times New Roman"/>
          <w:kern w:val="0"/>
          <w:szCs w:val="20"/>
        </w:rPr>
        <w:t>特殊要求</w:t>
      </w:r>
    </w:p>
    <w:p w14:paraId="3CCA9F76">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信号传输安全：仪表的信号传输应采用适当的保护措施，如屏蔽电缆、光电隔离等，以防止电磁干扰或信号丢失。</w:t>
      </w:r>
    </w:p>
    <w:p w14:paraId="445440B1">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远程监控能力：现代监测仪表应支持远程监控和数据访问功能，使得操作人员可以在控制室远程监控生产过程，并在必要时进行干预。</w:t>
      </w:r>
    </w:p>
    <w:p w14:paraId="502A9724">
      <w:pPr>
        <w:pStyle w:val="3"/>
        <w:jc w:val="center"/>
        <w:rPr>
          <w:sz w:val="21"/>
          <w:szCs w:val="21"/>
        </w:rPr>
      </w:pPr>
      <w:bookmarkStart w:id="202" w:name="_Toc206160095"/>
      <w:bookmarkStart w:id="203" w:name="_Toc206171740"/>
      <w:r>
        <w:rPr>
          <w:rFonts w:hint="eastAsia"/>
          <w:sz w:val="21"/>
          <w:szCs w:val="21"/>
        </w:rPr>
        <w:t>6</w:t>
      </w:r>
      <w:r>
        <w:rPr>
          <w:sz w:val="21"/>
          <w:szCs w:val="21"/>
        </w:rPr>
        <w:t xml:space="preserve">.4 </w:t>
      </w:r>
      <w:r>
        <w:rPr>
          <w:rFonts w:hint="eastAsia"/>
          <w:sz w:val="21"/>
          <w:szCs w:val="21"/>
        </w:rPr>
        <w:t>流量仪表</w:t>
      </w:r>
      <w:bookmarkEnd w:id="202"/>
      <w:bookmarkEnd w:id="203"/>
    </w:p>
    <w:p w14:paraId="0EF223FA">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.4.5</w:t>
      </w:r>
      <w:r>
        <w:rPr>
          <w:rFonts w:hint="eastAsia" w:ascii="宋体" w:hAnsi="Times New Roman" w:eastAsia="宋体" w:cs="Times New Roman"/>
          <w:kern w:val="0"/>
          <w:szCs w:val="20"/>
        </w:rPr>
        <w:t>G</w:t>
      </w:r>
      <w:r>
        <w:rPr>
          <w:rFonts w:ascii="宋体" w:hAnsi="Times New Roman" w:eastAsia="宋体" w:cs="Times New Roman"/>
          <w:kern w:val="0"/>
          <w:szCs w:val="20"/>
        </w:rPr>
        <w:t>B/T16157-1996</w:t>
      </w:r>
      <w:r>
        <w:rPr>
          <w:rFonts w:hint="eastAsia" w:ascii="宋体" w:hAnsi="Times New Roman" w:eastAsia="宋体" w:cs="Times New Roman"/>
          <w:kern w:val="0"/>
          <w:szCs w:val="20"/>
          <w:lang w:eastAsia="zh-CN"/>
        </w:rPr>
        <w:t>中第</w:t>
      </w:r>
      <w:r>
        <w:rPr>
          <w:rFonts w:hint="eastAsia" w:ascii="宋体" w:hAnsi="Times New Roman" w:eastAsia="宋体" w:cs="Times New Roman"/>
          <w:kern w:val="0"/>
          <w:szCs w:val="20"/>
        </w:rPr>
        <w:t>8</w:t>
      </w:r>
      <w:r>
        <w:rPr>
          <w:rFonts w:ascii="宋体" w:hAnsi="Times New Roman" w:eastAsia="宋体" w:cs="Times New Roman"/>
          <w:kern w:val="0"/>
          <w:szCs w:val="20"/>
        </w:rPr>
        <w:t>.4</w:t>
      </w:r>
      <w:r>
        <w:rPr>
          <w:rFonts w:hint="eastAsia" w:ascii="宋体" w:hAnsi="Times New Roman" w:eastAsia="宋体" w:cs="Times New Roman"/>
          <w:kern w:val="0"/>
          <w:szCs w:val="20"/>
        </w:rPr>
        <w:t>条建议流速采用皮托管测量方法。对于大口径管道、非导电性及强腐蚀性、废气流速低于5m</w:t>
      </w:r>
      <w:r>
        <w:rPr>
          <w:rFonts w:ascii="宋体" w:hAnsi="Times New Roman" w:eastAsia="宋体" w:cs="Times New Roman"/>
          <w:kern w:val="0"/>
          <w:szCs w:val="20"/>
        </w:rPr>
        <w:t>/</w:t>
      </w:r>
      <w:r>
        <w:rPr>
          <w:rFonts w:hint="eastAsia" w:ascii="宋体" w:hAnsi="Times New Roman" w:eastAsia="宋体" w:cs="Times New Roman"/>
          <w:kern w:val="0"/>
          <w:szCs w:val="20"/>
        </w:rPr>
        <w:t>s等恶劣工况也可选用超声波流量计，所以实际工程设计时，优先选择皮托管流量计，也可根据实际工艺情况选型。</w:t>
      </w:r>
    </w:p>
    <w:p w14:paraId="4116F626">
      <w:pPr>
        <w:pStyle w:val="3"/>
        <w:jc w:val="center"/>
        <w:rPr>
          <w:sz w:val="21"/>
          <w:szCs w:val="21"/>
        </w:rPr>
      </w:pPr>
      <w:bookmarkStart w:id="204" w:name="_Toc206160096"/>
      <w:bookmarkStart w:id="205" w:name="_Toc206171741"/>
      <w:r>
        <w:rPr>
          <w:rFonts w:hint="eastAsia"/>
          <w:sz w:val="21"/>
          <w:szCs w:val="21"/>
        </w:rPr>
        <w:t>6</w:t>
      </w:r>
      <w:r>
        <w:rPr>
          <w:sz w:val="21"/>
          <w:szCs w:val="21"/>
        </w:rPr>
        <w:t xml:space="preserve">.6 </w:t>
      </w:r>
      <w:r>
        <w:rPr>
          <w:rFonts w:hint="eastAsia"/>
          <w:sz w:val="21"/>
          <w:szCs w:val="21"/>
        </w:rPr>
        <w:t>分析仪表</w:t>
      </w:r>
      <w:bookmarkEnd w:id="204"/>
      <w:bookmarkEnd w:id="205"/>
    </w:p>
    <w:p w14:paraId="1AA131A0">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 xml:space="preserve">.6.3 </w:t>
      </w:r>
      <w:r>
        <w:rPr>
          <w:rFonts w:hint="eastAsia" w:ascii="宋体" w:hAnsi="Times New Roman" w:eastAsia="宋体" w:cs="Times New Roman"/>
          <w:kern w:val="0"/>
          <w:szCs w:val="20"/>
        </w:rPr>
        <w:t>装置气相进口管线设置的分析仪，可安装在单独设置分析小屋内；排放管线设置的分析仪，应安装在监测站房。分析小屋和监测站房可共用。小屋中可以采用不同开门，中间加隔断的方式。</w:t>
      </w:r>
    </w:p>
    <w:p w14:paraId="5B020611">
      <w:pPr>
        <w:pStyle w:val="56"/>
        <w:numPr>
          <w:ilvl w:val="0"/>
          <w:numId w:val="0"/>
        </w:numPr>
        <w:rPr>
          <w:rFonts w:ascii="宋体" w:hAnsi="Times New Roman" w:eastAsia="宋体" w:cs="Times New Roman"/>
          <w:color w:val="auto"/>
          <w:kern w:val="0"/>
          <w:szCs w:val="20"/>
        </w:rPr>
      </w:pPr>
      <w:r>
        <w:rPr>
          <w:rFonts w:hint="eastAsia" w:ascii="宋体" w:hAnsi="Times New Roman" w:eastAsia="宋体" w:cs="Times New Roman"/>
          <w:color w:val="auto"/>
          <w:kern w:val="0"/>
          <w:szCs w:val="20"/>
        </w:rPr>
        <w:t>6</w:t>
      </w:r>
      <w:r>
        <w:rPr>
          <w:rFonts w:ascii="宋体" w:hAnsi="Times New Roman" w:eastAsia="宋体" w:cs="Times New Roman"/>
          <w:color w:val="auto"/>
          <w:kern w:val="0"/>
          <w:szCs w:val="20"/>
        </w:rPr>
        <w:t>.6.5</w:t>
      </w:r>
      <w:r>
        <w:rPr>
          <w:rFonts w:hint="eastAsia" w:ascii="宋体" w:hAnsi="Times New Roman" w:eastAsia="宋体" w:cs="Times New Roman"/>
          <w:color w:val="auto"/>
          <w:kern w:val="0"/>
          <w:szCs w:val="20"/>
        </w:rPr>
        <w:t>气相色谱分析仪需具有色谱图文件自动记录、历史谱图查询等功能。气相色谱分析仪需具有实时或周期性的检测当前火焰状态的功能，检测到火焰熄灭，必须自动切断燃烧气源。</w:t>
      </w:r>
    </w:p>
    <w:p w14:paraId="70A6507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6.6.6 </w:t>
      </w:r>
      <w:r>
        <w:rPr>
          <w:rFonts w:hint="eastAsia" w:ascii="宋体" w:hAnsi="Times New Roman" w:eastAsia="宋体" w:cs="Times New Roman"/>
          <w:kern w:val="0"/>
          <w:szCs w:val="20"/>
        </w:rPr>
        <w:t>国标对V</w:t>
      </w:r>
      <w:r>
        <w:rPr>
          <w:rFonts w:ascii="宋体" w:hAnsi="Times New Roman" w:eastAsia="宋体" w:cs="Times New Roman"/>
          <w:kern w:val="0"/>
          <w:szCs w:val="20"/>
        </w:rPr>
        <w:t>OC</w:t>
      </w:r>
      <w:r>
        <w:rPr>
          <w:rFonts w:hint="eastAsia" w:ascii="宋体" w:hAnsi="Times New Roman" w:eastAsia="宋体" w:cs="Times New Roman"/>
          <w:kern w:val="0"/>
          <w:szCs w:val="20"/>
        </w:rPr>
        <w:t>s排放氧含量测量没有要求，当环保有要求</w:t>
      </w:r>
      <w:r>
        <w:rPr>
          <w:rFonts w:ascii="宋体" w:hAnsi="Times New Roman" w:eastAsia="宋体" w:cs="Times New Roman"/>
          <w:kern w:val="0"/>
          <w:szCs w:val="20"/>
        </w:rPr>
        <w:t>排放监测系统</w:t>
      </w:r>
      <w:r>
        <w:rPr>
          <w:rFonts w:hint="eastAsia" w:ascii="宋体" w:hAnsi="Times New Roman" w:eastAsia="宋体" w:cs="Times New Roman"/>
          <w:kern w:val="0"/>
          <w:szCs w:val="20"/>
        </w:rPr>
        <w:t>提供氧气含量示值时，氧气浓度检测宜采用氧化锆分析仪，量程宜选用0%</w:t>
      </w:r>
      <w:r>
        <w:rPr>
          <w:rFonts w:hint="eastAsia" w:ascii="宋体" w:hAnsi="Times New Roman" w:eastAsia="宋体" w:cs="Times New Roman"/>
          <w:kern w:val="0"/>
          <w:szCs w:val="20"/>
          <w:lang w:val="en-US" w:eastAsia="zh-CN"/>
        </w:rPr>
        <w:t>～</w:t>
      </w:r>
      <w:r>
        <w:rPr>
          <w:rFonts w:hint="eastAsia" w:ascii="宋体" w:hAnsi="Times New Roman" w:eastAsia="宋体" w:cs="Times New Roman"/>
          <w:kern w:val="0"/>
          <w:szCs w:val="20"/>
        </w:rPr>
        <w:t>25%，测量精度不小于1%F.S。也可采用电化学氧分析仪、磁氧分析仪。</w:t>
      </w:r>
    </w:p>
    <w:p w14:paraId="3C915598">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6.6.8 对于圆形</w:t>
      </w:r>
      <w:r>
        <w:rPr>
          <w:rFonts w:hint="eastAsia" w:ascii="宋体" w:hAnsi="Times New Roman" w:eastAsia="宋体" w:cs="Times New Roman"/>
          <w:kern w:val="0"/>
          <w:szCs w:val="20"/>
        </w:rPr>
        <w:t>管</w:t>
      </w:r>
      <w:r>
        <w:rPr>
          <w:rFonts w:ascii="宋体" w:hAnsi="Times New Roman" w:eastAsia="宋体" w:cs="Times New Roman"/>
          <w:kern w:val="0"/>
          <w:szCs w:val="20"/>
        </w:rPr>
        <w:t>道，样品采样位置应设置在距弯头、阀门、变径管下游方向不小于6倍直径，和距上述部件上游方向不小于3倍直径处。对于矩形</w:t>
      </w:r>
      <w:r>
        <w:rPr>
          <w:rFonts w:hint="eastAsia" w:ascii="宋体" w:hAnsi="Times New Roman" w:eastAsia="宋体" w:cs="Times New Roman"/>
          <w:kern w:val="0"/>
          <w:szCs w:val="20"/>
        </w:rPr>
        <w:t>管</w:t>
      </w:r>
      <w:r>
        <w:rPr>
          <w:rFonts w:ascii="宋体" w:hAnsi="Times New Roman" w:eastAsia="宋体" w:cs="Times New Roman"/>
          <w:kern w:val="0"/>
          <w:szCs w:val="20"/>
        </w:rPr>
        <w:t>道，其当量直径D=2AB/(A+B)，式中A、B为矩形烟道边长。</w:t>
      </w:r>
      <w:r>
        <w:rPr>
          <w:rFonts w:hint="eastAsia" w:ascii="宋体" w:hAnsi="Times New Roman" w:eastAsia="宋体" w:cs="Times New Roman"/>
          <w:kern w:val="0"/>
          <w:szCs w:val="20"/>
        </w:rPr>
        <w:t>HJ 75中为前四后二，考虑老平台改造困难，因此建议修改6倍为4倍，3倍为2倍。采样孔距采样平台面应约为</w:t>
      </w:r>
      <w:r>
        <w:rPr>
          <w:rFonts w:ascii="宋体" w:hAnsi="Times New Roman" w:eastAsia="宋体" w:cs="Times New Roman"/>
          <w:kern w:val="0"/>
          <w:szCs w:val="20"/>
        </w:rPr>
        <w:t>1.2m~1.3m</w:t>
      </w:r>
      <w:r>
        <w:rPr>
          <w:rFonts w:hint="eastAsia" w:ascii="宋体" w:hAnsi="Times New Roman" w:eastAsia="宋体" w:cs="Times New Roman"/>
          <w:kern w:val="0"/>
          <w:szCs w:val="20"/>
        </w:rPr>
        <w:t>。</w:t>
      </w:r>
    </w:p>
    <w:p w14:paraId="2E8D859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 xml:space="preserve">.6.9 </w:t>
      </w:r>
      <w:r>
        <w:rPr>
          <w:rFonts w:hint="eastAsia" w:ascii="宋体" w:hAnsi="Times New Roman" w:eastAsia="宋体" w:cs="Times New Roman"/>
          <w:kern w:val="0"/>
          <w:szCs w:val="20"/>
          <w:lang w:eastAsia="zh-CN"/>
        </w:rPr>
        <w:t>《</w:t>
      </w:r>
      <w:r>
        <w:rPr>
          <w:rFonts w:hint="eastAsia" w:ascii="宋体" w:hAnsi="Times New Roman" w:eastAsia="宋体" w:cs="Times New Roman"/>
          <w:kern w:val="0"/>
          <w:szCs w:val="20"/>
        </w:rPr>
        <w:t>固定污染源废气排放口监测点位设置技术规范</w:t>
      </w:r>
      <w:r>
        <w:rPr>
          <w:rFonts w:hint="eastAsia" w:ascii="宋体" w:hAnsi="Times New Roman" w:eastAsia="宋体" w:cs="Times New Roman"/>
          <w:kern w:val="0"/>
          <w:szCs w:val="20"/>
          <w:lang w:eastAsia="zh-CN"/>
        </w:rPr>
        <w:t>》</w:t>
      </w:r>
      <w:r>
        <w:rPr>
          <w:rFonts w:hint="eastAsia" w:ascii="宋体" w:hAnsi="Times New Roman" w:eastAsia="宋体" w:cs="Times New Roman"/>
          <w:kern w:val="0"/>
          <w:szCs w:val="20"/>
        </w:rPr>
        <w:t>T/CAEPI 46-2022 中</w:t>
      </w:r>
      <w:r>
        <w:rPr>
          <w:rFonts w:hint="eastAsia" w:ascii="宋体" w:hAnsi="Times New Roman" w:eastAsia="宋体" w:cs="Times New Roman"/>
          <w:kern w:val="0"/>
          <w:szCs w:val="20"/>
          <w:lang w:eastAsia="zh-CN"/>
        </w:rPr>
        <w:t>第</w:t>
      </w:r>
      <w:r>
        <w:rPr>
          <w:rFonts w:hint="eastAsia" w:ascii="宋体" w:hAnsi="Times New Roman" w:eastAsia="宋体" w:cs="Times New Roman"/>
          <w:kern w:val="0"/>
          <w:szCs w:val="20"/>
        </w:rPr>
        <w:t>4.3.1</w:t>
      </w:r>
      <w:r>
        <w:rPr>
          <w:rFonts w:hint="eastAsia" w:ascii="宋体" w:hAnsi="Times New Roman" w:eastAsia="宋体" w:cs="Times New Roman"/>
          <w:kern w:val="0"/>
          <w:szCs w:val="20"/>
          <w:lang w:eastAsia="zh-CN"/>
        </w:rPr>
        <w:t>条规定</w:t>
      </w:r>
      <w:r>
        <w:rPr>
          <w:rFonts w:hint="eastAsia" w:ascii="宋体" w:hAnsi="Times New Roman" w:eastAsia="宋体" w:cs="Times New Roman"/>
          <w:kern w:val="0"/>
          <w:szCs w:val="20"/>
        </w:rPr>
        <w:t>在选定的监测断面上开设监测孔，现有污染源监测孔内径≥80 mm，新建污染源监测孔内径在90 mm～120 mm之间，监测孔管长不大于50 mm（安装闸板阀的监测孔管不包含闸板阀及其后的管道）。监测孔在不使用时应用盖板或管帽封闭，在监测时应易于打开（见图1）。</w:t>
      </w:r>
    </w:p>
    <w:p w14:paraId="0AAD9A27">
      <w:pPr>
        <w:widowControl/>
        <w:tabs>
          <w:tab w:val="center" w:pos="4201"/>
          <w:tab w:val="right" w:leader="dot" w:pos="9298"/>
        </w:tabs>
        <w:autoSpaceDE w:val="0"/>
        <w:autoSpaceDN w:val="0"/>
        <w:spacing w:line="360" w:lineRule="auto"/>
        <w:rPr>
          <w:rFonts w:hint="eastAsia"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.6.10</w:t>
      </w:r>
      <w:r>
        <w:rPr>
          <w:rFonts w:hint="eastAsia" w:ascii="宋体" w:hAnsi="Times New Roman" w:eastAsia="宋体" w:cs="Times New Roman"/>
          <w:kern w:val="0"/>
          <w:szCs w:val="20"/>
          <w:lang w:val="en-US" w:eastAsia="zh-CN"/>
        </w:rPr>
        <w:t xml:space="preserve"> </w:t>
      </w:r>
      <w:r>
        <w:rPr>
          <w:rFonts w:hint="eastAsia" w:ascii="宋体" w:hAnsi="Times New Roman" w:eastAsia="宋体" w:cs="Times New Roman"/>
          <w:kern w:val="0"/>
          <w:szCs w:val="20"/>
        </w:rPr>
        <w:t>G</w:t>
      </w:r>
      <w:r>
        <w:rPr>
          <w:rFonts w:ascii="宋体" w:hAnsi="Times New Roman" w:eastAsia="宋体" w:cs="Times New Roman"/>
          <w:kern w:val="0"/>
          <w:szCs w:val="20"/>
        </w:rPr>
        <w:t>B/T16157-1996</w:t>
      </w:r>
      <w:r>
        <w:rPr>
          <w:rFonts w:hint="eastAsia" w:ascii="宋体" w:hAnsi="Times New Roman" w:eastAsia="宋体" w:cs="Times New Roman"/>
          <w:kern w:val="0"/>
          <w:szCs w:val="20"/>
          <w:lang w:eastAsia="zh-CN"/>
        </w:rPr>
        <w:t>中第</w:t>
      </w:r>
      <w:r>
        <w:rPr>
          <w:rFonts w:hint="eastAsia" w:ascii="宋体" w:hAnsi="Times New Roman" w:eastAsia="宋体" w:cs="Times New Roman"/>
          <w:kern w:val="0"/>
          <w:szCs w:val="20"/>
        </w:rPr>
        <w:t>4</w:t>
      </w:r>
      <w:r>
        <w:rPr>
          <w:rFonts w:ascii="宋体" w:hAnsi="Times New Roman" w:eastAsia="宋体" w:cs="Times New Roman"/>
          <w:kern w:val="0"/>
          <w:szCs w:val="20"/>
        </w:rPr>
        <w:t>.2.3</w:t>
      </w:r>
      <w:r>
        <w:rPr>
          <w:rFonts w:hint="eastAsia" w:ascii="宋体" w:hAnsi="Times New Roman" w:eastAsia="宋体" w:cs="Times New Roman"/>
          <w:kern w:val="0"/>
          <w:szCs w:val="20"/>
          <w:lang w:eastAsia="zh-CN"/>
        </w:rPr>
        <w:t>条</w:t>
      </w:r>
      <w:r>
        <w:rPr>
          <w:rFonts w:hint="eastAsia" w:ascii="宋体" w:hAnsi="Times New Roman" w:eastAsia="宋体" w:cs="Times New Roman"/>
          <w:kern w:val="0"/>
          <w:szCs w:val="20"/>
        </w:rPr>
        <w:t>规定采样平台面积应不小于1</w:t>
      </w:r>
      <w:r>
        <w:rPr>
          <w:rFonts w:ascii="宋体" w:hAnsi="Times New Roman" w:eastAsia="宋体" w:cs="Times New Roman"/>
          <w:kern w:val="0"/>
          <w:szCs w:val="20"/>
        </w:rPr>
        <w:t>.5</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2</w:t>
      </w:r>
      <w:r>
        <w:rPr>
          <w:rFonts w:hint="eastAsia" w:ascii="宋体" w:hAnsi="Times New Roman" w:eastAsia="宋体" w:cs="Times New Roman"/>
          <w:kern w:val="0"/>
          <w:szCs w:val="20"/>
        </w:rPr>
        <w:t>。</w:t>
      </w:r>
    </w:p>
    <w:p w14:paraId="064A650C">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.6.11</w:t>
      </w:r>
      <w:r>
        <w:rPr>
          <w:rFonts w:hint="eastAsia" w:ascii="宋体" w:hAnsi="Times New Roman" w:eastAsia="宋体" w:cs="Times New Roman"/>
          <w:kern w:val="0"/>
          <w:szCs w:val="20"/>
        </w:rPr>
        <w:t>要求采样平台长度≥</w:t>
      </w:r>
      <w:r>
        <w:rPr>
          <w:rFonts w:ascii="宋体" w:hAnsi="Times New Roman" w:eastAsia="宋体" w:cs="Times New Roman"/>
          <w:kern w:val="0"/>
          <w:szCs w:val="20"/>
        </w:rPr>
        <w:t>2</w:t>
      </w:r>
      <w:r>
        <w:rPr>
          <w:rFonts w:hint="eastAsia" w:ascii="宋体" w:hAnsi="Times New Roman" w:eastAsia="宋体" w:cs="Times New Roman"/>
          <w:kern w:val="0"/>
          <w:szCs w:val="20"/>
        </w:rPr>
        <w:t>m，宽度≥</w:t>
      </w:r>
      <w:r>
        <w:rPr>
          <w:rFonts w:ascii="宋体" w:hAnsi="Times New Roman" w:eastAsia="宋体" w:cs="Times New Roman"/>
          <w:kern w:val="0"/>
          <w:szCs w:val="20"/>
        </w:rPr>
        <w:t>2</w:t>
      </w:r>
      <w:r>
        <w:rPr>
          <w:rFonts w:hint="eastAsia" w:ascii="宋体" w:hAnsi="Times New Roman" w:eastAsia="宋体" w:cs="Times New Roman"/>
          <w:kern w:val="0"/>
          <w:szCs w:val="20"/>
        </w:rPr>
        <w:t>m。考虑到仪表二次仪表箱、仪表后期维修和采样人员的安全，采样平台面积建议不小于4m</w:t>
      </w:r>
      <w:r>
        <w:rPr>
          <w:rFonts w:ascii="宋体" w:hAnsi="Times New Roman" w:eastAsia="宋体" w:cs="Times New Roman"/>
          <w:kern w:val="0"/>
          <w:szCs w:val="20"/>
          <w:vertAlign w:val="superscript"/>
        </w:rPr>
        <w:t>2</w:t>
      </w:r>
      <w:r>
        <w:rPr>
          <w:rFonts w:hint="eastAsia" w:ascii="宋体" w:hAnsi="Times New Roman" w:eastAsia="宋体" w:cs="Times New Roman"/>
          <w:kern w:val="0"/>
          <w:szCs w:val="20"/>
        </w:rPr>
        <w:t>，且紧挨采样孔处。《固定污染源废气非甲烷总烃连续监测系统技术要求及检测方法》HJ 1013-2018</w:t>
      </w:r>
      <w:r>
        <w:rPr>
          <w:rFonts w:hint="eastAsia" w:ascii="宋体" w:hAnsi="Times New Roman" w:eastAsia="宋体" w:cs="Times New Roman"/>
          <w:kern w:val="0"/>
          <w:szCs w:val="20"/>
          <w:lang w:eastAsia="zh-CN"/>
        </w:rPr>
        <w:t>中</w:t>
      </w:r>
      <w:r>
        <w:rPr>
          <w:rFonts w:hint="eastAsia" w:ascii="宋体" w:hAnsi="Times New Roman" w:eastAsia="宋体" w:cs="Times New Roman"/>
          <w:kern w:val="0"/>
          <w:szCs w:val="20"/>
        </w:rPr>
        <w:t>5.4功能要求指出了预处理具体的要求，本部分摘取了主要的内容。</w:t>
      </w:r>
    </w:p>
    <w:p w14:paraId="6F132E8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必须设置采样平台，相关标准请参考HJ 75及GB/T 16157，其中</w:t>
      </w:r>
      <w:r>
        <w:rPr>
          <w:rFonts w:ascii="宋体" w:hAnsi="Times New Roman" w:eastAsia="宋体" w:cs="Times New Roman"/>
          <w:kern w:val="0"/>
          <w:szCs w:val="20"/>
        </w:rPr>
        <w:t xml:space="preserve">T/CAEPI 46-2022 </w:t>
      </w:r>
      <w:r>
        <w:rPr>
          <w:rFonts w:hint="eastAsia" w:ascii="宋体" w:hAnsi="Times New Roman" w:eastAsia="宋体" w:cs="Times New Roman"/>
          <w:kern w:val="0"/>
          <w:szCs w:val="20"/>
        </w:rPr>
        <w:t>中：排放口应设置便于废气监测、采样的监测点位，在有代表性的监测断面规范开设监测孔，同时建设监测平台、方便到达的监测梯架及相应安全防护设施。</w:t>
      </w:r>
    </w:p>
    <w:p w14:paraId="5F4F97B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7B00C05D">
      <w:pPr>
        <w:pStyle w:val="3"/>
        <w:jc w:val="center"/>
        <w:rPr>
          <w:sz w:val="21"/>
          <w:szCs w:val="21"/>
        </w:rPr>
      </w:pPr>
      <w:bookmarkStart w:id="206" w:name="_Toc206160097"/>
      <w:bookmarkStart w:id="207" w:name="_Toc206171742"/>
      <w:r>
        <w:rPr>
          <w:rFonts w:hint="eastAsia"/>
          <w:sz w:val="21"/>
          <w:szCs w:val="21"/>
        </w:rPr>
        <w:t>6</w:t>
      </w:r>
      <w:r>
        <w:rPr>
          <w:sz w:val="21"/>
          <w:szCs w:val="21"/>
        </w:rPr>
        <w:t xml:space="preserve">.7 </w:t>
      </w:r>
      <w:r>
        <w:rPr>
          <w:rFonts w:hint="eastAsia"/>
          <w:sz w:val="21"/>
          <w:szCs w:val="21"/>
        </w:rPr>
        <w:t>控制阀</w:t>
      </w:r>
      <w:bookmarkEnd w:id="206"/>
      <w:bookmarkEnd w:id="207"/>
    </w:p>
    <w:p w14:paraId="2C28EAE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6</w:t>
      </w:r>
      <w:r>
        <w:rPr>
          <w:rFonts w:ascii="宋体" w:hAnsi="Times New Roman" w:eastAsia="宋体" w:cs="Times New Roman"/>
          <w:kern w:val="0"/>
          <w:szCs w:val="20"/>
        </w:rPr>
        <w:t xml:space="preserve">.7.9 </w:t>
      </w:r>
      <w:r>
        <w:rPr>
          <w:rFonts w:hint="eastAsia" w:ascii="宋体" w:hAnsi="Times New Roman" w:eastAsia="宋体" w:cs="Times New Roman"/>
          <w:kern w:val="0"/>
          <w:szCs w:val="20"/>
        </w:rPr>
        <w:t>低温定义范围，根据冷媒确定，一般低于-</w:t>
      </w:r>
      <w:r>
        <w:rPr>
          <w:rFonts w:ascii="宋体" w:hAnsi="Times New Roman" w:eastAsia="宋体" w:cs="Times New Roman"/>
          <w:kern w:val="0"/>
          <w:szCs w:val="20"/>
        </w:rPr>
        <w:t>40</w:t>
      </w:r>
      <w:r>
        <w:rPr>
          <w:rFonts w:hint="eastAsia" w:ascii="宋体" w:hAnsi="Times New Roman" w:eastAsia="宋体" w:cs="Times New Roman"/>
          <w:kern w:val="0"/>
          <w:szCs w:val="20"/>
        </w:rPr>
        <w:t>℃为低温场合。</w:t>
      </w:r>
    </w:p>
    <w:p w14:paraId="5F4E048C">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5DD39D49">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1EEFBE68">
      <w:pPr>
        <w:pStyle w:val="2"/>
        <w:jc w:val="center"/>
        <w:rPr>
          <w:sz w:val="28"/>
          <w:szCs w:val="28"/>
        </w:rPr>
      </w:pPr>
      <w:bookmarkStart w:id="208" w:name="_Toc206171743"/>
      <w:bookmarkStart w:id="209" w:name="_Toc206160098"/>
      <w:r>
        <w:rPr>
          <w:sz w:val="28"/>
          <w:szCs w:val="28"/>
        </w:rPr>
        <w:t xml:space="preserve">7 </w:t>
      </w:r>
      <w:r>
        <w:rPr>
          <w:rFonts w:hint="eastAsia"/>
          <w:sz w:val="28"/>
          <w:szCs w:val="28"/>
        </w:rPr>
        <w:t>排放监测系统</w:t>
      </w:r>
      <w:bookmarkEnd w:id="208"/>
      <w:bookmarkEnd w:id="209"/>
    </w:p>
    <w:p w14:paraId="7A0B5699">
      <w:pPr>
        <w:pStyle w:val="3"/>
        <w:jc w:val="center"/>
        <w:rPr>
          <w:sz w:val="21"/>
          <w:szCs w:val="21"/>
        </w:rPr>
      </w:pPr>
      <w:bookmarkStart w:id="210" w:name="_Toc206171744"/>
      <w:bookmarkStart w:id="211" w:name="_Toc206160099"/>
      <w:r>
        <w:rPr>
          <w:sz w:val="21"/>
          <w:szCs w:val="21"/>
        </w:rPr>
        <w:t xml:space="preserve">7.1 </w:t>
      </w:r>
      <w:r>
        <w:rPr>
          <w:rFonts w:hint="eastAsia"/>
          <w:sz w:val="21"/>
          <w:szCs w:val="21"/>
        </w:rPr>
        <w:t>一般规定</w:t>
      </w:r>
      <w:bookmarkEnd w:id="210"/>
      <w:bookmarkEnd w:id="211"/>
    </w:p>
    <w:p w14:paraId="45C33B7E">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7.1.1 </w:t>
      </w:r>
      <w:r>
        <w:rPr>
          <w:rFonts w:hint="eastAsia" w:ascii="宋体" w:hAnsi="Times New Roman" w:eastAsia="宋体" w:cs="Times New Roman"/>
          <w:kern w:val="0"/>
          <w:szCs w:val="20"/>
        </w:rPr>
        <w:t>G</w:t>
      </w:r>
      <w:r>
        <w:rPr>
          <w:rFonts w:ascii="宋体" w:hAnsi="Times New Roman" w:eastAsia="宋体" w:cs="Times New Roman"/>
          <w:kern w:val="0"/>
          <w:szCs w:val="20"/>
        </w:rPr>
        <w:t>B31571-2015</w:t>
      </w:r>
      <w:r>
        <w:rPr>
          <w:rFonts w:hint="eastAsia" w:ascii="宋体" w:hAnsi="Times New Roman" w:eastAsia="宋体" w:cs="Times New Roman"/>
          <w:kern w:val="0"/>
          <w:szCs w:val="20"/>
          <w:lang w:eastAsia="zh-CN"/>
        </w:rPr>
        <w:t>中</w:t>
      </w:r>
      <w:r>
        <w:rPr>
          <w:rFonts w:hint="eastAsia" w:ascii="宋体" w:hAnsi="Times New Roman" w:eastAsia="宋体" w:cs="Times New Roman"/>
          <w:kern w:val="0"/>
          <w:szCs w:val="20"/>
        </w:rPr>
        <w:t>5</w:t>
      </w:r>
      <w:r>
        <w:rPr>
          <w:rFonts w:ascii="宋体" w:hAnsi="Times New Roman" w:eastAsia="宋体" w:cs="Times New Roman"/>
          <w:kern w:val="0"/>
          <w:szCs w:val="20"/>
        </w:rPr>
        <w:t>.1.2</w:t>
      </w:r>
      <w:r>
        <w:rPr>
          <w:rFonts w:hint="eastAsia" w:ascii="宋体" w:hAnsi="Times New Roman" w:eastAsia="宋体" w:cs="Times New Roman"/>
          <w:kern w:val="0"/>
          <w:szCs w:val="20"/>
        </w:rPr>
        <w:t>表4规定非甲烷总烃排放限值为1</w:t>
      </w:r>
      <w:r>
        <w:rPr>
          <w:rFonts w:ascii="宋体" w:hAnsi="Times New Roman" w:eastAsia="宋体" w:cs="Times New Roman"/>
          <w:kern w:val="0"/>
          <w:szCs w:val="20"/>
        </w:rPr>
        <w:t>20</w:t>
      </w:r>
      <w:r>
        <w:rPr>
          <w:rFonts w:hint="eastAsia" w:ascii="宋体" w:hAnsi="Times New Roman" w:eastAsia="宋体" w:cs="Times New Roman"/>
          <w:kern w:val="0"/>
          <w:szCs w:val="20"/>
        </w:rPr>
        <w:t>mg</w:t>
      </w:r>
      <w:r>
        <w:rPr>
          <w:rFonts w:ascii="宋体" w:hAnsi="Times New Roman" w:eastAsia="宋体" w:cs="Times New Roman"/>
          <w:kern w:val="0"/>
          <w:szCs w:val="20"/>
        </w:rPr>
        <w:t>/</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3</w:t>
      </w:r>
      <w:r>
        <w:rPr>
          <w:rFonts w:hint="eastAsia" w:ascii="宋体" w:hAnsi="Times New Roman" w:eastAsia="宋体" w:cs="Times New Roman"/>
          <w:kern w:val="0"/>
          <w:szCs w:val="20"/>
        </w:rPr>
        <w:t>，具体的非甲烷总烃排放限值可根据不同行业和不同地区确定限值，但不得高于1</w:t>
      </w:r>
      <w:r>
        <w:rPr>
          <w:rFonts w:ascii="宋体" w:hAnsi="Times New Roman" w:eastAsia="宋体" w:cs="Times New Roman"/>
          <w:kern w:val="0"/>
          <w:szCs w:val="20"/>
        </w:rPr>
        <w:t>20</w:t>
      </w:r>
      <w:r>
        <w:rPr>
          <w:rFonts w:hint="eastAsia" w:ascii="宋体" w:hAnsi="Times New Roman" w:eastAsia="宋体" w:cs="Times New Roman"/>
          <w:kern w:val="0"/>
          <w:szCs w:val="20"/>
        </w:rPr>
        <w:t>mg</w:t>
      </w:r>
      <w:r>
        <w:rPr>
          <w:rFonts w:ascii="宋体" w:hAnsi="Times New Roman" w:eastAsia="宋体" w:cs="Times New Roman"/>
          <w:kern w:val="0"/>
          <w:szCs w:val="20"/>
        </w:rPr>
        <w:t>/</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3</w:t>
      </w:r>
      <w:r>
        <w:rPr>
          <w:rFonts w:hint="eastAsia" w:ascii="宋体" w:hAnsi="Times New Roman" w:eastAsia="宋体" w:cs="Times New Roman"/>
          <w:kern w:val="0"/>
          <w:szCs w:val="20"/>
        </w:rPr>
        <w:t>的限值。排放监测系统中的在线分析仪量程建议选择两倍排放限值以内，量程最大值不得超过2</w:t>
      </w:r>
      <w:r>
        <w:rPr>
          <w:rFonts w:ascii="宋体" w:hAnsi="Times New Roman" w:eastAsia="宋体" w:cs="Times New Roman"/>
          <w:kern w:val="0"/>
          <w:szCs w:val="20"/>
        </w:rPr>
        <w:t>00</w:t>
      </w:r>
      <w:r>
        <w:rPr>
          <w:rFonts w:hint="eastAsia" w:ascii="宋体" w:hAnsi="Times New Roman" w:eastAsia="宋体" w:cs="Times New Roman"/>
          <w:kern w:val="0"/>
          <w:szCs w:val="20"/>
        </w:rPr>
        <w:t>mg</w:t>
      </w:r>
      <w:r>
        <w:rPr>
          <w:rFonts w:ascii="宋体" w:hAnsi="Times New Roman" w:eastAsia="宋体" w:cs="Times New Roman"/>
          <w:kern w:val="0"/>
          <w:szCs w:val="20"/>
        </w:rPr>
        <w:t>/</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3</w:t>
      </w:r>
      <w:r>
        <w:rPr>
          <w:rFonts w:hint="eastAsia" w:ascii="宋体" w:hAnsi="Times New Roman" w:eastAsia="宋体" w:cs="Times New Roman"/>
          <w:kern w:val="0"/>
          <w:szCs w:val="20"/>
        </w:rPr>
        <w:t>。还需满足不同行业和当地环保部门，环评批复意见。</w:t>
      </w:r>
    </w:p>
    <w:p w14:paraId="15A034DD">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7F80A006">
      <w:pPr>
        <w:pStyle w:val="3"/>
        <w:jc w:val="center"/>
        <w:rPr>
          <w:sz w:val="21"/>
          <w:szCs w:val="21"/>
        </w:rPr>
      </w:pPr>
      <w:bookmarkStart w:id="212" w:name="_Toc206171745"/>
      <w:bookmarkStart w:id="213" w:name="_Toc206160100"/>
      <w:r>
        <w:rPr>
          <w:sz w:val="21"/>
          <w:szCs w:val="21"/>
        </w:rPr>
        <w:t xml:space="preserve">7.2 </w:t>
      </w:r>
      <w:r>
        <w:rPr>
          <w:rFonts w:hint="eastAsia"/>
          <w:sz w:val="21"/>
          <w:szCs w:val="21"/>
        </w:rPr>
        <w:t>排放监测系统组成</w:t>
      </w:r>
      <w:bookmarkEnd w:id="212"/>
      <w:bookmarkEnd w:id="213"/>
    </w:p>
    <w:p w14:paraId="1E596CB6">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7.2.1 VOCs排放监测系统</w:t>
      </w:r>
      <w:r>
        <w:rPr>
          <w:rFonts w:hint="eastAsia" w:ascii="宋体" w:hAnsi="Times New Roman" w:eastAsia="宋体" w:cs="Times New Roman"/>
          <w:kern w:val="0"/>
          <w:szCs w:val="20"/>
        </w:rPr>
        <w:t>示意如图7</w:t>
      </w:r>
      <w:r>
        <w:rPr>
          <w:rFonts w:ascii="宋体" w:hAnsi="Times New Roman" w:eastAsia="宋体" w:cs="Times New Roman"/>
          <w:kern w:val="0"/>
          <w:szCs w:val="20"/>
        </w:rPr>
        <w:t>-1</w:t>
      </w:r>
      <w:r>
        <w:rPr>
          <w:rFonts w:hint="eastAsia" w:ascii="宋体" w:hAnsi="Times New Roman" w:eastAsia="宋体" w:cs="Times New Roman"/>
          <w:kern w:val="0"/>
          <w:szCs w:val="20"/>
          <w:lang w:eastAsia="zh-CN"/>
        </w:rPr>
        <w:t>和</w:t>
      </w:r>
      <w:r>
        <w:rPr>
          <w:rFonts w:hint="eastAsia" w:ascii="宋体" w:hAnsi="Times New Roman" w:eastAsia="宋体" w:cs="Times New Roman"/>
          <w:kern w:val="0"/>
          <w:szCs w:val="20"/>
        </w:rPr>
        <w:t>图7</w:t>
      </w:r>
      <w:r>
        <w:rPr>
          <w:rFonts w:ascii="宋体" w:hAnsi="Times New Roman" w:eastAsia="宋体" w:cs="Times New Roman"/>
          <w:kern w:val="0"/>
          <w:szCs w:val="20"/>
        </w:rPr>
        <w:t>-2</w:t>
      </w:r>
      <w:r>
        <w:rPr>
          <w:rFonts w:hint="eastAsia" w:ascii="宋体" w:hAnsi="Times New Roman" w:eastAsia="宋体" w:cs="Times New Roman"/>
          <w:kern w:val="0"/>
          <w:szCs w:val="20"/>
        </w:rPr>
        <w:t>所示。</w:t>
      </w:r>
    </w:p>
    <w:p w14:paraId="12E4CC36">
      <w:pPr>
        <w:widowControl/>
        <w:tabs>
          <w:tab w:val="center" w:pos="4201"/>
          <w:tab w:val="right" w:leader="dot" w:pos="9298"/>
        </w:tabs>
        <w:autoSpaceDE w:val="0"/>
        <w:autoSpaceDN w:val="0"/>
        <w:spacing w:line="360" w:lineRule="auto"/>
        <w:jc w:val="center"/>
        <w:rPr>
          <w:rFonts w:ascii="宋体" w:hAnsi="Times New Roman" w:eastAsia="宋体" w:cs="Times New Roman"/>
          <w:kern w:val="0"/>
          <w:szCs w:val="20"/>
        </w:rPr>
      </w:pPr>
      <w:r>
        <w:drawing>
          <wp:inline distT="0" distB="0" distL="0" distR="0">
            <wp:extent cx="4714875" cy="63906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722287" cy="6401109"/>
                    </a:xfrm>
                    <a:prstGeom prst="rect">
                      <a:avLst/>
                    </a:prstGeom>
                  </pic:spPr>
                </pic:pic>
              </a:graphicData>
            </a:graphic>
          </wp:inline>
        </w:drawing>
      </w:r>
    </w:p>
    <w:p w14:paraId="41492842">
      <w:pPr>
        <w:pStyle w:val="56"/>
        <w:numPr>
          <w:ilvl w:val="0"/>
          <w:numId w:val="0"/>
        </w:numPr>
        <w:jc w:val="center"/>
        <w:rPr>
          <w:b/>
          <w:color w:val="auto"/>
        </w:rPr>
      </w:pPr>
      <w:r>
        <w:rPr>
          <w:rFonts w:hint="eastAsia"/>
          <w:b/>
          <w:color w:val="auto"/>
        </w:rPr>
        <w:t>图7</w:t>
      </w:r>
      <w:r>
        <w:rPr>
          <w:b/>
          <w:color w:val="auto"/>
        </w:rPr>
        <w:t xml:space="preserve">-1 </w:t>
      </w:r>
      <w:r>
        <w:rPr>
          <w:rFonts w:hint="eastAsia"/>
          <w:b/>
          <w:color w:val="auto"/>
        </w:rPr>
        <w:t>VOCs排放监测系统组成示意图</w:t>
      </w:r>
    </w:p>
    <w:p w14:paraId="30514E9B">
      <w:pPr>
        <w:widowControl/>
        <w:tabs>
          <w:tab w:val="center" w:pos="4201"/>
          <w:tab w:val="right" w:leader="dot" w:pos="9298"/>
        </w:tabs>
        <w:autoSpaceDE w:val="0"/>
        <w:autoSpaceDN w:val="0"/>
        <w:spacing w:line="360" w:lineRule="auto"/>
        <w:rPr>
          <w:rFonts w:ascii="宋体" w:hAnsi="Times New Roman" w:eastAsia="宋体" w:cs="Times New Roman"/>
          <w:kern w:val="0"/>
          <w:szCs w:val="20"/>
          <w:highlight w:val="yellow"/>
        </w:rPr>
      </w:pPr>
    </w:p>
    <w:p w14:paraId="00870AAC">
      <w:pPr>
        <w:widowControl/>
        <w:tabs>
          <w:tab w:val="center" w:pos="4201"/>
          <w:tab w:val="right" w:leader="dot" w:pos="9298"/>
        </w:tabs>
        <w:autoSpaceDE w:val="0"/>
        <w:autoSpaceDN w:val="0"/>
        <w:spacing w:line="360" w:lineRule="auto"/>
        <w:jc w:val="center"/>
        <w:rPr>
          <w:rFonts w:ascii="宋体" w:hAnsi="Times New Roman" w:eastAsia="宋体" w:cs="Times New Roman"/>
          <w:kern w:val="0"/>
          <w:szCs w:val="20"/>
        </w:rPr>
      </w:pPr>
      <w:r>
        <w:drawing>
          <wp:inline distT="0" distB="0" distL="0" distR="0">
            <wp:extent cx="5278120" cy="33216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278120" cy="3321685"/>
                    </a:xfrm>
                    <a:prstGeom prst="rect">
                      <a:avLst/>
                    </a:prstGeom>
                  </pic:spPr>
                </pic:pic>
              </a:graphicData>
            </a:graphic>
          </wp:inline>
        </w:drawing>
      </w:r>
    </w:p>
    <w:p w14:paraId="31A506D1">
      <w:pPr>
        <w:pStyle w:val="56"/>
        <w:numPr>
          <w:ilvl w:val="0"/>
          <w:numId w:val="0"/>
        </w:numPr>
        <w:jc w:val="center"/>
        <w:rPr>
          <w:b/>
          <w:color w:val="auto"/>
        </w:rPr>
      </w:pPr>
      <w:r>
        <w:rPr>
          <w:rFonts w:hint="eastAsia"/>
          <w:b/>
          <w:color w:val="auto"/>
        </w:rPr>
        <w:t>图7</w:t>
      </w:r>
      <w:r>
        <w:rPr>
          <w:b/>
          <w:color w:val="auto"/>
        </w:rPr>
        <w:t>-2 VOC</w:t>
      </w:r>
      <w:r>
        <w:rPr>
          <w:rFonts w:hint="eastAsia"/>
          <w:b/>
          <w:color w:val="auto"/>
        </w:rPr>
        <w:t>s排放监测系统预处理流程示意图</w:t>
      </w:r>
    </w:p>
    <w:p w14:paraId="71F27FA8">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5E7D65B7">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7.2.2 VOCs排放监测系统</w:t>
      </w:r>
      <w:r>
        <w:rPr>
          <w:rFonts w:hint="eastAsia" w:ascii="宋体" w:hAnsi="Times New Roman" w:eastAsia="宋体" w:cs="Times New Roman"/>
          <w:kern w:val="0"/>
          <w:szCs w:val="20"/>
        </w:rPr>
        <w:t>的示值误差：量程＞1</w:t>
      </w:r>
      <w:r>
        <w:rPr>
          <w:rFonts w:ascii="宋体" w:hAnsi="Times New Roman" w:eastAsia="宋体" w:cs="Times New Roman"/>
          <w:kern w:val="0"/>
          <w:szCs w:val="20"/>
        </w:rPr>
        <w:t>00</w:t>
      </w:r>
      <w:r>
        <w:rPr>
          <w:rFonts w:hint="eastAsia" w:ascii="宋体" w:hAnsi="Times New Roman" w:eastAsia="宋体" w:cs="Times New Roman"/>
          <w:kern w:val="0"/>
          <w:szCs w:val="20"/>
        </w:rPr>
        <w:t>mg</w:t>
      </w:r>
      <w:r>
        <w:rPr>
          <w:rFonts w:ascii="宋体" w:hAnsi="Times New Roman" w:eastAsia="宋体" w:cs="Times New Roman"/>
          <w:kern w:val="0"/>
          <w:szCs w:val="20"/>
        </w:rPr>
        <w:t>/</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3</w:t>
      </w:r>
      <w:r>
        <w:rPr>
          <w:rFonts w:hint="eastAsia" w:ascii="宋体" w:hAnsi="Times New Roman" w:eastAsia="宋体" w:cs="Times New Roman"/>
          <w:kern w:val="0"/>
          <w:szCs w:val="20"/>
        </w:rPr>
        <w:t>时，误差应在标准气体标称值的±</w:t>
      </w:r>
      <w:r>
        <w:rPr>
          <w:rFonts w:ascii="宋体" w:hAnsi="Times New Roman" w:eastAsia="宋体" w:cs="Times New Roman"/>
          <w:kern w:val="0"/>
          <w:szCs w:val="20"/>
        </w:rPr>
        <w:t>5%</w:t>
      </w:r>
      <w:r>
        <w:rPr>
          <w:rFonts w:hint="eastAsia" w:ascii="宋体" w:hAnsi="Times New Roman" w:eastAsia="宋体" w:cs="Times New Roman"/>
          <w:kern w:val="0"/>
          <w:szCs w:val="20"/>
        </w:rPr>
        <w:t>以内；量程≤1</w:t>
      </w:r>
      <w:r>
        <w:rPr>
          <w:rFonts w:ascii="宋体" w:hAnsi="Times New Roman" w:eastAsia="宋体" w:cs="Times New Roman"/>
          <w:kern w:val="0"/>
          <w:szCs w:val="20"/>
        </w:rPr>
        <w:t>00</w:t>
      </w:r>
      <w:r>
        <w:rPr>
          <w:rFonts w:hint="eastAsia" w:ascii="宋体" w:hAnsi="Times New Roman" w:eastAsia="宋体" w:cs="Times New Roman"/>
          <w:kern w:val="0"/>
          <w:szCs w:val="20"/>
        </w:rPr>
        <w:t>mg</w:t>
      </w:r>
      <w:r>
        <w:rPr>
          <w:rFonts w:ascii="宋体" w:hAnsi="Times New Roman" w:eastAsia="宋体" w:cs="Times New Roman"/>
          <w:kern w:val="0"/>
          <w:szCs w:val="20"/>
        </w:rPr>
        <w:t>/</w:t>
      </w:r>
      <w:r>
        <w:rPr>
          <w:rFonts w:hint="eastAsia" w:ascii="宋体" w:hAnsi="Times New Roman" w:eastAsia="宋体" w:cs="Times New Roman"/>
          <w:kern w:val="0"/>
          <w:szCs w:val="20"/>
        </w:rPr>
        <w:t>m</w:t>
      </w:r>
      <w:r>
        <w:rPr>
          <w:rFonts w:ascii="宋体" w:hAnsi="Times New Roman" w:eastAsia="宋体" w:cs="Times New Roman"/>
          <w:kern w:val="0"/>
          <w:szCs w:val="20"/>
          <w:vertAlign w:val="superscript"/>
        </w:rPr>
        <w:t>3</w:t>
      </w:r>
      <w:r>
        <w:rPr>
          <w:rFonts w:hint="eastAsia" w:ascii="宋体" w:hAnsi="Times New Roman" w:eastAsia="宋体" w:cs="Times New Roman"/>
          <w:kern w:val="0"/>
          <w:szCs w:val="20"/>
        </w:rPr>
        <w:t>时，误差应在满量程的±</w:t>
      </w:r>
      <w:r>
        <w:rPr>
          <w:rFonts w:ascii="宋体" w:hAnsi="Times New Roman" w:eastAsia="宋体" w:cs="Times New Roman"/>
          <w:kern w:val="0"/>
          <w:szCs w:val="20"/>
        </w:rPr>
        <w:t>2.5%</w:t>
      </w:r>
      <w:r>
        <w:rPr>
          <w:rFonts w:hint="eastAsia" w:ascii="宋体" w:hAnsi="Times New Roman" w:eastAsia="宋体" w:cs="Times New Roman"/>
          <w:kern w:val="0"/>
          <w:szCs w:val="20"/>
        </w:rPr>
        <w:t>以内。</w:t>
      </w:r>
    </w:p>
    <w:p w14:paraId="0BB4125F">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采用参比方法测量非甲烷总烃浓度的平均值＜50mg/m</w:t>
      </w:r>
      <w:r>
        <w:rPr>
          <w:rFonts w:hint="eastAsia" w:ascii="宋体" w:hAnsi="Times New Roman" w:eastAsia="宋体" w:cs="Times New Roman"/>
          <w:kern w:val="0"/>
          <w:szCs w:val="20"/>
          <w:vertAlign w:val="superscript"/>
        </w:rPr>
        <w:t>3</w:t>
      </w:r>
      <w:r>
        <w:rPr>
          <w:rFonts w:hint="eastAsia" w:ascii="宋体" w:hAnsi="Times New Roman" w:eastAsia="宋体" w:cs="Times New Roman"/>
          <w:kern w:val="0"/>
          <w:szCs w:val="20"/>
        </w:rPr>
        <w:t>时，NMHC-CEMS 与参比方法测量结果平均值绝对误差的绝对值：≤20</w:t>
      </w:r>
      <w:r>
        <w:rPr>
          <w:rFonts w:ascii="宋体" w:hAnsi="Times New Roman" w:eastAsia="宋体" w:cs="Times New Roman"/>
          <w:kern w:val="0"/>
          <w:szCs w:val="20"/>
        </w:rPr>
        <w:t>mg/m3</w:t>
      </w:r>
      <w:r>
        <w:rPr>
          <w:rFonts w:hint="eastAsia" w:ascii="宋体" w:hAnsi="Times New Roman" w:eastAsia="宋体" w:cs="Times New Roman"/>
          <w:kern w:val="0"/>
          <w:szCs w:val="20"/>
        </w:rPr>
        <w:t>；平均值≥50 mg/m</w:t>
      </w:r>
      <w:r>
        <w:rPr>
          <w:rFonts w:hint="eastAsia" w:ascii="宋体" w:hAnsi="Times New Roman" w:eastAsia="宋体" w:cs="Times New Roman"/>
          <w:kern w:val="0"/>
          <w:szCs w:val="20"/>
          <w:vertAlign w:val="superscript"/>
        </w:rPr>
        <w:t>3</w:t>
      </w:r>
      <w:r>
        <w:rPr>
          <w:rFonts w:hint="eastAsia" w:ascii="宋体" w:hAnsi="Times New Roman" w:eastAsia="宋体" w:cs="Times New Roman"/>
          <w:kern w:val="0"/>
          <w:szCs w:val="20"/>
        </w:rPr>
        <w:t>～＜</w:t>
      </w:r>
      <w:r>
        <w:rPr>
          <w:rFonts w:ascii="宋体" w:hAnsi="Times New Roman" w:eastAsia="宋体" w:cs="Times New Roman"/>
          <w:kern w:val="0"/>
          <w:szCs w:val="20"/>
        </w:rPr>
        <w:t>2</w:t>
      </w:r>
      <w:r>
        <w:rPr>
          <w:rFonts w:hint="eastAsia" w:ascii="宋体" w:hAnsi="Times New Roman" w:eastAsia="宋体" w:cs="Times New Roman"/>
          <w:kern w:val="0"/>
          <w:szCs w:val="20"/>
        </w:rPr>
        <w:t>00 mg/m</w:t>
      </w:r>
      <w:r>
        <w:rPr>
          <w:rFonts w:hint="eastAsia" w:ascii="宋体" w:hAnsi="Times New Roman" w:eastAsia="宋体" w:cs="Times New Roman"/>
          <w:kern w:val="0"/>
          <w:szCs w:val="20"/>
          <w:vertAlign w:val="superscript"/>
        </w:rPr>
        <w:t>3</w:t>
      </w:r>
      <w:r>
        <w:rPr>
          <w:rFonts w:hint="eastAsia" w:ascii="宋体" w:hAnsi="Times New Roman" w:eastAsia="宋体" w:cs="Times New Roman"/>
          <w:kern w:val="0"/>
          <w:szCs w:val="20"/>
        </w:rPr>
        <w:t>时，NMHC-CEMS 与参比方法测量结果的相对准确度：≤40%。</w:t>
      </w:r>
    </w:p>
    <w:p w14:paraId="116E8DC4">
      <w:pPr>
        <w:pStyle w:val="3"/>
        <w:jc w:val="center"/>
        <w:rPr>
          <w:sz w:val="21"/>
          <w:szCs w:val="21"/>
        </w:rPr>
      </w:pPr>
      <w:bookmarkStart w:id="214" w:name="_Toc206171746"/>
      <w:bookmarkStart w:id="215" w:name="_Toc206160101"/>
      <w:r>
        <w:rPr>
          <w:sz w:val="21"/>
          <w:szCs w:val="21"/>
        </w:rPr>
        <w:t xml:space="preserve">7.3 </w:t>
      </w:r>
      <w:r>
        <w:rPr>
          <w:rFonts w:hint="eastAsia"/>
          <w:sz w:val="21"/>
          <w:szCs w:val="21"/>
        </w:rPr>
        <w:t>数据采集系统</w:t>
      </w:r>
      <w:bookmarkEnd w:id="214"/>
      <w:bookmarkEnd w:id="215"/>
    </w:p>
    <w:p w14:paraId="660EC268">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7</w:t>
      </w:r>
      <w:r>
        <w:rPr>
          <w:rFonts w:ascii="宋体" w:hAnsi="Times New Roman" w:eastAsia="宋体" w:cs="Times New Roman"/>
          <w:kern w:val="0"/>
          <w:szCs w:val="20"/>
        </w:rPr>
        <w:t xml:space="preserve">.3.2 </w:t>
      </w:r>
      <w:r>
        <w:rPr>
          <w:rFonts w:hint="eastAsia" w:ascii="宋体" w:hAnsi="Times New Roman" w:eastAsia="宋体" w:cs="Times New Roman"/>
          <w:kern w:val="0"/>
          <w:szCs w:val="20"/>
        </w:rPr>
        <w:t>数据采集应显示和记录超出其零点以下和量程以上至少 10%的数据值。当测量结果超过零点以下和量程以上 10%时，数据记录存储其最小或最大值；应具备显示、设置系统时间和时间标签功能，数据为设置时段的平均值。应显示实时数据，具备查询历史数据的功能，并能以报表或报告形式输出，相关日报表、月报表和年报表，报表格式要求参见H</w:t>
      </w:r>
      <w:r>
        <w:rPr>
          <w:rFonts w:ascii="宋体" w:hAnsi="Times New Roman" w:eastAsia="宋体" w:cs="Times New Roman"/>
          <w:kern w:val="0"/>
          <w:szCs w:val="20"/>
        </w:rPr>
        <w:t>J1013</w:t>
      </w:r>
      <w:r>
        <w:rPr>
          <w:rFonts w:hint="eastAsia" w:ascii="宋体" w:hAnsi="Times New Roman" w:eastAsia="宋体" w:cs="Times New Roman"/>
          <w:kern w:val="0"/>
          <w:szCs w:val="20"/>
        </w:rPr>
        <w:t>的要求。</w:t>
      </w:r>
    </w:p>
    <w:p w14:paraId="24970C22">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rPr>
        <w:t>上传重要参数包括非甲烷总烃浓度、废气参数（温度、压力、流速、湿度、氧气等），及当地环保部门及环评报告要求测量的污染物项目。</w:t>
      </w:r>
    </w:p>
    <w:p w14:paraId="0733FA54">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br w:type="page"/>
      </w:r>
    </w:p>
    <w:p w14:paraId="36755336">
      <w:pPr>
        <w:pStyle w:val="2"/>
        <w:jc w:val="center"/>
        <w:rPr>
          <w:sz w:val="28"/>
          <w:szCs w:val="28"/>
        </w:rPr>
      </w:pPr>
      <w:bookmarkStart w:id="216" w:name="_Toc206160102"/>
      <w:bookmarkStart w:id="217" w:name="_Toc206171747"/>
      <w:r>
        <w:rPr>
          <w:sz w:val="28"/>
          <w:szCs w:val="28"/>
        </w:rPr>
        <w:t xml:space="preserve">8 </w:t>
      </w:r>
      <w:r>
        <w:rPr>
          <w:rFonts w:hint="eastAsia"/>
          <w:sz w:val="28"/>
          <w:szCs w:val="28"/>
        </w:rPr>
        <w:t>监测站房</w:t>
      </w:r>
      <w:bookmarkEnd w:id="216"/>
      <w:bookmarkEnd w:id="217"/>
    </w:p>
    <w:p w14:paraId="2CC4E85F">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8</w:t>
      </w:r>
      <w:r>
        <w:rPr>
          <w:rFonts w:ascii="宋体" w:hAnsi="Times New Roman" w:eastAsia="宋体" w:cs="Times New Roman"/>
          <w:kern w:val="0"/>
          <w:szCs w:val="20"/>
        </w:rPr>
        <w:t xml:space="preserve">.0.1 </w:t>
      </w:r>
      <w:r>
        <w:rPr>
          <w:rFonts w:hint="eastAsia" w:ascii="宋体" w:hAnsi="Times New Roman" w:eastAsia="宋体" w:cs="Times New Roman"/>
          <w:kern w:val="0"/>
          <w:szCs w:val="20"/>
        </w:rPr>
        <w:t>HJ 75 和</w:t>
      </w:r>
      <w:r>
        <w:rPr>
          <w:rFonts w:hint="eastAsia" w:ascii="宋体" w:hAnsi="Times New Roman" w:eastAsia="宋体" w:cs="Times New Roman"/>
          <w:kern w:val="0"/>
          <w:szCs w:val="20"/>
          <w:lang w:eastAsia="zh-CN"/>
        </w:rPr>
        <w:t>《</w:t>
      </w:r>
      <w:r>
        <w:rPr>
          <w:rFonts w:ascii="宋体" w:hAnsi="Times New Roman" w:eastAsia="宋体" w:cs="Times New Roman"/>
          <w:kern w:val="0"/>
          <w:szCs w:val="20"/>
        </w:rPr>
        <w:t>固定污染源废气 非甲烷总烃连续监测技术规范</w:t>
      </w:r>
      <w:r>
        <w:rPr>
          <w:rFonts w:hint="eastAsia" w:ascii="宋体" w:hAnsi="Times New Roman" w:eastAsia="宋体" w:cs="Times New Roman"/>
          <w:kern w:val="0"/>
          <w:szCs w:val="20"/>
          <w:lang w:eastAsia="zh-CN"/>
        </w:rPr>
        <w:t>》</w:t>
      </w:r>
      <w:r>
        <w:rPr>
          <w:rFonts w:hint="eastAsia" w:ascii="宋体" w:hAnsi="Times New Roman" w:eastAsia="宋体" w:cs="Times New Roman"/>
          <w:kern w:val="0"/>
          <w:szCs w:val="20"/>
        </w:rPr>
        <w:t>HJ 1286 第六章明确了站房为强制条件。</w:t>
      </w:r>
    </w:p>
    <w:p w14:paraId="1913457A">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1</w:t>
      </w:r>
      <w:r>
        <w:rPr>
          <w:rFonts w:hint="eastAsia" w:ascii="宋体" w:hAnsi="Times New Roman" w:eastAsia="宋体" w:cs="Times New Roman"/>
          <w:kern w:val="0"/>
          <w:szCs w:val="20"/>
        </w:rPr>
        <w:t>）</w:t>
      </w:r>
      <w:r>
        <w:rPr>
          <w:rFonts w:ascii="宋体" w:hAnsi="Times New Roman" w:eastAsia="宋体" w:cs="Times New Roman"/>
          <w:kern w:val="0"/>
          <w:szCs w:val="20"/>
        </w:rPr>
        <w:t xml:space="preserve">6.1 </w:t>
      </w:r>
      <w:r>
        <w:rPr>
          <w:rFonts w:hAnsi="Times New Roman" w:cs="Times New Roman"/>
          <w:kern w:val="0"/>
          <w:szCs w:val="20"/>
        </w:rPr>
        <w:t xml:space="preserve">监测站房内温度宜保持在 </w:t>
      </w:r>
      <w:r>
        <w:rPr>
          <w:rFonts w:ascii="宋体" w:hAnsi="Times New Roman" w:eastAsia="宋体" w:cs="Times New Roman"/>
          <w:kern w:val="0"/>
          <w:szCs w:val="20"/>
        </w:rPr>
        <w:t xml:space="preserve">15 </w:t>
      </w:r>
      <w:r>
        <w:rPr>
          <w:rFonts w:hAnsi="Times New Roman" w:cs="Times New Roman"/>
          <w:kern w:val="0"/>
          <w:szCs w:val="20"/>
        </w:rPr>
        <w:t>℃～</w:t>
      </w:r>
      <w:r>
        <w:rPr>
          <w:rFonts w:ascii="宋体" w:hAnsi="Times New Roman" w:eastAsia="宋体" w:cs="Times New Roman"/>
          <w:kern w:val="0"/>
          <w:szCs w:val="20"/>
        </w:rPr>
        <w:t xml:space="preserve">30 </w:t>
      </w:r>
      <w:r>
        <w:rPr>
          <w:rFonts w:hAnsi="Times New Roman" w:cs="Times New Roman"/>
          <w:kern w:val="0"/>
          <w:szCs w:val="20"/>
        </w:rPr>
        <w:t>℃， 相对湿度应≤</w:t>
      </w:r>
      <w:r>
        <w:rPr>
          <w:rFonts w:ascii="宋体" w:hAnsi="Times New Roman" w:eastAsia="宋体" w:cs="Times New Roman"/>
          <w:kern w:val="0"/>
          <w:szCs w:val="20"/>
        </w:rPr>
        <w:t>85%</w:t>
      </w:r>
      <w:r>
        <w:rPr>
          <w:rFonts w:hAnsi="Times New Roman" w:cs="Times New Roman"/>
          <w:kern w:val="0"/>
          <w:szCs w:val="20"/>
        </w:rPr>
        <w:t>，空调应具有来电自动重启功能，站房内应安装排风扇或其他通风设施。</w:t>
      </w:r>
    </w:p>
    <w:p w14:paraId="135D1F4E">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2</w:t>
      </w:r>
      <w:r>
        <w:rPr>
          <w:rFonts w:hint="eastAsia" w:ascii="宋体" w:hAnsi="Times New Roman" w:eastAsia="宋体" w:cs="Times New Roman"/>
          <w:kern w:val="0"/>
          <w:szCs w:val="20"/>
        </w:rPr>
        <w:t>）</w:t>
      </w:r>
      <w:r>
        <w:rPr>
          <w:rFonts w:ascii="宋体" w:hAnsi="Times New Roman" w:eastAsia="宋体" w:cs="Times New Roman"/>
          <w:kern w:val="0"/>
          <w:szCs w:val="20"/>
        </w:rPr>
        <w:t xml:space="preserve">6.2 </w:t>
      </w:r>
      <w:r>
        <w:rPr>
          <w:rFonts w:hAnsi="Times New Roman" w:cs="Times New Roman"/>
          <w:kern w:val="0"/>
          <w:szCs w:val="20"/>
        </w:rPr>
        <w:t>监测站房内应配备零点气和量程标准气体，以满足日常零点校准、量程校准、正确度核查的需要。</w:t>
      </w:r>
    </w:p>
    <w:p w14:paraId="7686BFD6">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ascii="宋体" w:hAnsi="Times New Roman" w:eastAsia="宋体" w:cs="Times New Roman"/>
          <w:kern w:val="0"/>
          <w:szCs w:val="20"/>
        </w:rPr>
        <w:t>3</w:t>
      </w:r>
      <w:r>
        <w:rPr>
          <w:rFonts w:hint="eastAsia" w:ascii="宋体" w:hAnsi="Times New Roman" w:eastAsia="宋体" w:cs="Times New Roman"/>
          <w:kern w:val="0"/>
          <w:szCs w:val="20"/>
        </w:rPr>
        <w:t>）</w:t>
      </w:r>
      <w:r>
        <w:rPr>
          <w:rFonts w:ascii="宋体" w:hAnsi="Times New Roman" w:eastAsia="宋体" w:cs="Times New Roman"/>
          <w:kern w:val="0"/>
          <w:szCs w:val="20"/>
        </w:rPr>
        <w:t xml:space="preserve">6.3 </w:t>
      </w:r>
      <w:r>
        <w:rPr>
          <w:rFonts w:hAnsi="Times New Roman" w:cs="Times New Roman"/>
          <w:kern w:val="0"/>
          <w:szCs w:val="20"/>
        </w:rPr>
        <w:t>监测站房应有防水、 防火、 防潮、 防雷、 隔热、 保温措施， 站房内应安装可燃气体报警器。若站房设在防爆区域内应按照</w:t>
      </w:r>
      <w:r>
        <w:rPr>
          <w:rFonts w:hint="eastAsia" w:hAnsi="Times New Roman" w:cs="Times New Roman"/>
          <w:kern w:val="0"/>
          <w:szCs w:val="20"/>
        </w:rPr>
        <w:t>《爆炸性环境 第1部分 设备通用要求》</w:t>
      </w:r>
      <w:r>
        <w:rPr>
          <w:rFonts w:hAnsi="Times New Roman" w:cs="Times New Roman"/>
          <w:kern w:val="0"/>
          <w:szCs w:val="20"/>
        </w:rPr>
        <w:t xml:space="preserve"> </w:t>
      </w:r>
      <w:r>
        <w:rPr>
          <w:rFonts w:ascii="宋体" w:hAnsi="Times New Roman" w:eastAsia="宋体" w:cs="Times New Roman"/>
          <w:kern w:val="0"/>
          <w:szCs w:val="20"/>
        </w:rPr>
        <w:t xml:space="preserve">GB/T 3836.1 </w:t>
      </w:r>
      <w:r>
        <w:rPr>
          <w:rFonts w:hAnsi="Times New Roman" w:cs="Times New Roman"/>
          <w:kern w:val="0"/>
          <w:szCs w:val="20"/>
        </w:rPr>
        <w:t>中相关规定配备防爆等安全设施。</w:t>
      </w:r>
    </w:p>
    <w:p w14:paraId="2A7A600B">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pPr>
      <w:r>
        <w:rPr>
          <w:rFonts w:hint="eastAsia" w:ascii="宋体" w:hAnsi="Times New Roman" w:eastAsia="宋体" w:cs="Times New Roman"/>
          <w:kern w:val="0"/>
          <w:szCs w:val="20"/>
          <w:lang w:val="en-US" w:eastAsia="zh-CN"/>
        </w:rPr>
        <w:t>4）</w:t>
      </w:r>
      <w:r>
        <w:rPr>
          <w:rFonts w:ascii="宋体" w:hAnsi="Times New Roman" w:eastAsia="宋体" w:cs="Times New Roman"/>
          <w:kern w:val="0"/>
          <w:szCs w:val="20"/>
        </w:rPr>
        <w:t xml:space="preserve">6.4 </w:t>
      </w:r>
      <w:r>
        <w:rPr>
          <w:rFonts w:hAnsi="Times New Roman" w:cs="Times New Roman"/>
          <w:kern w:val="0"/>
          <w:szCs w:val="20"/>
        </w:rPr>
        <w:t xml:space="preserve">其他要求按照 </w:t>
      </w:r>
      <w:r>
        <w:rPr>
          <w:rFonts w:ascii="宋体" w:hAnsi="Times New Roman" w:eastAsia="宋体" w:cs="Times New Roman"/>
          <w:kern w:val="0"/>
          <w:szCs w:val="20"/>
        </w:rPr>
        <w:t xml:space="preserve">HJ 75 </w:t>
      </w:r>
      <w:r>
        <w:rPr>
          <w:rFonts w:hAnsi="Times New Roman" w:cs="Times New Roman"/>
          <w:kern w:val="0"/>
          <w:szCs w:val="20"/>
        </w:rPr>
        <w:t>执行。</w:t>
      </w:r>
    </w:p>
    <w:p w14:paraId="6D0E1B32">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8</w:t>
      </w:r>
      <w:r>
        <w:rPr>
          <w:rFonts w:ascii="宋体" w:hAnsi="Times New Roman" w:eastAsia="宋体" w:cs="Times New Roman"/>
          <w:kern w:val="0"/>
          <w:szCs w:val="20"/>
        </w:rPr>
        <w:t>.0.2</w:t>
      </w:r>
      <w:r>
        <w:rPr>
          <w:rFonts w:hint="eastAsia" w:ascii="宋体" w:hAnsi="Times New Roman" w:eastAsia="宋体" w:cs="Times New Roman"/>
          <w:kern w:val="0"/>
          <w:szCs w:val="20"/>
          <w:lang w:val="en-US" w:eastAsia="zh-CN"/>
        </w:rPr>
        <w:t xml:space="preserve"> </w:t>
      </w:r>
      <w:r>
        <w:rPr>
          <w:rFonts w:ascii="宋体" w:hAnsi="Times New Roman" w:eastAsia="宋体" w:cs="Times New Roman"/>
          <w:kern w:val="0"/>
          <w:szCs w:val="20"/>
        </w:rPr>
        <w:t>HJ75-2017第六章站房要求</w:t>
      </w:r>
      <w:r>
        <w:rPr>
          <w:rFonts w:hint="eastAsia" w:ascii="宋体" w:hAnsi="Times New Roman" w:eastAsia="宋体" w:cs="Times New Roman"/>
          <w:kern w:val="0"/>
          <w:szCs w:val="20"/>
        </w:rPr>
        <w:t>。</w:t>
      </w:r>
    </w:p>
    <w:p w14:paraId="286CE375">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8</w:t>
      </w:r>
      <w:r>
        <w:rPr>
          <w:rFonts w:ascii="宋体" w:hAnsi="Times New Roman" w:eastAsia="宋体" w:cs="Times New Roman"/>
          <w:kern w:val="0"/>
          <w:szCs w:val="20"/>
        </w:rPr>
        <w:t xml:space="preserve">.0.3 </w:t>
      </w:r>
      <w:r>
        <w:rPr>
          <w:rFonts w:hint="eastAsia" w:ascii="宋体" w:hAnsi="Times New Roman" w:eastAsia="宋体" w:cs="Times New Roman"/>
          <w:kern w:val="0"/>
          <w:szCs w:val="20"/>
        </w:rPr>
        <w:t>监测站房应配备零点气和量程气，满足正常操作的零点校准、量程校准的需要。监测站房应有防水、防火、防潮、防雷、隔热、保温措施。</w:t>
      </w:r>
    </w:p>
    <w:p w14:paraId="0615D76F">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hint="eastAsia" w:ascii="宋体" w:hAnsi="Times New Roman" w:eastAsia="宋体" w:cs="Times New Roman"/>
          <w:kern w:val="0"/>
          <w:szCs w:val="20"/>
        </w:rPr>
        <w:t>8</w:t>
      </w:r>
      <w:r>
        <w:rPr>
          <w:rFonts w:ascii="宋体" w:hAnsi="Times New Roman" w:eastAsia="宋体" w:cs="Times New Roman"/>
          <w:kern w:val="0"/>
          <w:szCs w:val="20"/>
        </w:rPr>
        <w:t xml:space="preserve">.0.4 </w:t>
      </w:r>
      <w:r>
        <w:rPr>
          <w:rFonts w:hint="eastAsia" w:ascii="宋体" w:hAnsi="Times New Roman" w:eastAsia="宋体" w:cs="Times New Roman"/>
          <w:kern w:val="0"/>
          <w:szCs w:val="20"/>
        </w:rPr>
        <w:t>监测站房设在防爆区域内应按照GB/T 3836.1中相关规定配备防爆等安全设施。</w:t>
      </w:r>
    </w:p>
    <w:p w14:paraId="6CFC88F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28866BF5">
      <w:pPr>
        <w:widowControl/>
        <w:jc w:val="left"/>
        <w:rPr>
          <w:rFonts w:ascii="宋体" w:hAnsi="Times New Roman" w:eastAsia="宋体" w:cs="Times New Roman"/>
          <w:kern w:val="0"/>
          <w:szCs w:val="20"/>
        </w:rPr>
      </w:pPr>
      <w:r>
        <w:rPr>
          <w:rFonts w:ascii="宋体" w:hAnsi="Times New Roman" w:eastAsia="宋体" w:cs="Times New Roman"/>
          <w:kern w:val="0"/>
          <w:szCs w:val="20"/>
        </w:rPr>
        <w:br w:type="page"/>
      </w:r>
    </w:p>
    <w:p w14:paraId="7A512A95">
      <w:pPr>
        <w:pStyle w:val="2"/>
        <w:jc w:val="center"/>
        <w:rPr>
          <w:sz w:val="28"/>
          <w:szCs w:val="28"/>
        </w:rPr>
      </w:pPr>
      <w:bookmarkStart w:id="218" w:name="_Toc206160103"/>
      <w:bookmarkStart w:id="219" w:name="_Toc206171748"/>
      <w:r>
        <w:rPr>
          <w:sz w:val="28"/>
          <w:szCs w:val="28"/>
        </w:rPr>
        <w:t xml:space="preserve">9 </w:t>
      </w:r>
      <w:r>
        <w:rPr>
          <w:rFonts w:hint="eastAsia"/>
          <w:sz w:val="28"/>
          <w:szCs w:val="28"/>
        </w:rPr>
        <w:t>安装设计</w:t>
      </w:r>
      <w:bookmarkEnd w:id="218"/>
      <w:bookmarkEnd w:id="219"/>
    </w:p>
    <w:p w14:paraId="30CC1928">
      <w:pPr>
        <w:pStyle w:val="3"/>
        <w:jc w:val="center"/>
        <w:rPr>
          <w:sz w:val="21"/>
          <w:szCs w:val="21"/>
        </w:rPr>
      </w:pPr>
      <w:bookmarkStart w:id="220" w:name="_Toc206160104"/>
      <w:bookmarkStart w:id="221" w:name="_Toc206171749"/>
      <w:r>
        <w:rPr>
          <w:rFonts w:hint="eastAsia"/>
          <w:sz w:val="21"/>
          <w:szCs w:val="21"/>
        </w:rPr>
        <w:t>9</w:t>
      </w:r>
      <w:r>
        <w:rPr>
          <w:sz w:val="21"/>
          <w:szCs w:val="21"/>
        </w:rPr>
        <w:t xml:space="preserve">.4 </w:t>
      </w:r>
      <w:r>
        <w:rPr>
          <w:rFonts w:hint="eastAsia"/>
          <w:sz w:val="21"/>
          <w:szCs w:val="21"/>
        </w:rPr>
        <w:t>仪表接地和防雷</w:t>
      </w:r>
      <w:bookmarkEnd w:id="220"/>
      <w:bookmarkEnd w:id="221"/>
    </w:p>
    <w:p w14:paraId="3BD97350">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r>
        <w:rPr>
          <w:rFonts w:ascii="宋体" w:hAnsi="Times New Roman" w:eastAsia="宋体" w:cs="Times New Roman"/>
          <w:kern w:val="0"/>
          <w:szCs w:val="20"/>
        </w:rPr>
        <w:t xml:space="preserve">9.4.2 </w:t>
      </w:r>
      <w:r>
        <w:rPr>
          <w:rFonts w:hint="eastAsia" w:ascii="宋体" w:hAnsi="Times New Roman" w:eastAsia="宋体" w:cs="Times New Roman"/>
          <w:kern w:val="0"/>
          <w:szCs w:val="20"/>
        </w:rPr>
        <w:t>采用等电位接地可以有效减少雷电伤害、降低干扰。</w:t>
      </w:r>
    </w:p>
    <w:p w14:paraId="1910A5D3">
      <w:pPr>
        <w:widowControl/>
        <w:tabs>
          <w:tab w:val="center" w:pos="4201"/>
          <w:tab w:val="right" w:leader="dot" w:pos="9298"/>
        </w:tabs>
        <w:autoSpaceDE w:val="0"/>
        <w:autoSpaceDN w:val="0"/>
        <w:spacing w:line="360" w:lineRule="auto"/>
        <w:rPr>
          <w:rFonts w:ascii="宋体" w:hAnsi="Times New Roman" w:eastAsia="宋体" w:cs="Times New Roman"/>
          <w:kern w:val="0"/>
          <w:szCs w:val="20"/>
        </w:rPr>
      </w:pPr>
    </w:p>
    <w:p w14:paraId="3C2FDC72">
      <w:pPr>
        <w:widowControl/>
        <w:tabs>
          <w:tab w:val="center" w:pos="4201"/>
          <w:tab w:val="right" w:leader="dot" w:pos="9298"/>
        </w:tabs>
        <w:autoSpaceDE w:val="0"/>
        <w:autoSpaceDN w:val="0"/>
        <w:spacing w:line="360" w:lineRule="auto"/>
        <w:ind w:firstLine="420" w:firstLineChars="200"/>
        <w:rPr>
          <w:rFonts w:ascii="宋体" w:hAnsi="Times New Roman" w:eastAsia="宋体" w:cs="Times New Roman"/>
          <w:kern w:val="0"/>
          <w:szCs w:val="20"/>
        </w:rPr>
        <w:sectPr>
          <w:pgSz w:w="11906" w:h="16838"/>
          <w:pgMar w:top="1009" w:right="1440" w:bottom="0" w:left="1440" w:header="851" w:footer="992" w:gutter="0"/>
          <w:cols w:space="425" w:num="1"/>
          <w:docGrid w:linePitch="312" w:charSpace="0"/>
        </w:sectPr>
      </w:pPr>
    </w:p>
    <w:p w14:paraId="36424F82">
      <w:pPr>
        <w:pStyle w:val="2"/>
        <w:jc w:val="center"/>
        <w:rPr>
          <w:sz w:val="28"/>
          <w:szCs w:val="28"/>
        </w:rPr>
      </w:pPr>
      <w:bookmarkStart w:id="222" w:name="_Toc206171750"/>
      <w:r>
        <w:rPr>
          <w:rFonts w:hint="eastAsia"/>
          <w:sz w:val="28"/>
          <w:szCs w:val="28"/>
        </w:rPr>
        <w:t>资料A</w:t>
      </w:r>
      <w:r>
        <w:rPr>
          <w:sz w:val="28"/>
          <w:szCs w:val="28"/>
        </w:rPr>
        <w:t xml:space="preserve">  常用的大气污染物排放指标</w:t>
      </w:r>
      <w:bookmarkEnd w:id="222"/>
    </w:p>
    <w:tbl>
      <w:tblPr>
        <w:tblStyle w:val="121"/>
        <w:tblW w:w="153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1705"/>
        <w:gridCol w:w="850"/>
        <w:gridCol w:w="855"/>
        <w:gridCol w:w="850"/>
        <w:gridCol w:w="851"/>
        <w:gridCol w:w="846"/>
        <w:gridCol w:w="851"/>
        <w:gridCol w:w="850"/>
        <w:gridCol w:w="851"/>
        <w:gridCol w:w="850"/>
        <w:gridCol w:w="709"/>
        <w:gridCol w:w="709"/>
        <w:gridCol w:w="709"/>
        <w:gridCol w:w="850"/>
        <w:gridCol w:w="713"/>
        <w:gridCol w:w="708"/>
        <w:gridCol w:w="993"/>
      </w:tblGrid>
      <w:tr w14:paraId="0F536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jc w:val="center"/>
        </w:trPr>
        <w:tc>
          <w:tcPr>
            <w:tcW w:w="564" w:type="dxa"/>
            <w:vMerge w:val="restart"/>
            <w:tcBorders>
              <w:bottom w:val="nil"/>
            </w:tcBorders>
            <w:vAlign w:val="center"/>
          </w:tcPr>
          <w:p w14:paraId="28F0F09D">
            <w:pPr>
              <w:spacing w:before="227" w:line="229" w:lineRule="auto"/>
              <w:ind w:left="76" w:firstLine="9" w:firstLineChars="5"/>
              <w:jc w:val="center"/>
              <w:rPr>
                <w:rFonts w:ascii="宋体" w:hAnsi="宋体" w:eastAsia="宋体" w:cs="宋体"/>
                <w:b/>
                <w:sz w:val="18"/>
                <w:szCs w:val="18"/>
              </w:rPr>
            </w:pPr>
            <w:r>
              <w:rPr>
                <w:rFonts w:ascii="宋体" w:hAnsi="宋体" w:eastAsia="宋体" w:cs="宋体"/>
                <w:b/>
                <w:spacing w:val="2"/>
                <w:sz w:val="18"/>
                <w:szCs w:val="18"/>
              </w:rPr>
              <w:t>序号</w:t>
            </w:r>
          </w:p>
        </w:tc>
        <w:tc>
          <w:tcPr>
            <w:tcW w:w="1705" w:type="dxa"/>
            <w:vMerge w:val="restart"/>
            <w:tcBorders>
              <w:bottom w:val="nil"/>
            </w:tcBorders>
            <w:vAlign w:val="center"/>
          </w:tcPr>
          <w:p w14:paraId="3E4B8E54">
            <w:pPr>
              <w:spacing w:before="227" w:line="228" w:lineRule="auto"/>
              <w:ind w:left="76" w:firstLine="9" w:firstLineChars="5"/>
              <w:jc w:val="center"/>
              <w:rPr>
                <w:rFonts w:ascii="宋体" w:hAnsi="宋体" w:eastAsia="宋体" w:cs="宋体"/>
                <w:b/>
                <w:sz w:val="18"/>
                <w:szCs w:val="18"/>
              </w:rPr>
            </w:pPr>
            <w:r>
              <w:rPr>
                <w:rFonts w:ascii="宋体" w:hAnsi="宋体" w:eastAsia="宋体" w:cs="宋体"/>
                <w:b/>
                <w:spacing w:val="2"/>
                <w:sz w:val="18"/>
                <w:szCs w:val="18"/>
              </w:rPr>
              <w:t>标准</w:t>
            </w:r>
          </w:p>
        </w:tc>
        <w:tc>
          <w:tcPr>
            <w:tcW w:w="12052" w:type="dxa"/>
            <w:gridSpan w:val="15"/>
            <w:vAlign w:val="center"/>
          </w:tcPr>
          <w:p w14:paraId="739FF771">
            <w:pPr>
              <w:spacing w:before="36" w:line="234" w:lineRule="auto"/>
              <w:ind w:left="76" w:firstLine="9" w:firstLineChars="5"/>
              <w:jc w:val="center"/>
              <w:rPr>
                <w:rFonts w:ascii="宋体" w:hAnsi="宋体" w:eastAsia="宋体" w:cs="宋体"/>
                <w:b/>
                <w:sz w:val="18"/>
                <w:szCs w:val="18"/>
              </w:rPr>
            </w:pPr>
            <w:r>
              <w:rPr>
                <w:rFonts w:ascii="宋体" w:hAnsi="宋体" w:eastAsia="宋体" w:cs="宋体"/>
                <w:b/>
                <w:spacing w:val="2"/>
                <w:sz w:val="18"/>
                <w:szCs w:val="18"/>
              </w:rPr>
              <w:t>污染物项目（</w:t>
            </w:r>
            <w:r>
              <w:rPr>
                <w:rFonts w:ascii="Calibri" w:hAnsi="Calibri" w:eastAsia="Calibri" w:cs="Calibri"/>
                <w:b/>
                <w:sz w:val="18"/>
                <w:szCs w:val="18"/>
              </w:rPr>
              <w:t>mg</w:t>
            </w:r>
            <w:r>
              <w:rPr>
                <w:rFonts w:ascii="Calibri" w:hAnsi="Calibri" w:eastAsia="Calibri" w:cs="Calibri"/>
                <w:b/>
                <w:spacing w:val="2"/>
                <w:sz w:val="18"/>
                <w:szCs w:val="18"/>
              </w:rPr>
              <w:t>/m3</w:t>
            </w:r>
            <w:r>
              <w:rPr>
                <w:rFonts w:ascii="宋体" w:hAnsi="宋体" w:eastAsia="宋体" w:cs="宋体"/>
                <w:b/>
                <w:spacing w:val="2"/>
                <w:sz w:val="18"/>
                <w:szCs w:val="18"/>
              </w:rPr>
              <w:t>）</w:t>
            </w:r>
          </w:p>
        </w:tc>
        <w:tc>
          <w:tcPr>
            <w:tcW w:w="993" w:type="dxa"/>
            <w:vMerge w:val="restart"/>
            <w:tcBorders>
              <w:bottom w:val="nil"/>
            </w:tcBorders>
            <w:vAlign w:val="center"/>
          </w:tcPr>
          <w:p w14:paraId="5AE49C77">
            <w:pPr>
              <w:spacing w:before="227" w:line="229" w:lineRule="auto"/>
              <w:ind w:left="76" w:firstLine="9" w:firstLineChars="5"/>
              <w:jc w:val="center"/>
              <w:rPr>
                <w:rFonts w:ascii="宋体" w:hAnsi="宋体" w:eastAsia="宋体" w:cs="宋体"/>
                <w:b/>
                <w:sz w:val="18"/>
                <w:szCs w:val="18"/>
              </w:rPr>
            </w:pPr>
            <w:r>
              <w:rPr>
                <w:rFonts w:ascii="宋体" w:hAnsi="宋体" w:eastAsia="宋体" w:cs="宋体"/>
                <w:b/>
                <w:spacing w:val="1"/>
                <w:sz w:val="18"/>
                <w:szCs w:val="18"/>
              </w:rPr>
              <w:t>备注</w:t>
            </w:r>
          </w:p>
        </w:tc>
      </w:tr>
      <w:tr w14:paraId="10167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jc w:val="center"/>
        </w:trPr>
        <w:tc>
          <w:tcPr>
            <w:tcW w:w="564" w:type="dxa"/>
            <w:vMerge w:val="continue"/>
            <w:tcBorders>
              <w:top w:val="nil"/>
            </w:tcBorders>
          </w:tcPr>
          <w:p w14:paraId="0DF5FAE7">
            <w:pPr>
              <w:pStyle w:val="122"/>
              <w:ind w:left="76" w:firstLine="9" w:firstLineChars="5"/>
              <w:rPr>
                <w:b/>
                <w:sz w:val="18"/>
                <w:szCs w:val="18"/>
              </w:rPr>
            </w:pPr>
          </w:p>
        </w:tc>
        <w:tc>
          <w:tcPr>
            <w:tcW w:w="1705" w:type="dxa"/>
            <w:vMerge w:val="continue"/>
            <w:tcBorders>
              <w:top w:val="nil"/>
            </w:tcBorders>
          </w:tcPr>
          <w:p w14:paraId="30A71B74">
            <w:pPr>
              <w:pStyle w:val="122"/>
              <w:ind w:left="76" w:firstLine="9" w:firstLineChars="5"/>
              <w:rPr>
                <w:b/>
                <w:sz w:val="18"/>
                <w:szCs w:val="18"/>
              </w:rPr>
            </w:pPr>
          </w:p>
        </w:tc>
        <w:tc>
          <w:tcPr>
            <w:tcW w:w="850" w:type="dxa"/>
            <w:shd w:val="clear" w:color="auto" w:fill="EBF1DE"/>
            <w:vAlign w:val="center"/>
          </w:tcPr>
          <w:p w14:paraId="15D4F913">
            <w:pPr>
              <w:spacing w:line="360" w:lineRule="auto"/>
              <w:ind w:left="76" w:firstLine="9" w:firstLineChars="5"/>
              <w:jc w:val="center"/>
              <w:rPr>
                <w:rFonts w:ascii="宋体" w:hAnsi="宋体" w:eastAsia="宋体" w:cs="宋体"/>
                <w:b/>
                <w:sz w:val="18"/>
                <w:szCs w:val="18"/>
              </w:rPr>
            </w:pPr>
            <w:r>
              <w:rPr>
                <w:rFonts w:ascii="宋体" w:hAnsi="宋体" w:eastAsia="宋体" w:cs="宋体"/>
                <w:b/>
                <w:spacing w:val="3"/>
                <w:sz w:val="18"/>
                <w:szCs w:val="18"/>
              </w:rPr>
              <w:t>颗粒物</w:t>
            </w:r>
          </w:p>
        </w:tc>
        <w:tc>
          <w:tcPr>
            <w:tcW w:w="855" w:type="dxa"/>
            <w:shd w:val="clear" w:color="auto" w:fill="EBF1DE"/>
            <w:vAlign w:val="center"/>
          </w:tcPr>
          <w:p w14:paraId="26640FC4">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一氧化碳</w:t>
            </w:r>
            <w:r>
              <w:rPr>
                <w:rFonts w:ascii="Calibri" w:hAnsi="Calibri" w:eastAsia="Calibri" w:cs="Calibri"/>
                <w:b/>
                <w:sz w:val="18"/>
                <w:szCs w:val="18"/>
              </w:rPr>
              <w:t>(CO)</w:t>
            </w:r>
          </w:p>
        </w:tc>
        <w:tc>
          <w:tcPr>
            <w:tcW w:w="850" w:type="dxa"/>
            <w:shd w:val="clear" w:color="auto" w:fill="EBF1DE"/>
            <w:vAlign w:val="center"/>
          </w:tcPr>
          <w:p w14:paraId="67BD9F14">
            <w:pPr>
              <w:spacing w:line="360" w:lineRule="auto"/>
              <w:ind w:left="76" w:firstLine="9" w:firstLineChars="5"/>
              <w:jc w:val="center"/>
              <w:rPr>
                <w:rFonts w:ascii="宋体" w:hAnsi="宋体" w:eastAsia="宋体" w:cs="宋体"/>
                <w:b/>
                <w:spacing w:val="3"/>
                <w:sz w:val="18"/>
                <w:szCs w:val="18"/>
              </w:rPr>
            </w:pPr>
            <w:r>
              <w:rPr>
                <w:rFonts w:ascii="宋体" w:hAnsi="宋体" w:eastAsia="宋体" w:cs="宋体"/>
                <w:b/>
                <w:spacing w:val="3"/>
                <w:sz w:val="18"/>
                <w:szCs w:val="18"/>
              </w:rPr>
              <w:t>二氧化碳</w:t>
            </w:r>
          </w:p>
          <w:p w14:paraId="708CAA0A">
            <w:pPr>
              <w:spacing w:line="360" w:lineRule="auto"/>
              <w:ind w:left="76" w:firstLine="9" w:firstLineChars="5"/>
              <w:jc w:val="center"/>
              <w:rPr>
                <w:rFonts w:ascii="Calibri" w:hAnsi="Calibri" w:eastAsia="Calibri" w:cs="Calibri"/>
                <w:b/>
                <w:sz w:val="18"/>
                <w:szCs w:val="18"/>
              </w:rPr>
            </w:pPr>
            <w:r>
              <w:rPr>
                <w:rFonts w:ascii="Calibri" w:hAnsi="Calibri" w:eastAsia="Calibri" w:cs="Calibri"/>
                <w:b/>
                <w:sz w:val="18"/>
                <w:szCs w:val="18"/>
              </w:rPr>
              <w:t>(CO2)</w:t>
            </w:r>
          </w:p>
        </w:tc>
        <w:tc>
          <w:tcPr>
            <w:tcW w:w="851" w:type="dxa"/>
            <w:shd w:val="clear" w:color="auto" w:fill="EBF1DE"/>
            <w:vAlign w:val="center"/>
          </w:tcPr>
          <w:p w14:paraId="5F64316D">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氮氧化物</w:t>
            </w:r>
            <w:r>
              <w:rPr>
                <w:rFonts w:ascii="宋体" w:hAnsi="宋体" w:eastAsia="宋体" w:cs="宋体"/>
                <w:b/>
                <w:spacing w:val="1"/>
                <w:sz w:val="18"/>
                <w:szCs w:val="18"/>
              </w:rPr>
              <w:t xml:space="preserve"> </w:t>
            </w:r>
            <w:r>
              <w:rPr>
                <w:rFonts w:ascii="Calibri" w:hAnsi="Calibri" w:eastAsia="Calibri" w:cs="Calibri"/>
                <w:b/>
                <w:spacing w:val="2"/>
                <w:sz w:val="18"/>
                <w:szCs w:val="18"/>
              </w:rPr>
              <w:t>(</w:t>
            </w:r>
            <w:r>
              <w:rPr>
                <w:rFonts w:ascii="Calibri" w:hAnsi="Calibri" w:eastAsia="Calibri" w:cs="Calibri"/>
                <w:b/>
                <w:sz w:val="18"/>
                <w:szCs w:val="18"/>
              </w:rPr>
              <w:t>NOx</w:t>
            </w:r>
            <w:r>
              <w:rPr>
                <w:rFonts w:ascii="Calibri" w:hAnsi="Calibri" w:eastAsia="Calibri" w:cs="Calibri"/>
                <w:b/>
                <w:spacing w:val="2"/>
                <w:sz w:val="18"/>
                <w:szCs w:val="18"/>
              </w:rPr>
              <w:t>)</w:t>
            </w:r>
          </w:p>
        </w:tc>
        <w:tc>
          <w:tcPr>
            <w:tcW w:w="846" w:type="dxa"/>
            <w:shd w:val="clear" w:color="auto" w:fill="EBF1DE"/>
            <w:vAlign w:val="center"/>
          </w:tcPr>
          <w:p w14:paraId="21C8FCBD">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二氧化硫</w:t>
            </w:r>
            <w:r>
              <w:rPr>
                <w:rFonts w:ascii="宋体" w:hAnsi="宋体" w:eastAsia="宋体" w:cs="宋体"/>
                <w:b/>
                <w:sz w:val="18"/>
                <w:szCs w:val="18"/>
              </w:rPr>
              <w:t xml:space="preserve"> </w:t>
            </w:r>
            <w:r>
              <w:rPr>
                <w:rFonts w:ascii="Calibri" w:hAnsi="Calibri" w:eastAsia="Calibri" w:cs="Calibri"/>
                <w:b/>
                <w:spacing w:val="-1"/>
                <w:sz w:val="18"/>
                <w:szCs w:val="18"/>
              </w:rPr>
              <w:t>(SO2)</w:t>
            </w:r>
          </w:p>
        </w:tc>
        <w:tc>
          <w:tcPr>
            <w:tcW w:w="851" w:type="dxa"/>
            <w:shd w:val="clear" w:color="auto" w:fill="EBF1DE"/>
            <w:vAlign w:val="center"/>
          </w:tcPr>
          <w:p w14:paraId="3694A5D8">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2"/>
                <w:sz w:val="18"/>
                <w:szCs w:val="18"/>
              </w:rPr>
              <w:t>氟化氢</w:t>
            </w:r>
            <w:r>
              <w:rPr>
                <w:rFonts w:ascii="宋体" w:hAnsi="宋体" w:eastAsia="宋体" w:cs="宋体"/>
                <w:b/>
                <w:spacing w:val="1"/>
                <w:sz w:val="18"/>
                <w:szCs w:val="18"/>
              </w:rPr>
              <w:t xml:space="preserve"> </w:t>
            </w:r>
            <w:r>
              <w:rPr>
                <w:rFonts w:ascii="Calibri" w:hAnsi="Calibri" w:eastAsia="Calibri" w:cs="Calibri"/>
                <w:b/>
                <w:spacing w:val="-2"/>
                <w:sz w:val="18"/>
                <w:szCs w:val="18"/>
              </w:rPr>
              <w:t>(HF)</w:t>
            </w:r>
          </w:p>
        </w:tc>
        <w:tc>
          <w:tcPr>
            <w:tcW w:w="850" w:type="dxa"/>
            <w:shd w:val="clear" w:color="auto" w:fill="EBF1DE"/>
            <w:vAlign w:val="center"/>
          </w:tcPr>
          <w:p w14:paraId="7FAB185F">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2"/>
                <w:sz w:val="18"/>
                <w:szCs w:val="18"/>
              </w:rPr>
              <w:t>氯化氢</w:t>
            </w:r>
            <w:r>
              <w:rPr>
                <w:rFonts w:ascii="宋体" w:hAnsi="宋体" w:eastAsia="宋体" w:cs="宋体"/>
                <w:b/>
                <w:sz w:val="18"/>
                <w:szCs w:val="18"/>
              </w:rPr>
              <w:t xml:space="preserve"> </w:t>
            </w:r>
            <w:r>
              <w:rPr>
                <w:rFonts w:ascii="Calibri" w:hAnsi="Calibri" w:eastAsia="Calibri" w:cs="Calibri"/>
                <w:b/>
                <w:spacing w:val="-1"/>
                <w:sz w:val="18"/>
                <w:szCs w:val="18"/>
              </w:rPr>
              <w:t>(HCl)</w:t>
            </w:r>
          </w:p>
        </w:tc>
        <w:tc>
          <w:tcPr>
            <w:tcW w:w="851" w:type="dxa"/>
            <w:shd w:val="clear" w:color="auto" w:fill="EBF1DE"/>
            <w:vAlign w:val="center"/>
          </w:tcPr>
          <w:p w14:paraId="61D2EA99">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非甲烷总烃</w:t>
            </w:r>
            <w:r>
              <w:rPr>
                <w:rFonts w:ascii="宋体" w:hAnsi="宋体" w:eastAsia="宋体" w:cs="宋体"/>
                <w:b/>
                <w:sz w:val="18"/>
                <w:szCs w:val="18"/>
              </w:rPr>
              <w:t xml:space="preserve"> </w:t>
            </w:r>
            <w:r>
              <w:rPr>
                <w:rFonts w:ascii="Calibri" w:hAnsi="Calibri" w:eastAsia="Calibri" w:cs="Calibri"/>
                <w:b/>
                <w:spacing w:val="2"/>
                <w:sz w:val="18"/>
                <w:szCs w:val="18"/>
              </w:rPr>
              <w:t>(</w:t>
            </w:r>
            <w:r>
              <w:rPr>
                <w:rFonts w:ascii="Calibri" w:hAnsi="Calibri" w:eastAsia="Calibri" w:cs="Calibri"/>
                <w:b/>
                <w:sz w:val="18"/>
                <w:szCs w:val="18"/>
              </w:rPr>
              <w:t>NMHC</w:t>
            </w:r>
            <w:r>
              <w:rPr>
                <w:rFonts w:ascii="Calibri" w:hAnsi="Calibri" w:eastAsia="Calibri" w:cs="Calibri"/>
                <w:b/>
                <w:spacing w:val="2"/>
                <w:sz w:val="18"/>
                <w:szCs w:val="18"/>
              </w:rPr>
              <w:t>)</w:t>
            </w:r>
          </w:p>
        </w:tc>
        <w:tc>
          <w:tcPr>
            <w:tcW w:w="850" w:type="dxa"/>
            <w:shd w:val="clear" w:color="auto" w:fill="DAEEF3"/>
            <w:vAlign w:val="center"/>
          </w:tcPr>
          <w:p w14:paraId="737ED39C">
            <w:pPr>
              <w:spacing w:line="360" w:lineRule="auto"/>
              <w:ind w:left="76" w:firstLine="9" w:firstLineChars="5"/>
              <w:jc w:val="center"/>
              <w:rPr>
                <w:rFonts w:ascii="宋体" w:hAnsi="宋体" w:eastAsia="宋体" w:cs="宋体"/>
                <w:b/>
                <w:sz w:val="18"/>
                <w:szCs w:val="18"/>
              </w:rPr>
            </w:pPr>
            <w:r>
              <w:rPr>
                <w:rFonts w:ascii="宋体" w:hAnsi="宋体" w:eastAsia="宋体" w:cs="宋体"/>
                <w:b/>
                <w:spacing w:val="3"/>
                <w:sz w:val="18"/>
                <w:szCs w:val="18"/>
              </w:rPr>
              <w:t>苯</w:t>
            </w:r>
            <w:r>
              <w:rPr>
                <w:rFonts w:ascii="Calibri" w:hAnsi="Calibri" w:eastAsia="Calibri" w:cs="Calibri"/>
                <w:b/>
                <w:spacing w:val="3"/>
                <w:sz w:val="18"/>
                <w:szCs w:val="18"/>
              </w:rPr>
              <w:t>/</w:t>
            </w:r>
            <w:r>
              <w:rPr>
                <w:rFonts w:ascii="宋体" w:hAnsi="宋体" w:eastAsia="宋体" w:cs="宋体"/>
                <w:b/>
                <w:spacing w:val="3"/>
                <w:sz w:val="18"/>
                <w:szCs w:val="18"/>
              </w:rPr>
              <w:t>甲苯</w:t>
            </w:r>
            <w:r>
              <w:rPr>
                <w:rFonts w:ascii="Calibri" w:hAnsi="Calibri" w:eastAsia="Calibri" w:cs="Calibri"/>
                <w:b/>
                <w:spacing w:val="3"/>
                <w:sz w:val="18"/>
                <w:szCs w:val="18"/>
              </w:rPr>
              <w:t>/</w:t>
            </w:r>
            <w:r>
              <w:rPr>
                <w:rFonts w:ascii="宋体" w:hAnsi="宋体" w:eastAsia="宋体" w:cs="宋体"/>
                <w:b/>
                <w:spacing w:val="3"/>
                <w:sz w:val="18"/>
                <w:szCs w:val="18"/>
              </w:rPr>
              <w:t>二甲</w:t>
            </w:r>
            <w:r>
              <w:rPr>
                <w:rFonts w:ascii="宋体" w:hAnsi="宋体" w:eastAsia="宋体" w:cs="宋体"/>
                <w:b/>
                <w:sz w:val="18"/>
                <w:szCs w:val="18"/>
              </w:rPr>
              <w:t>苯</w:t>
            </w:r>
          </w:p>
        </w:tc>
        <w:tc>
          <w:tcPr>
            <w:tcW w:w="709" w:type="dxa"/>
            <w:shd w:val="clear" w:color="auto" w:fill="DAEEF3"/>
            <w:vAlign w:val="center"/>
          </w:tcPr>
          <w:p w14:paraId="6388F451">
            <w:pPr>
              <w:spacing w:line="360" w:lineRule="auto"/>
              <w:ind w:left="76" w:firstLine="9" w:firstLineChars="5"/>
              <w:jc w:val="center"/>
              <w:rPr>
                <w:rFonts w:ascii="Calibri" w:hAnsi="Calibri" w:eastAsia="Calibri" w:cs="Calibri"/>
                <w:b/>
                <w:sz w:val="18"/>
                <w:szCs w:val="18"/>
              </w:rPr>
            </w:pPr>
            <w:r>
              <w:rPr>
                <w:rFonts w:ascii="宋体" w:hAnsi="宋体" w:eastAsia="宋体" w:cs="宋体"/>
                <w:b/>
                <w:sz w:val="18"/>
                <w:szCs w:val="18"/>
              </w:rPr>
              <w:t xml:space="preserve">氨  </w:t>
            </w:r>
            <w:r>
              <w:rPr>
                <w:rFonts w:ascii="Calibri" w:hAnsi="Calibri" w:eastAsia="Calibri" w:cs="Calibri"/>
                <w:b/>
                <w:sz w:val="18"/>
                <w:szCs w:val="18"/>
              </w:rPr>
              <w:t>(NH3)</w:t>
            </w:r>
          </w:p>
        </w:tc>
        <w:tc>
          <w:tcPr>
            <w:tcW w:w="709" w:type="dxa"/>
            <w:shd w:val="clear" w:color="auto" w:fill="DAEEF3"/>
            <w:vAlign w:val="center"/>
          </w:tcPr>
          <w:p w14:paraId="1811AFF4">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硫化氢</w:t>
            </w:r>
            <w:r>
              <w:rPr>
                <w:rFonts w:ascii="宋体" w:hAnsi="宋体" w:eastAsia="宋体" w:cs="宋体"/>
                <w:b/>
                <w:sz w:val="18"/>
                <w:szCs w:val="18"/>
              </w:rPr>
              <w:t xml:space="preserve"> </w:t>
            </w:r>
            <w:r>
              <w:rPr>
                <w:rFonts w:ascii="Calibri" w:hAnsi="Calibri" w:eastAsia="Calibri" w:cs="Calibri"/>
                <w:b/>
                <w:spacing w:val="-1"/>
                <w:sz w:val="18"/>
                <w:szCs w:val="18"/>
              </w:rPr>
              <w:t>(H2S)</w:t>
            </w:r>
          </w:p>
        </w:tc>
        <w:tc>
          <w:tcPr>
            <w:tcW w:w="709" w:type="dxa"/>
            <w:shd w:val="clear" w:color="auto" w:fill="DAEEF3"/>
            <w:vAlign w:val="center"/>
          </w:tcPr>
          <w:p w14:paraId="7997E606">
            <w:pPr>
              <w:spacing w:line="360" w:lineRule="auto"/>
              <w:ind w:left="76" w:firstLine="9" w:firstLineChars="5"/>
              <w:jc w:val="center"/>
              <w:rPr>
                <w:rFonts w:ascii="宋体" w:hAnsi="宋体" w:eastAsia="宋体" w:cs="宋体"/>
                <w:b/>
                <w:sz w:val="18"/>
                <w:szCs w:val="18"/>
              </w:rPr>
            </w:pPr>
            <w:r>
              <w:rPr>
                <w:rFonts w:ascii="宋体" w:hAnsi="宋体" w:eastAsia="宋体" w:cs="宋体"/>
                <w:b/>
                <w:spacing w:val="3"/>
                <w:sz w:val="18"/>
                <w:szCs w:val="18"/>
              </w:rPr>
              <w:t>硫酸雾</w:t>
            </w:r>
          </w:p>
        </w:tc>
        <w:tc>
          <w:tcPr>
            <w:tcW w:w="850" w:type="dxa"/>
            <w:shd w:val="clear" w:color="auto" w:fill="DAEEF3"/>
            <w:vAlign w:val="center"/>
          </w:tcPr>
          <w:p w14:paraId="536071D5">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汞及其化合物</w:t>
            </w:r>
            <w:r>
              <w:rPr>
                <w:rFonts w:ascii="Calibri" w:hAnsi="Calibri" w:eastAsia="Calibri" w:cs="Calibri"/>
                <w:b/>
                <w:sz w:val="18"/>
                <w:szCs w:val="18"/>
              </w:rPr>
              <w:t>(</w:t>
            </w:r>
            <w:r>
              <w:rPr>
                <w:rFonts w:ascii="宋体" w:hAnsi="宋体" w:eastAsia="宋体" w:cs="宋体"/>
                <w:b/>
                <w:sz w:val="18"/>
                <w:szCs w:val="18"/>
              </w:rPr>
              <w:t>以</w:t>
            </w:r>
            <w:r>
              <w:rPr>
                <w:rFonts w:ascii="Calibri" w:hAnsi="Calibri" w:eastAsia="Calibri" w:cs="Calibri"/>
                <w:b/>
                <w:sz w:val="18"/>
                <w:szCs w:val="18"/>
              </w:rPr>
              <w:t>Hg</w:t>
            </w:r>
            <w:r>
              <w:rPr>
                <w:rFonts w:ascii="宋体" w:hAnsi="宋体" w:eastAsia="宋体" w:cs="宋体"/>
                <w:b/>
                <w:sz w:val="18"/>
                <w:szCs w:val="18"/>
              </w:rPr>
              <w:t>计</w:t>
            </w:r>
            <w:r>
              <w:rPr>
                <w:rFonts w:ascii="Calibri" w:hAnsi="Calibri" w:eastAsia="Calibri" w:cs="Calibri"/>
                <w:b/>
                <w:sz w:val="18"/>
                <w:szCs w:val="18"/>
              </w:rPr>
              <w:t>)</w:t>
            </w:r>
          </w:p>
        </w:tc>
        <w:tc>
          <w:tcPr>
            <w:tcW w:w="713" w:type="dxa"/>
            <w:shd w:val="clear" w:color="auto" w:fill="DAEEF3"/>
            <w:vAlign w:val="center"/>
          </w:tcPr>
          <w:p w14:paraId="35FBE9BF">
            <w:pPr>
              <w:spacing w:line="360" w:lineRule="auto"/>
              <w:ind w:left="76" w:firstLine="9" w:firstLineChars="5"/>
              <w:jc w:val="center"/>
              <w:rPr>
                <w:rFonts w:ascii="Calibri" w:hAnsi="Calibri" w:eastAsia="Calibri" w:cs="Calibri"/>
                <w:b/>
                <w:sz w:val="18"/>
                <w:szCs w:val="18"/>
              </w:rPr>
            </w:pPr>
            <w:r>
              <w:rPr>
                <w:rFonts w:ascii="宋体" w:hAnsi="宋体" w:eastAsia="宋体" w:cs="宋体"/>
                <w:b/>
                <w:spacing w:val="3"/>
                <w:sz w:val="18"/>
                <w:szCs w:val="18"/>
              </w:rPr>
              <w:t>氢氰酸</w:t>
            </w:r>
            <w:r>
              <w:rPr>
                <w:rFonts w:ascii="宋体" w:hAnsi="宋体" w:eastAsia="宋体" w:cs="宋体"/>
                <w:b/>
                <w:sz w:val="18"/>
                <w:szCs w:val="18"/>
              </w:rPr>
              <w:t xml:space="preserve"> </w:t>
            </w:r>
            <w:r>
              <w:rPr>
                <w:rFonts w:ascii="Calibri" w:hAnsi="Calibri" w:eastAsia="Calibri" w:cs="Calibri"/>
                <w:b/>
                <w:spacing w:val="2"/>
                <w:sz w:val="18"/>
                <w:szCs w:val="18"/>
              </w:rPr>
              <w:t>(</w:t>
            </w:r>
            <w:r>
              <w:rPr>
                <w:rFonts w:ascii="Calibri" w:hAnsi="Calibri" w:eastAsia="Calibri" w:cs="Calibri"/>
                <w:b/>
                <w:sz w:val="18"/>
                <w:szCs w:val="18"/>
              </w:rPr>
              <w:t>HCN</w:t>
            </w:r>
            <w:r>
              <w:rPr>
                <w:rFonts w:ascii="Calibri" w:hAnsi="Calibri" w:eastAsia="Calibri" w:cs="Calibri"/>
                <w:b/>
                <w:spacing w:val="2"/>
                <w:sz w:val="18"/>
                <w:szCs w:val="18"/>
              </w:rPr>
              <w:t>)</w:t>
            </w:r>
          </w:p>
        </w:tc>
        <w:tc>
          <w:tcPr>
            <w:tcW w:w="708" w:type="dxa"/>
            <w:shd w:val="clear" w:color="auto" w:fill="DAEEF3"/>
            <w:vAlign w:val="center"/>
          </w:tcPr>
          <w:p w14:paraId="1C431769">
            <w:pPr>
              <w:spacing w:line="360" w:lineRule="auto"/>
              <w:ind w:left="76" w:firstLine="9" w:firstLineChars="5"/>
              <w:jc w:val="center"/>
              <w:rPr>
                <w:rFonts w:ascii="宋体" w:hAnsi="宋体" w:eastAsia="宋体" w:cs="宋体"/>
                <w:b/>
                <w:sz w:val="18"/>
                <w:szCs w:val="18"/>
              </w:rPr>
            </w:pPr>
            <w:r>
              <w:rPr>
                <w:rFonts w:ascii="宋体" w:hAnsi="宋体" w:eastAsia="宋体" w:cs="宋体"/>
                <w:b/>
                <w:spacing w:val="2"/>
                <w:sz w:val="18"/>
                <w:szCs w:val="18"/>
              </w:rPr>
              <w:t>丙烯酸</w:t>
            </w:r>
          </w:p>
        </w:tc>
        <w:tc>
          <w:tcPr>
            <w:tcW w:w="993" w:type="dxa"/>
            <w:vMerge w:val="continue"/>
            <w:tcBorders>
              <w:top w:val="nil"/>
            </w:tcBorders>
            <w:vAlign w:val="center"/>
          </w:tcPr>
          <w:p w14:paraId="54E5D483">
            <w:pPr>
              <w:pStyle w:val="122"/>
              <w:ind w:left="76" w:firstLine="9" w:firstLineChars="5"/>
              <w:jc w:val="center"/>
              <w:rPr>
                <w:sz w:val="18"/>
                <w:szCs w:val="18"/>
              </w:rPr>
            </w:pPr>
          </w:p>
        </w:tc>
      </w:tr>
      <w:tr w14:paraId="40FF09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564" w:type="dxa"/>
            <w:vMerge w:val="restart"/>
            <w:tcBorders>
              <w:bottom w:val="nil"/>
            </w:tcBorders>
          </w:tcPr>
          <w:p w14:paraId="48C7A048">
            <w:pPr>
              <w:spacing w:before="244" w:line="183" w:lineRule="auto"/>
              <w:ind w:left="76" w:firstLine="9" w:firstLineChars="5"/>
              <w:jc w:val="center"/>
              <w:rPr>
                <w:rFonts w:ascii="Calibri" w:hAnsi="Calibri" w:eastAsia="Calibri" w:cs="Calibri"/>
                <w:sz w:val="18"/>
                <w:szCs w:val="18"/>
              </w:rPr>
            </w:pPr>
            <w:r>
              <w:rPr>
                <w:rFonts w:ascii="Calibri" w:hAnsi="Calibri" w:eastAsia="Calibri" w:cs="Calibri"/>
                <w:sz w:val="18"/>
                <w:szCs w:val="18"/>
              </w:rPr>
              <w:t>1</w:t>
            </w:r>
          </w:p>
        </w:tc>
        <w:tc>
          <w:tcPr>
            <w:tcW w:w="1705" w:type="dxa"/>
            <w:vMerge w:val="restart"/>
            <w:tcBorders>
              <w:bottom w:val="nil"/>
            </w:tcBorders>
          </w:tcPr>
          <w:p w14:paraId="2D5CC379">
            <w:pPr>
              <w:spacing w:before="148" w:line="253"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13271-2014</w:t>
            </w:r>
            <w:r>
              <w:rPr>
                <w:rFonts w:hint="eastAsia" w:cs="Calibri" w:asciiTheme="minorEastAsia" w:hAnsiTheme="minorEastAsia"/>
                <w:spacing w:val="2"/>
                <w:sz w:val="18"/>
                <w:szCs w:val="18"/>
              </w:rPr>
              <w:t>《</w:t>
            </w:r>
            <w:r>
              <w:rPr>
                <w:rFonts w:ascii="宋体" w:hAnsi="宋体" w:eastAsia="宋体" w:cs="宋体"/>
                <w:spacing w:val="2"/>
                <w:sz w:val="18"/>
                <w:szCs w:val="18"/>
              </w:rPr>
              <w:t>锅炉大气污染物</w:t>
            </w:r>
            <w:r>
              <w:rPr>
                <w:rFonts w:ascii="宋体" w:hAnsi="宋体" w:eastAsia="宋体" w:cs="宋体"/>
                <w:spacing w:val="3"/>
                <w:sz w:val="18"/>
                <w:szCs w:val="18"/>
              </w:rPr>
              <w:t>排放标准</w:t>
            </w:r>
            <w:r>
              <w:rPr>
                <w:rFonts w:hint="eastAsia" w:ascii="宋体" w:hAnsi="宋体" w:eastAsia="宋体" w:cs="宋体"/>
                <w:spacing w:val="3"/>
                <w:sz w:val="18"/>
                <w:szCs w:val="18"/>
              </w:rPr>
              <w:t>》</w:t>
            </w:r>
          </w:p>
        </w:tc>
        <w:tc>
          <w:tcPr>
            <w:tcW w:w="850" w:type="dxa"/>
            <w:shd w:val="clear" w:color="auto" w:fill="EBF1DE"/>
            <w:vAlign w:val="center"/>
          </w:tcPr>
          <w:p w14:paraId="5AC3C036">
            <w:pPr>
              <w:spacing w:before="58"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5" w:type="dxa"/>
            <w:shd w:val="clear" w:color="auto" w:fill="EBF1DE"/>
            <w:vAlign w:val="center"/>
          </w:tcPr>
          <w:p w14:paraId="22B1CDDB">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1A33162A">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34E6074D">
            <w:pPr>
              <w:spacing w:before="58"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200</w:t>
            </w:r>
          </w:p>
        </w:tc>
        <w:tc>
          <w:tcPr>
            <w:tcW w:w="846" w:type="dxa"/>
            <w:shd w:val="clear" w:color="auto" w:fill="EBF1DE"/>
            <w:vAlign w:val="center"/>
          </w:tcPr>
          <w:p w14:paraId="77B2D7BB">
            <w:pPr>
              <w:spacing w:before="58"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200</w:t>
            </w:r>
          </w:p>
        </w:tc>
        <w:tc>
          <w:tcPr>
            <w:tcW w:w="851" w:type="dxa"/>
            <w:shd w:val="clear" w:color="auto" w:fill="EBF1DE"/>
            <w:vAlign w:val="center"/>
          </w:tcPr>
          <w:p w14:paraId="230B1B12">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7C1A3802">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14E3A6F4">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7C88ACCA">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2259AC88">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53CADA7">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3DECE1C">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7595FE55">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164AEDE1">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539492E6">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05D46A4F">
            <w:pPr>
              <w:spacing w:before="40"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燃煤</w:t>
            </w:r>
          </w:p>
        </w:tc>
      </w:tr>
      <w:tr w14:paraId="656BD4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jc w:val="center"/>
        </w:trPr>
        <w:tc>
          <w:tcPr>
            <w:tcW w:w="564" w:type="dxa"/>
            <w:vMerge w:val="continue"/>
            <w:tcBorders>
              <w:top w:val="nil"/>
              <w:bottom w:val="nil"/>
            </w:tcBorders>
          </w:tcPr>
          <w:p w14:paraId="1321306B">
            <w:pPr>
              <w:pStyle w:val="122"/>
              <w:ind w:left="76" w:firstLine="9" w:firstLineChars="5"/>
              <w:jc w:val="center"/>
              <w:rPr>
                <w:sz w:val="18"/>
                <w:szCs w:val="18"/>
              </w:rPr>
            </w:pPr>
          </w:p>
        </w:tc>
        <w:tc>
          <w:tcPr>
            <w:tcW w:w="1705" w:type="dxa"/>
            <w:vMerge w:val="continue"/>
            <w:tcBorders>
              <w:top w:val="nil"/>
              <w:bottom w:val="nil"/>
            </w:tcBorders>
          </w:tcPr>
          <w:p w14:paraId="7B4B44EC">
            <w:pPr>
              <w:pStyle w:val="122"/>
              <w:ind w:left="76" w:firstLine="9" w:firstLineChars="5"/>
              <w:rPr>
                <w:sz w:val="18"/>
                <w:szCs w:val="18"/>
              </w:rPr>
            </w:pPr>
          </w:p>
        </w:tc>
        <w:tc>
          <w:tcPr>
            <w:tcW w:w="850" w:type="dxa"/>
            <w:shd w:val="clear" w:color="auto" w:fill="EBF1DE"/>
            <w:vAlign w:val="center"/>
          </w:tcPr>
          <w:p w14:paraId="119FF997">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5" w:type="dxa"/>
            <w:shd w:val="clear" w:color="auto" w:fill="EBF1DE"/>
            <w:vAlign w:val="center"/>
          </w:tcPr>
          <w:p w14:paraId="4136C00A">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6C722396">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71CC172B">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200</w:t>
            </w:r>
          </w:p>
        </w:tc>
        <w:tc>
          <w:tcPr>
            <w:tcW w:w="846" w:type="dxa"/>
            <w:shd w:val="clear" w:color="auto" w:fill="EBF1DE"/>
            <w:vAlign w:val="center"/>
          </w:tcPr>
          <w:p w14:paraId="3DA1B931">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100</w:t>
            </w:r>
          </w:p>
        </w:tc>
        <w:tc>
          <w:tcPr>
            <w:tcW w:w="851" w:type="dxa"/>
            <w:shd w:val="clear" w:color="auto" w:fill="EBF1DE"/>
            <w:vAlign w:val="center"/>
          </w:tcPr>
          <w:p w14:paraId="004A6E49">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4275A60F">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3670687D">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11655FE0">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791BCD64">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3AA37E4C">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2D3104F3">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4C97A1DD">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70296EFA">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009368E8">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322C37F7">
            <w:pPr>
              <w:spacing w:before="40"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燃油</w:t>
            </w:r>
          </w:p>
        </w:tc>
      </w:tr>
      <w:tr w14:paraId="36FA3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564" w:type="dxa"/>
            <w:vMerge w:val="continue"/>
            <w:tcBorders>
              <w:top w:val="nil"/>
            </w:tcBorders>
          </w:tcPr>
          <w:p w14:paraId="74C7DD10">
            <w:pPr>
              <w:pStyle w:val="122"/>
              <w:ind w:left="76" w:firstLine="9" w:firstLineChars="5"/>
              <w:jc w:val="center"/>
              <w:rPr>
                <w:sz w:val="18"/>
                <w:szCs w:val="18"/>
              </w:rPr>
            </w:pPr>
          </w:p>
        </w:tc>
        <w:tc>
          <w:tcPr>
            <w:tcW w:w="1705" w:type="dxa"/>
            <w:vMerge w:val="continue"/>
            <w:tcBorders>
              <w:top w:val="nil"/>
            </w:tcBorders>
          </w:tcPr>
          <w:p w14:paraId="3278B17D">
            <w:pPr>
              <w:pStyle w:val="122"/>
              <w:ind w:left="76" w:firstLine="9" w:firstLineChars="5"/>
              <w:rPr>
                <w:sz w:val="18"/>
                <w:szCs w:val="18"/>
              </w:rPr>
            </w:pPr>
          </w:p>
        </w:tc>
        <w:tc>
          <w:tcPr>
            <w:tcW w:w="850" w:type="dxa"/>
            <w:shd w:val="clear" w:color="auto" w:fill="EBF1DE"/>
            <w:vAlign w:val="center"/>
          </w:tcPr>
          <w:p w14:paraId="5B3DD9DB">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855" w:type="dxa"/>
            <w:shd w:val="clear" w:color="auto" w:fill="EBF1DE"/>
            <w:vAlign w:val="center"/>
          </w:tcPr>
          <w:p w14:paraId="6EDB9167">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78661D5E">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00819038">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150</w:t>
            </w:r>
          </w:p>
        </w:tc>
        <w:tc>
          <w:tcPr>
            <w:tcW w:w="846" w:type="dxa"/>
            <w:shd w:val="clear" w:color="auto" w:fill="EBF1DE"/>
            <w:vAlign w:val="center"/>
          </w:tcPr>
          <w:p w14:paraId="05866B92">
            <w:pPr>
              <w:spacing w:before="59"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50</w:t>
            </w:r>
          </w:p>
        </w:tc>
        <w:tc>
          <w:tcPr>
            <w:tcW w:w="851" w:type="dxa"/>
            <w:shd w:val="clear" w:color="auto" w:fill="EBF1DE"/>
            <w:vAlign w:val="center"/>
          </w:tcPr>
          <w:p w14:paraId="10D96E80">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0070D4CA">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03A00B01">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2DD2E530">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0EAF1FF9">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F6A3C54">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599952CB">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A0A2A1C">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22FE5163">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1184F4F2">
            <w:pPr>
              <w:spacing w:before="100"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34B5A14F">
            <w:pPr>
              <w:spacing w:before="40"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燃气</w:t>
            </w:r>
          </w:p>
        </w:tc>
      </w:tr>
      <w:tr w14:paraId="2E2AEA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tcPr>
          <w:p w14:paraId="377B0FC1">
            <w:pPr>
              <w:spacing w:before="123"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2</w:t>
            </w:r>
          </w:p>
        </w:tc>
        <w:tc>
          <w:tcPr>
            <w:tcW w:w="1705" w:type="dxa"/>
          </w:tcPr>
          <w:p w14:paraId="07182493">
            <w:pPr>
              <w:spacing w:before="21" w:line="236"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16171-2012</w:t>
            </w:r>
            <w:r>
              <w:rPr>
                <w:rFonts w:hint="eastAsia" w:cs="Calibri" w:asciiTheme="minorEastAsia" w:hAnsiTheme="minorEastAsia"/>
                <w:spacing w:val="2"/>
                <w:sz w:val="18"/>
                <w:szCs w:val="18"/>
              </w:rPr>
              <w:t>《</w:t>
            </w:r>
            <w:r>
              <w:rPr>
                <w:rFonts w:ascii="宋体" w:hAnsi="宋体" w:eastAsia="宋体" w:cs="宋体"/>
                <w:spacing w:val="2"/>
                <w:sz w:val="18"/>
                <w:szCs w:val="18"/>
              </w:rPr>
              <w:t>炼焦化学工业污</w:t>
            </w:r>
            <w:r>
              <w:rPr>
                <w:rFonts w:ascii="宋体" w:hAnsi="宋体" w:eastAsia="宋体" w:cs="宋体"/>
                <w:spacing w:val="3"/>
                <w:sz w:val="18"/>
                <w:szCs w:val="18"/>
              </w:rPr>
              <w:t>染物排放标准</w:t>
            </w:r>
            <w:r>
              <w:rPr>
                <w:rFonts w:hint="eastAsia" w:ascii="宋体" w:hAnsi="宋体" w:eastAsia="宋体" w:cs="宋体"/>
                <w:spacing w:val="3"/>
                <w:sz w:val="18"/>
                <w:szCs w:val="18"/>
              </w:rPr>
              <w:t>》</w:t>
            </w:r>
          </w:p>
        </w:tc>
        <w:tc>
          <w:tcPr>
            <w:tcW w:w="850" w:type="dxa"/>
            <w:shd w:val="clear" w:color="auto" w:fill="EBF1DE"/>
            <w:vAlign w:val="center"/>
          </w:tcPr>
          <w:p w14:paraId="443FDD7D">
            <w:pPr>
              <w:spacing w:before="123" w:line="183"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15</w:t>
            </w:r>
          </w:p>
        </w:tc>
        <w:tc>
          <w:tcPr>
            <w:tcW w:w="855" w:type="dxa"/>
            <w:shd w:val="clear" w:color="auto" w:fill="EBF1DE"/>
            <w:vAlign w:val="center"/>
          </w:tcPr>
          <w:p w14:paraId="6120E631">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462BC137">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17A02589">
            <w:pPr>
              <w:spacing w:before="122"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150</w:t>
            </w:r>
          </w:p>
        </w:tc>
        <w:tc>
          <w:tcPr>
            <w:tcW w:w="846" w:type="dxa"/>
            <w:shd w:val="clear" w:color="auto" w:fill="EBF1DE"/>
            <w:vAlign w:val="center"/>
          </w:tcPr>
          <w:p w14:paraId="75CCC857">
            <w:pPr>
              <w:spacing w:before="122"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1" w:type="dxa"/>
            <w:shd w:val="clear" w:color="auto" w:fill="EBF1DE"/>
            <w:vAlign w:val="center"/>
          </w:tcPr>
          <w:p w14:paraId="4C2EAE10">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35D86A6A">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4A772CBD">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58FC2C65">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5D400172">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7B845BAF">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FBE50A5">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3289E62">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28510AA4">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481204C7">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764E1FE7">
            <w:pPr>
              <w:pStyle w:val="122"/>
              <w:ind w:left="76" w:firstLine="9" w:firstLineChars="5"/>
              <w:jc w:val="center"/>
              <w:rPr>
                <w:sz w:val="18"/>
                <w:szCs w:val="18"/>
              </w:rPr>
            </w:pPr>
          </w:p>
        </w:tc>
      </w:tr>
      <w:tr w14:paraId="6FA9E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tcPr>
          <w:p w14:paraId="3F6FA3F9">
            <w:pPr>
              <w:spacing w:before="123"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3</w:t>
            </w:r>
          </w:p>
        </w:tc>
        <w:tc>
          <w:tcPr>
            <w:tcW w:w="1705" w:type="dxa"/>
          </w:tcPr>
          <w:p w14:paraId="38F25B87">
            <w:pPr>
              <w:spacing w:before="21" w:line="236"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18484-2020</w:t>
            </w:r>
            <w:r>
              <w:rPr>
                <w:rFonts w:hint="eastAsia" w:cs="Calibri" w:asciiTheme="minorEastAsia" w:hAnsiTheme="minorEastAsia"/>
                <w:spacing w:val="2"/>
                <w:sz w:val="18"/>
                <w:szCs w:val="18"/>
              </w:rPr>
              <w:t>《</w:t>
            </w:r>
            <w:r>
              <w:rPr>
                <w:rFonts w:ascii="宋体" w:hAnsi="宋体" w:eastAsia="宋体" w:cs="宋体"/>
                <w:spacing w:val="2"/>
                <w:sz w:val="18"/>
                <w:szCs w:val="18"/>
              </w:rPr>
              <w:t>危险废物焚烧污</w:t>
            </w:r>
            <w:r>
              <w:rPr>
                <w:rFonts w:ascii="宋体" w:hAnsi="宋体" w:eastAsia="宋体" w:cs="宋体"/>
                <w:spacing w:val="3"/>
                <w:sz w:val="18"/>
                <w:szCs w:val="18"/>
              </w:rPr>
              <w:t>染控制标准</w:t>
            </w:r>
            <w:r>
              <w:rPr>
                <w:rFonts w:hint="eastAsia" w:ascii="宋体" w:hAnsi="宋体" w:eastAsia="宋体" w:cs="宋体"/>
                <w:spacing w:val="3"/>
                <w:sz w:val="18"/>
                <w:szCs w:val="18"/>
              </w:rPr>
              <w:t>》</w:t>
            </w:r>
          </w:p>
        </w:tc>
        <w:tc>
          <w:tcPr>
            <w:tcW w:w="850" w:type="dxa"/>
            <w:shd w:val="clear" w:color="auto" w:fill="EBF1DE"/>
            <w:vAlign w:val="center"/>
          </w:tcPr>
          <w:p w14:paraId="44AE1C3D">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30/20</w:t>
            </w:r>
          </w:p>
        </w:tc>
        <w:tc>
          <w:tcPr>
            <w:tcW w:w="855" w:type="dxa"/>
            <w:shd w:val="clear" w:color="auto" w:fill="EBF1DE"/>
            <w:vAlign w:val="center"/>
          </w:tcPr>
          <w:p w14:paraId="667E33F6">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100/80</w:t>
            </w:r>
          </w:p>
        </w:tc>
        <w:tc>
          <w:tcPr>
            <w:tcW w:w="850" w:type="dxa"/>
            <w:shd w:val="clear" w:color="auto" w:fill="EBF1DE"/>
            <w:vAlign w:val="center"/>
          </w:tcPr>
          <w:p w14:paraId="129C6279">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147A8A56">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300/250</w:t>
            </w:r>
          </w:p>
        </w:tc>
        <w:tc>
          <w:tcPr>
            <w:tcW w:w="846" w:type="dxa"/>
            <w:shd w:val="clear" w:color="auto" w:fill="EBF1DE"/>
            <w:vAlign w:val="center"/>
          </w:tcPr>
          <w:p w14:paraId="3C19B892">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100/80</w:t>
            </w:r>
          </w:p>
        </w:tc>
        <w:tc>
          <w:tcPr>
            <w:tcW w:w="851" w:type="dxa"/>
            <w:shd w:val="clear" w:color="auto" w:fill="EBF1DE"/>
            <w:vAlign w:val="center"/>
          </w:tcPr>
          <w:p w14:paraId="41CA7CC6">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40/20</w:t>
            </w:r>
          </w:p>
        </w:tc>
        <w:tc>
          <w:tcPr>
            <w:tcW w:w="850" w:type="dxa"/>
            <w:shd w:val="clear" w:color="auto" w:fill="EBF1DE"/>
            <w:vAlign w:val="center"/>
          </w:tcPr>
          <w:p w14:paraId="10219991">
            <w:pPr>
              <w:spacing w:before="111"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60/50</w:t>
            </w:r>
          </w:p>
        </w:tc>
        <w:tc>
          <w:tcPr>
            <w:tcW w:w="851" w:type="dxa"/>
            <w:shd w:val="clear" w:color="auto" w:fill="EBF1DE"/>
            <w:vAlign w:val="center"/>
          </w:tcPr>
          <w:p w14:paraId="740CF6C9">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3064762E">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916919D">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1DCF1C7">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4342C8B">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409DB4C0">
            <w:pPr>
              <w:spacing w:before="123" w:line="184"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0.05</w:t>
            </w:r>
          </w:p>
        </w:tc>
        <w:tc>
          <w:tcPr>
            <w:tcW w:w="713" w:type="dxa"/>
            <w:shd w:val="clear" w:color="auto" w:fill="DAEEF3"/>
            <w:vAlign w:val="center"/>
          </w:tcPr>
          <w:p w14:paraId="7D2C04EF">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1CC64734">
            <w:pPr>
              <w:spacing w:before="164"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7DA64B76">
            <w:pPr>
              <w:spacing w:before="111" w:line="230" w:lineRule="auto"/>
              <w:ind w:left="76" w:firstLine="9" w:firstLineChars="5"/>
              <w:jc w:val="center"/>
              <w:rPr>
                <w:rFonts w:ascii="Calibri" w:hAnsi="Calibri" w:eastAsia="Calibri" w:cs="Calibri"/>
                <w:sz w:val="18"/>
                <w:szCs w:val="18"/>
              </w:rPr>
            </w:pPr>
          </w:p>
        </w:tc>
      </w:tr>
      <w:tr w14:paraId="2F8D7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jc w:val="center"/>
        </w:trPr>
        <w:tc>
          <w:tcPr>
            <w:tcW w:w="564" w:type="dxa"/>
            <w:vMerge w:val="restart"/>
            <w:tcBorders>
              <w:bottom w:val="nil"/>
            </w:tcBorders>
          </w:tcPr>
          <w:p w14:paraId="646422C4">
            <w:pPr>
              <w:spacing w:before="245" w:line="183" w:lineRule="auto"/>
              <w:ind w:left="76" w:firstLine="9" w:firstLineChars="5"/>
              <w:jc w:val="center"/>
              <w:rPr>
                <w:rFonts w:ascii="Calibri" w:hAnsi="Calibri" w:eastAsia="Calibri" w:cs="Calibri"/>
                <w:sz w:val="18"/>
                <w:szCs w:val="18"/>
              </w:rPr>
            </w:pPr>
            <w:r>
              <w:rPr>
                <w:rFonts w:ascii="Calibri" w:hAnsi="Calibri" w:eastAsia="Calibri" w:cs="Calibri"/>
                <w:sz w:val="18"/>
                <w:szCs w:val="18"/>
              </w:rPr>
              <w:t>4</w:t>
            </w:r>
          </w:p>
        </w:tc>
        <w:tc>
          <w:tcPr>
            <w:tcW w:w="1705" w:type="dxa"/>
            <w:vMerge w:val="restart"/>
            <w:tcBorders>
              <w:bottom w:val="nil"/>
            </w:tcBorders>
          </w:tcPr>
          <w:p w14:paraId="70969FED">
            <w:pPr>
              <w:spacing w:before="150" w:line="253"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13223-2011</w:t>
            </w:r>
            <w:r>
              <w:rPr>
                <w:rFonts w:hint="eastAsia" w:cs="Calibri" w:asciiTheme="minorEastAsia" w:hAnsiTheme="minorEastAsia"/>
                <w:spacing w:val="2"/>
                <w:sz w:val="18"/>
                <w:szCs w:val="18"/>
              </w:rPr>
              <w:t>《</w:t>
            </w:r>
            <w:r>
              <w:rPr>
                <w:rFonts w:ascii="宋体" w:hAnsi="宋体" w:eastAsia="宋体" w:cs="宋体"/>
                <w:spacing w:val="2"/>
                <w:sz w:val="18"/>
                <w:szCs w:val="18"/>
              </w:rPr>
              <w:t>火电厂大气污染</w:t>
            </w:r>
            <w:r>
              <w:rPr>
                <w:rFonts w:ascii="宋体" w:hAnsi="宋体" w:eastAsia="宋体" w:cs="宋体"/>
                <w:spacing w:val="3"/>
                <w:sz w:val="18"/>
                <w:szCs w:val="18"/>
              </w:rPr>
              <w:t>物排放标准</w:t>
            </w:r>
            <w:r>
              <w:rPr>
                <w:rFonts w:hint="eastAsia" w:ascii="宋体" w:hAnsi="宋体" w:eastAsia="宋体" w:cs="宋体"/>
                <w:spacing w:val="3"/>
                <w:sz w:val="18"/>
                <w:szCs w:val="18"/>
              </w:rPr>
              <w:t>》</w:t>
            </w:r>
          </w:p>
        </w:tc>
        <w:tc>
          <w:tcPr>
            <w:tcW w:w="850" w:type="dxa"/>
            <w:shd w:val="clear" w:color="auto" w:fill="EBF1DE"/>
            <w:vAlign w:val="center"/>
          </w:tcPr>
          <w:p w14:paraId="5D82486C">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855" w:type="dxa"/>
            <w:shd w:val="clear" w:color="auto" w:fill="EBF1DE"/>
            <w:vAlign w:val="center"/>
          </w:tcPr>
          <w:p w14:paraId="6A2144DA">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195B556F">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5FE94EED">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100</w:t>
            </w:r>
          </w:p>
        </w:tc>
        <w:tc>
          <w:tcPr>
            <w:tcW w:w="846" w:type="dxa"/>
            <w:shd w:val="clear" w:color="auto" w:fill="EBF1DE"/>
            <w:vAlign w:val="center"/>
          </w:tcPr>
          <w:p w14:paraId="1485BE81">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50</w:t>
            </w:r>
          </w:p>
        </w:tc>
        <w:tc>
          <w:tcPr>
            <w:tcW w:w="851" w:type="dxa"/>
            <w:shd w:val="clear" w:color="auto" w:fill="EBF1DE"/>
            <w:vAlign w:val="center"/>
          </w:tcPr>
          <w:p w14:paraId="69EA1D9F">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557F56E5">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11356BE2">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497864AA">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2ABAA400">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55327076">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0B113E41">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2F8DFFDB">
            <w:pPr>
              <w:spacing w:before="60" w:line="184"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0.03</w:t>
            </w:r>
          </w:p>
        </w:tc>
        <w:tc>
          <w:tcPr>
            <w:tcW w:w="713" w:type="dxa"/>
            <w:shd w:val="clear" w:color="auto" w:fill="DAEEF3"/>
            <w:vAlign w:val="center"/>
          </w:tcPr>
          <w:p w14:paraId="759D4FE5">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2F0EEE24">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6AD2AEEC">
            <w:pPr>
              <w:spacing w:before="41" w:line="226"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燃煤</w:t>
            </w:r>
          </w:p>
        </w:tc>
      </w:tr>
      <w:tr w14:paraId="0F324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jc w:val="center"/>
        </w:trPr>
        <w:tc>
          <w:tcPr>
            <w:tcW w:w="564" w:type="dxa"/>
            <w:vMerge w:val="continue"/>
            <w:tcBorders>
              <w:top w:val="nil"/>
              <w:bottom w:val="nil"/>
            </w:tcBorders>
          </w:tcPr>
          <w:p w14:paraId="612A0148">
            <w:pPr>
              <w:pStyle w:val="122"/>
              <w:ind w:left="76" w:firstLine="9" w:firstLineChars="5"/>
              <w:jc w:val="center"/>
              <w:rPr>
                <w:sz w:val="18"/>
                <w:szCs w:val="18"/>
              </w:rPr>
            </w:pPr>
          </w:p>
        </w:tc>
        <w:tc>
          <w:tcPr>
            <w:tcW w:w="1705" w:type="dxa"/>
            <w:vMerge w:val="continue"/>
            <w:tcBorders>
              <w:top w:val="nil"/>
              <w:bottom w:val="nil"/>
            </w:tcBorders>
          </w:tcPr>
          <w:p w14:paraId="23800BB6">
            <w:pPr>
              <w:pStyle w:val="122"/>
              <w:ind w:left="76" w:firstLine="9" w:firstLineChars="5"/>
              <w:rPr>
                <w:sz w:val="18"/>
                <w:szCs w:val="18"/>
              </w:rPr>
            </w:pPr>
          </w:p>
        </w:tc>
        <w:tc>
          <w:tcPr>
            <w:tcW w:w="850" w:type="dxa"/>
            <w:shd w:val="clear" w:color="auto" w:fill="EBF1DE"/>
            <w:vAlign w:val="center"/>
          </w:tcPr>
          <w:p w14:paraId="024E15D2">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855" w:type="dxa"/>
            <w:shd w:val="clear" w:color="auto" w:fill="EBF1DE"/>
            <w:vAlign w:val="center"/>
          </w:tcPr>
          <w:p w14:paraId="08A7BE75">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26424595">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57741CA4">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120</w:t>
            </w:r>
          </w:p>
        </w:tc>
        <w:tc>
          <w:tcPr>
            <w:tcW w:w="846" w:type="dxa"/>
            <w:shd w:val="clear" w:color="auto" w:fill="EBF1DE"/>
            <w:vAlign w:val="center"/>
          </w:tcPr>
          <w:p w14:paraId="1C7BA106">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50</w:t>
            </w:r>
          </w:p>
        </w:tc>
        <w:tc>
          <w:tcPr>
            <w:tcW w:w="851" w:type="dxa"/>
            <w:shd w:val="clear" w:color="auto" w:fill="EBF1DE"/>
            <w:vAlign w:val="center"/>
          </w:tcPr>
          <w:p w14:paraId="4DDD3274">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39E56CB9">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3188D438">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942281B">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2A0983C1">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4A1044D3">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D2D37F4">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7AC87BA8">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783CCB26">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4F4A5908">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724654DB">
            <w:pPr>
              <w:spacing w:before="41" w:line="225"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燃油</w:t>
            </w:r>
          </w:p>
        </w:tc>
      </w:tr>
      <w:tr w14:paraId="1D956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jc w:val="center"/>
        </w:trPr>
        <w:tc>
          <w:tcPr>
            <w:tcW w:w="564" w:type="dxa"/>
            <w:vMerge w:val="continue"/>
            <w:tcBorders>
              <w:top w:val="nil"/>
            </w:tcBorders>
          </w:tcPr>
          <w:p w14:paraId="167329CC">
            <w:pPr>
              <w:pStyle w:val="122"/>
              <w:ind w:left="76" w:firstLine="9" w:firstLineChars="5"/>
              <w:jc w:val="center"/>
              <w:rPr>
                <w:sz w:val="18"/>
                <w:szCs w:val="18"/>
              </w:rPr>
            </w:pPr>
          </w:p>
        </w:tc>
        <w:tc>
          <w:tcPr>
            <w:tcW w:w="1705" w:type="dxa"/>
            <w:vMerge w:val="continue"/>
            <w:tcBorders>
              <w:top w:val="nil"/>
            </w:tcBorders>
          </w:tcPr>
          <w:p w14:paraId="5B173932">
            <w:pPr>
              <w:pStyle w:val="122"/>
              <w:ind w:left="76" w:firstLine="9" w:firstLineChars="5"/>
              <w:rPr>
                <w:sz w:val="18"/>
                <w:szCs w:val="18"/>
              </w:rPr>
            </w:pPr>
          </w:p>
        </w:tc>
        <w:tc>
          <w:tcPr>
            <w:tcW w:w="850" w:type="dxa"/>
            <w:shd w:val="clear" w:color="auto" w:fill="EBF1DE"/>
            <w:vAlign w:val="center"/>
          </w:tcPr>
          <w:p w14:paraId="24FA14F3">
            <w:pPr>
              <w:spacing w:before="61"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5</w:t>
            </w:r>
          </w:p>
        </w:tc>
        <w:tc>
          <w:tcPr>
            <w:tcW w:w="855" w:type="dxa"/>
            <w:shd w:val="clear" w:color="auto" w:fill="EBF1DE"/>
            <w:vAlign w:val="center"/>
          </w:tcPr>
          <w:p w14:paraId="29026354">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5BA95811">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0AA47A1E">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50</w:t>
            </w:r>
          </w:p>
        </w:tc>
        <w:tc>
          <w:tcPr>
            <w:tcW w:w="846" w:type="dxa"/>
            <w:shd w:val="clear" w:color="auto" w:fill="EBF1DE"/>
            <w:vAlign w:val="center"/>
          </w:tcPr>
          <w:p w14:paraId="62ED80A0">
            <w:pPr>
              <w:spacing w:before="60"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35</w:t>
            </w:r>
          </w:p>
        </w:tc>
        <w:tc>
          <w:tcPr>
            <w:tcW w:w="851" w:type="dxa"/>
            <w:shd w:val="clear" w:color="auto" w:fill="EBF1DE"/>
            <w:vAlign w:val="center"/>
          </w:tcPr>
          <w:p w14:paraId="4C6C6F03">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76EBADB6">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4A742756">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515F0C5">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5C2B04D">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8F241AD">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30CE8388">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7D98D1A4">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6AAF8D97">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6BD7D45C">
            <w:pPr>
              <w:spacing w:before="101"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51FACCF3">
            <w:pPr>
              <w:spacing w:before="41" w:line="225"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燃气</w:t>
            </w:r>
          </w:p>
        </w:tc>
      </w:tr>
      <w:tr w14:paraId="0968E3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vMerge w:val="restart"/>
          </w:tcPr>
          <w:p w14:paraId="11E7012E">
            <w:pPr>
              <w:spacing w:before="125" w:line="182" w:lineRule="auto"/>
              <w:ind w:left="76" w:firstLine="9" w:firstLineChars="5"/>
              <w:jc w:val="center"/>
              <w:rPr>
                <w:rFonts w:ascii="Calibri" w:hAnsi="Calibri" w:cs="Calibri"/>
                <w:sz w:val="18"/>
                <w:szCs w:val="18"/>
              </w:rPr>
            </w:pPr>
            <w:r>
              <w:rPr>
                <w:rFonts w:hint="eastAsia" w:ascii="Calibri" w:hAnsi="Calibri" w:cs="Calibri"/>
                <w:sz w:val="18"/>
                <w:szCs w:val="18"/>
              </w:rPr>
              <w:t>5</w:t>
            </w:r>
          </w:p>
        </w:tc>
        <w:tc>
          <w:tcPr>
            <w:tcW w:w="1705" w:type="dxa"/>
            <w:vMerge w:val="restart"/>
          </w:tcPr>
          <w:p w14:paraId="6624F9AE">
            <w:pPr>
              <w:spacing w:before="22" w:line="235" w:lineRule="auto"/>
              <w:ind w:left="76" w:right="91" w:firstLine="9" w:firstLineChars="5"/>
              <w:rPr>
                <w:rFonts w:ascii="Calibri" w:hAnsi="Calibri" w:cs="Calibri"/>
                <w:sz w:val="18"/>
                <w:szCs w:val="18"/>
              </w:rPr>
            </w:pPr>
            <w:r>
              <w:rPr>
                <w:rFonts w:hint="eastAsia" w:ascii="Calibri" w:hAnsi="Calibri" w:eastAsia="Calibri" w:cs="Calibri"/>
                <w:sz w:val="18"/>
                <w:szCs w:val="18"/>
              </w:rPr>
              <w:t>G</w:t>
            </w:r>
            <w:r>
              <w:rPr>
                <w:rFonts w:ascii="Calibri" w:hAnsi="Calibri" w:eastAsia="Calibri" w:cs="Calibri"/>
                <w:sz w:val="18"/>
                <w:szCs w:val="18"/>
              </w:rPr>
              <w:t>B 31570-2015</w:t>
            </w:r>
            <w:r>
              <w:rPr>
                <w:rFonts w:hint="eastAsia" w:cs="Calibri" w:asciiTheme="minorEastAsia" w:hAnsiTheme="minorEastAsia"/>
                <w:sz w:val="18"/>
                <w:szCs w:val="18"/>
              </w:rPr>
              <w:t>《</w:t>
            </w:r>
            <w:r>
              <w:rPr>
                <w:rFonts w:hint="eastAsia" w:ascii="Calibri" w:hAnsi="Calibri" w:eastAsia="Calibri" w:cs="Calibri"/>
                <w:sz w:val="18"/>
                <w:szCs w:val="18"/>
              </w:rPr>
              <w:t>石油炼制工业污染物排放标准</w:t>
            </w:r>
            <w:r>
              <w:rPr>
                <w:rFonts w:hint="eastAsia" w:cs="Calibri" w:asciiTheme="minorEastAsia" w:hAnsiTheme="minorEastAsia"/>
                <w:sz w:val="18"/>
                <w:szCs w:val="18"/>
              </w:rPr>
              <w:t>》</w:t>
            </w:r>
          </w:p>
        </w:tc>
        <w:tc>
          <w:tcPr>
            <w:tcW w:w="850" w:type="dxa"/>
            <w:shd w:val="clear" w:color="auto" w:fill="EBF1DE"/>
          </w:tcPr>
          <w:p w14:paraId="338B7C5A">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20/50</w:t>
            </w:r>
          </w:p>
        </w:tc>
        <w:tc>
          <w:tcPr>
            <w:tcW w:w="855" w:type="dxa"/>
            <w:shd w:val="clear" w:color="auto" w:fill="EBF1DE"/>
          </w:tcPr>
          <w:p w14:paraId="092E5101">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850" w:type="dxa"/>
            <w:shd w:val="clear" w:color="auto" w:fill="EBF1DE"/>
          </w:tcPr>
          <w:p w14:paraId="50E651B4">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851" w:type="dxa"/>
            <w:shd w:val="clear" w:color="auto" w:fill="EBF1DE"/>
          </w:tcPr>
          <w:p w14:paraId="2ED94507">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150/180/200</w:t>
            </w:r>
          </w:p>
        </w:tc>
        <w:tc>
          <w:tcPr>
            <w:tcW w:w="846" w:type="dxa"/>
            <w:shd w:val="clear" w:color="auto" w:fill="EBF1DE"/>
          </w:tcPr>
          <w:p w14:paraId="6039E0D4">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100/400</w:t>
            </w:r>
          </w:p>
        </w:tc>
        <w:tc>
          <w:tcPr>
            <w:tcW w:w="851" w:type="dxa"/>
            <w:shd w:val="clear" w:color="auto" w:fill="EBF1DE"/>
          </w:tcPr>
          <w:p w14:paraId="27730334">
            <w:pPr>
              <w:spacing w:before="125" w:line="182"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850" w:type="dxa"/>
            <w:shd w:val="clear" w:color="auto" w:fill="EBF1DE"/>
          </w:tcPr>
          <w:p w14:paraId="024EA1BC">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30</w:t>
            </w:r>
          </w:p>
        </w:tc>
        <w:tc>
          <w:tcPr>
            <w:tcW w:w="851" w:type="dxa"/>
            <w:shd w:val="clear" w:color="auto" w:fill="EBF1DE"/>
          </w:tcPr>
          <w:p w14:paraId="1D9F537C">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60/120/效率≥95%</w:t>
            </w:r>
          </w:p>
        </w:tc>
        <w:tc>
          <w:tcPr>
            <w:tcW w:w="850" w:type="dxa"/>
            <w:shd w:val="clear" w:color="auto" w:fill="DAEEF3"/>
          </w:tcPr>
          <w:p w14:paraId="045279A5">
            <w:pPr>
              <w:spacing w:before="112" w:line="230"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4/15/20</w:t>
            </w:r>
          </w:p>
        </w:tc>
        <w:tc>
          <w:tcPr>
            <w:tcW w:w="709" w:type="dxa"/>
            <w:shd w:val="clear" w:color="auto" w:fill="DAEEF3"/>
          </w:tcPr>
          <w:p w14:paraId="6B115EE5">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709" w:type="dxa"/>
            <w:shd w:val="clear" w:color="auto" w:fill="DAEEF3"/>
          </w:tcPr>
          <w:p w14:paraId="14725AA0">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709" w:type="dxa"/>
            <w:shd w:val="clear" w:color="auto" w:fill="DAEEF3"/>
          </w:tcPr>
          <w:p w14:paraId="020B611A">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30</w:t>
            </w:r>
          </w:p>
        </w:tc>
        <w:tc>
          <w:tcPr>
            <w:tcW w:w="850" w:type="dxa"/>
            <w:shd w:val="clear" w:color="auto" w:fill="DAEEF3"/>
          </w:tcPr>
          <w:p w14:paraId="0998E609">
            <w:pPr>
              <w:spacing w:before="165" w:line="61" w:lineRule="exact"/>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713" w:type="dxa"/>
            <w:shd w:val="clear" w:color="auto" w:fill="DAEEF3"/>
          </w:tcPr>
          <w:p w14:paraId="49BD949A">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708" w:type="dxa"/>
            <w:shd w:val="clear" w:color="auto" w:fill="DAEEF3"/>
          </w:tcPr>
          <w:p w14:paraId="08FAC4A9">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w:t>
            </w:r>
          </w:p>
        </w:tc>
        <w:tc>
          <w:tcPr>
            <w:tcW w:w="993" w:type="dxa"/>
          </w:tcPr>
          <w:p w14:paraId="17574118">
            <w:pPr>
              <w:pStyle w:val="122"/>
              <w:ind w:left="76" w:firstLine="10" w:firstLineChars="5"/>
              <w:rPr>
                <w:sz w:val="18"/>
                <w:szCs w:val="18"/>
                <w:lang w:eastAsia="zh-CN"/>
              </w:rPr>
            </w:pPr>
            <w:r>
              <w:rPr>
                <w:rFonts w:hint="eastAsia"/>
              </w:rPr>
              <w:t>排放限制</w:t>
            </w:r>
          </w:p>
        </w:tc>
      </w:tr>
      <w:tr w14:paraId="724336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vMerge w:val="continue"/>
          </w:tcPr>
          <w:p w14:paraId="34AFD8E8">
            <w:pPr>
              <w:spacing w:before="125" w:line="182" w:lineRule="auto"/>
              <w:ind w:left="76" w:firstLine="9" w:firstLineChars="5"/>
              <w:jc w:val="center"/>
              <w:rPr>
                <w:rFonts w:ascii="Calibri" w:hAnsi="Calibri" w:eastAsia="Calibri" w:cs="Calibri"/>
                <w:sz w:val="18"/>
                <w:szCs w:val="18"/>
              </w:rPr>
            </w:pPr>
          </w:p>
        </w:tc>
        <w:tc>
          <w:tcPr>
            <w:tcW w:w="1705" w:type="dxa"/>
            <w:vMerge w:val="continue"/>
          </w:tcPr>
          <w:p w14:paraId="592113A5">
            <w:pPr>
              <w:spacing w:before="22" w:line="235" w:lineRule="auto"/>
              <w:ind w:left="76" w:right="91" w:firstLine="9" w:firstLineChars="5"/>
              <w:rPr>
                <w:rFonts w:ascii="Calibri" w:hAnsi="Calibri" w:eastAsia="Calibri" w:cs="Calibri"/>
                <w:sz w:val="18"/>
                <w:szCs w:val="18"/>
              </w:rPr>
            </w:pPr>
          </w:p>
        </w:tc>
        <w:tc>
          <w:tcPr>
            <w:tcW w:w="850" w:type="dxa"/>
            <w:shd w:val="clear" w:color="auto" w:fill="EBF1DE"/>
            <w:vAlign w:val="center"/>
          </w:tcPr>
          <w:p w14:paraId="64FB9933">
            <w:pPr>
              <w:spacing w:before="124" w:line="184" w:lineRule="auto"/>
              <w:ind w:left="76" w:firstLine="8" w:firstLineChars="5"/>
              <w:jc w:val="center"/>
              <w:rPr>
                <w:rFonts w:ascii="Calibri" w:hAnsi="Calibri" w:cs="Calibri"/>
                <w:spacing w:val="-1"/>
                <w:sz w:val="18"/>
                <w:szCs w:val="18"/>
              </w:rPr>
            </w:pPr>
            <w:r>
              <w:rPr>
                <w:rFonts w:hint="eastAsia" w:ascii="Calibri" w:hAnsi="Calibri" w:cs="Calibri"/>
                <w:spacing w:val="-1"/>
                <w:sz w:val="18"/>
                <w:szCs w:val="18"/>
              </w:rPr>
              <w:t>20/30</w:t>
            </w:r>
          </w:p>
        </w:tc>
        <w:tc>
          <w:tcPr>
            <w:tcW w:w="855" w:type="dxa"/>
            <w:shd w:val="clear" w:color="auto" w:fill="EBF1DE"/>
            <w:vAlign w:val="center"/>
          </w:tcPr>
          <w:p w14:paraId="233127D3">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EBF1DE"/>
            <w:vAlign w:val="center"/>
          </w:tcPr>
          <w:p w14:paraId="2FD18B84">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1" w:type="dxa"/>
            <w:shd w:val="clear" w:color="auto" w:fill="EBF1DE"/>
            <w:vAlign w:val="center"/>
          </w:tcPr>
          <w:p w14:paraId="14E213D5">
            <w:pPr>
              <w:spacing w:before="124" w:line="184" w:lineRule="auto"/>
              <w:ind w:left="76" w:firstLine="8" w:firstLineChars="5"/>
              <w:jc w:val="center"/>
              <w:rPr>
                <w:rFonts w:ascii="Calibri" w:hAnsi="Calibri" w:eastAsia="Calibri" w:cs="Calibri"/>
                <w:spacing w:val="-1"/>
                <w:sz w:val="18"/>
                <w:szCs w:val="18"/>
              </w:rPr>
            </w:pPr>
            <w:r>
              <w:rPr>
                <w:rFonts w:hint="eastAsia" w:ascii="Calibri" w:hAnsi="Calibri" w:cs="Calibri"/>
                <w:spacing w:val="-1"/>
                <w:sz w:val="18"/>
                <w:szCs w:val="18"/>
              </w:rPr>
              <w:t>100</w:t>
            </w:r>
          </w:p>
        </w:tc>
        <w:tc>
          <w:tcPr>
            <w:tcW w:w="846" w:type="dxa"/>
            <w:shd w:val="clear" w:color="auto" w:fill="EBF1DE"/>
            <w:vAlign w:val="center"/>
          </w:tcPr>
          <w:p w14:paraId="401F93CB">
            <w:pPr>
              <w:spacing w:before="124" w:line="184" w:lineRule="auto"/>
              <w:ind w:left="76" w:firstLine="8" w:firstLineChars="5"/>
              <w:jc w:val="center"/>
              <w:rPr>
                <w:rFonts w:ascii="Calibri" w:hAnsi="Calibri" w:eastAsia="Calibri" w:cs="Calibri"/>
                <w:spacing w:val="-1"/>
                <w:sz w:val="18"/>
                <w:szCs w:val="18"/>
              </w:rPr>
            </w:pPr>
            <w:r>
              <w:rPr>
                <w:rFonts w:hint="eastAsia" w:ascii="Calibri" w:hAnsi="Calibri" w:cs="Calibri"/>
                <w:spacing w:val="-1"/>
                <w:sz w:val="18"/>
                <w:szCs w:val="18"/>
              </w:rPr>
              <w:t>50/100</w:t>
            </w:r>
          </w:p>
        </w:tc>
        <w:tc>
          <w:tcPr>
            <w:tcW w:w="851" w:type="dxa"/>
            <w:shd w:val="clear" w:color="auto" w:fill="EBF1DE"/>
            <w:vAlign w:val="center"/>
          </w:tcPr>
          <w:p w14:paraId="16759C2E">
            <w:pPr>
              <w:spacing w:before="125" w:line="182" w:lineRule="auto"/>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38F5447D">
            <w:pPr>
              <w:spacing w:before="124" w:line="184" w:lineRule="auto"/>
              <w:ind w:left="76" w:firstLine="8" w:firstLineChars="5"/>
              <w:jc w:val="center"/>
              <w:rPr>
                <w:rFonts w:ascii="Calibri" w:hAnsi="Calibri" w:eastAsia="Calibri" w:cs="Calibri"/>
                <w:spacing w:val="-1"/>
                <w:sz w:val="18"/>
                <w:szCs w:val="18"/>
              </w:rPr>
            </w:pPr>
            <w:r>
              <w:rPr>
                <w:rFonts w:hint="eastAsia" w:ascii="Calibri" w:hAnsi="Calibri" w:cs="Calibri"/>
                <w:spacing w:val="-1"/>
                <w:sz w:val="18"/>
                <w:szCs w:val="18"/>
              </w:rPr>
              <w:t>10</w:t>
            </w:r>
          </w:p>
        </w:tc>
        <w:tc>
          <w:tcPr>
            <w:tcW w:w="851" w:type="dxa"/>
            <w:shd w:val="clear" w:color="auto" w:fill="EBF1DE"/>
            <w:vAlign w:val="center"/>
          </w:tcPr>
          <w:p w14:paraId="34513698">
            <w:pPr>
              <w:spacing w:before="124" w:line="184" w:lineRule="auto"/>
              <w:ind w:left="76" w:firstLine="8" w:firstLineChars="5"/>
              <w:jc w:val="center"/>
              <w:rPr>
                <w:rFonts w:ascii="Calibri" w:hAnsi="Calibri" w:eastAsia="Calibri" w:cs="Calibri"/>
                <w:spacing w:val="-1"/>
                <w:sz w:val="18"/>
                <w:szCs w:val="18"/>
              </w:rPr>
            </w:pPr>
            <w:r>
              <w:rPr>
                <w:rFonts w:hint="eastAsia" w:ascii="Calibri" w:hAnsi="Calibri" w:cs="Calibri"/>
                <w:spacing w:val="-1"/>
                <w:sz w:val="18"/>
                <w:szCs w:val="18"/>
              </w:rPr>
              <w:t>30/120/效率≥97%</w:t>
            </w:r>
          </w:p>
        </w:tc>
        <w:tc>
          <w:tcPr>
            <w:tcW w:w="850" w:type="dxa"/>
            <w:shd w:val="clear" w:color="auto" w:fill="DAEEF3"/>
            <w:vAlign w:val="center"/>
          </w:tcPr>
          <w:p w14:paraId="2AA82E20">
            <w:pPr>
              <w:spacing w:before="112" w:line="230" w:lineRule="auto"/>
              <w:ind w:left="76" w:firstLine="9" w:firstLineChars="5"/>
              <w:jc w:val="center"/>
              <w:rPr>
                <w:rFonts w:ascii="Calibri" w:hAnsi="Calibri" w:eastAsia="Calibri" w:cs="Calibri"/>
                <w:spacing w:val="1"/>
                <w:sz w:val="18"/>
                <w:szCs w:val="18"/>
              </w:rPr>
            </w:pPr>
            <w:r>
              <w:rPr>
                <w:rFonts w:hint="eastAsia" w:ascii="Calibri" w:hAnsi="Calibri" w:cs="Calibri"/>
                <w:spacing w:val="1"/>
                <w:sz w:val="18"/>
                <w:szCs w:val="18"/>
              </w:rPr>
              <w:t>4/15/20</w:t>
            </w:r>
          </w:p>
        </w:tc>
        <w:tc>
          <w:tcPr>
            <w:tcW w:w="709" w:type="dxa"/>
            <w:shd w:val="clear" w:color="auto" w:fill="DAEEF3"/>
            <w:vAlign w:val="center"/>
          </w:tcPr>
          <w:p w14:paraId="10FE515A">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sz w:val="18"/>
                <w:szCs w:val="18"/>
              </w:rPr>
              <w:t>-</w:t>
            </w:r>
          </w:p>
        </w:tc>
        <w:tc>
          <w:tcPr>
            <w:tcW w:w="709" w:type="dxa"/>
            <w:shd w:val="clear" w:color="auto" w:fill="DAEEF3"/>
            <w:vAlign w:val="center"/>
          </w:tcPr>
          <w:p w14:paraId="0783A75D">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sz w:val="18"/>
                <w:szCs w:val="18"/>
              </w:rPr>
              <w:t>-</w:t>
            </w:r>
          </w:p>
        </w:tc>
        <w:tc>
          <w:tcPr>
            <w:tcW w:w="709" w:type="dxa"/>
            <w:shd w:val="clear" w:color="auto" w:fill="DAEEF3"/>
            <w:vAlign w:val="center"/>
          </w:tcPr>
          <w:p w14:paraId="60B86111">
            <w:pPr>
              <w:spacing w:before="165" w:line="61" w:lineRule="exact"/>
              <w:ind w:left="76" w:firstLine="9" w:firstLineChars="5"/>
              <w:jc w:val="center"/>
              <w:rPr>
                <w:rFonts w:ascii="Calibri" w:hAnsi="Calibri" w:eastAsia="Calibri" w:cs="Calibri"/>
                <w:position w:val="-1"/>
                <w:sz w:val="18"/>
                <w:szCs w:val="18"/>
              </w:rPr>
            </w:pPr>
            <w:r>
              <w:rPr>
                <w:rFonts w:hint="eastAsia" w:ascii="Calibri" w:hAnsi="Calibri" w:cs="Calibri"/>
                <w:position w:val="-1"/>
                <w:sz w:val="18"/>
                <w:szCs w:val="18"/>
              </w:rPr>
              <w:t>5</w:t>
            </w:r>
          </w:p>
        </w:tc>
        <w:tc>
          <w:tcPr>
            <w:tcW w:w="850" w:type="dxa"/>
            <w:shd w:val="clear" w:color="auto" w:fill="DAEEF3"/>
            <w:vAlign w:val="center"/>
          </w:tcPr>
          <w:p w14:paraId="1C70B18E">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sz w:val="18"/>
                <w:szCs w:val="18"/>
              </w:rPr>
              <w:t>-</w:t>
            </w:r>
          </w:p>
        </w:tc>
        <w:tc>
          <w:tcPr>
            <w:tcW w:w="713" w:type="dxa"/>
            <w:shd w:val="clear" w:color="auto" w:fill="DAEEF3"/>
            <w:vAlign w:val="center"/>
          </w:tcPr>
          <w:p w14:paraId="2A58490A">
            <w:pPr>
              <w:spacing w:before="124" w:line="184" w:lineRule="auto"/>
              <w:ind w:left="76" w:firstLine="9" w:firstLineChars="5"/>
              <w:jc w:val="center"/>
              <w:rPr>
                <w:rFonts w:ascii="Calibri" w:hAnsi="Calibri" w:eastAsia="Calibri" w:cs="Calibri"/>
                <w:spacing w:val="-2"/>
                <w:sz w:val="18"/>
                <w:szCs w:val="18"/>
              </w:rPr>
            </w:pPr>
            <w:r>
              <w:rPr>
                <w:rFonts w:ascii="Calibri" w:hAnsi="Calibri" w:eastAsia="Calibri" w:cs="Calibri"/>
                <w:sz w:val="18"/>
                <w:szCs w:val="18"/>
              </w:rPr>
              <w:t>-</w:t>
            </w:r>
          </w:p>
        </w:tc>
        <w:tc>
          <w:tcPr>
            <w:tcW w:w="708" w:type="dxa"/>
            <w:shd w:val="clear" w:color="auto" w:fill="DAEEF3"/>
            <w:vAlign w:val="center"/>
          </w:tcPr>
          <w:p w14:paraId="17F6BDCE">
            <w:pPr>
              <w:spacing w:before="124" w:line="184" w:lineRule="auto"/>
              <w:ind w:left="76" w:firstLine="9" w:firstLineChars="5"/>
              <w:jc w:val="center"/>
              <w:rPr>
                <w:rFonts w:ascii="Calibri" w:hAnsi="Calibri" w:eastAsia="Calibri" w:cs="Calibri"/>
                <w:spacing w:val="-1"/>
                <w:sz w:val="18"/>
                <w:szCs w:val="18"/>
              </w:rPr>
            </w:pPr>
            <w:r>
              <w:rPr>
                <w:rFonts w:ascii="Calibri" w:hAnsi="Calibri" w:eastAsia="Calibri" w:cs="Calibri"/>
                <w:sz w:val="18"/>
                <w:szCs w:val="18"/>
              </w:rPr>
              <w:t>-</w:t>
            </w:r>
          </w:p>
        </w:tc>
        <w:tc>
          <w:tcPr>
            <w:tcW w:w="993" w:type="dxa"/>
            <w:vAlign w:val="center"/>
          </w:tcPr>
          <w:p w14:paraId="6FDC5203">
            <w:pPr>
              <w:pStyle w:val="122"/>
              <w:ind w:left="76" w:firstLine="9" w:firstLineChars="5"/>
              <w:rPr>
                <w:sz w:val="18"/>
                <w:szCs w:val="18"/>
                <w:lang w:eastAsia="zh-CN"/>
              </w:rPr>
            </w:pPr>
            <w:r>
              <w:rPr>
                <w:rFonts w:hint="eastAsia" w:eastAsiaTheme="minorEastAsia"/>
                <w:sz w:val="18"/>
                <w:szCs w:val="18"/>
                <w:lang w:eastAsia="zh-CN"/>
              </w:rPr>
              <w:t>特别排放限制</w:t>
            </w:r>
          </w:p>
        </w:tc>
      </w:tr>
      <w:tr w14:paraId="512AE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vMerge w:val="restart"/>
          </w:tcPr>
          <w:p w14:paraId="077B263A">
            <w:pPr>
              <w:spacing w:before="125"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6</w:t>
            </w:r>
          </w:p>
        </w:tc>
        <w:tc>
          <w:tcPr>
            <w:tcW w:w="1705" w:type="dxa"/>
            <w:vMerge w:val="restart"/>
          </w:tcPr>
          <w:p w14:paraId="1A7641AF">
            <w:pPr>
              <w:spacing w:before="22" w:line="235"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31571-2015</w:t>
            </w:r>
            <w:r>
              <w:rPr>
                <w:rFonts w:hint="eastAsia" w:cs="Calibri" w:asciiTheme="minorEastAsia" w:hAnsiTheme="minorEastAsia"/>
                <w:spacing w:val="2"/>
                <w:sz w:val="18"/>
                <w:szCs w:val="18"/>
              </w:rPr>
              <w:t>《</w:t>
            </w:r>
            <w:r>
              <w:rPr>
                <w:rFonts w:ascii="宋体" w:hAnsi="宋体" w:eastAsia="宋体" w:cs="宋体"/>
                <w:spacing w:val="2"/>
                <w:sz w:val="18"/>
                <w:szCs w:val="18"/>
              </w:rPr>
              <w:t>石油化学工业污</w:t>
            </w:r>
            <w:r>
              <w:rPr>
                <w:rFonts w:ascii="宋体" w:hAnsi="宋体" w:eastAsia="宋体" w:cs="宋体"/>
                <w:spacing w:val="3"/>
                <w:sz w:val="18"/>
                <w:szCs w:val="18"/>
              </w:rPr>
              <w:t>染物排放标准</w:t>
            </w:r>
            <w:r>
              <w:rPr>
                <w:rFonts w:hint="eastAsia" w:ascii="宋体" w:hAnsi="宋体" w:eastAsia="宋体" w:cs="宋体"/>
                <w:spacing w:val="3"/>
                <w:sz w:val="18"/>
                <w:szCs w:val="18"/>
              </w:rPr>
              <w:t>》</w:t>
            </w:r>
          </w:p>
        </w:tc>
        <w:tc>
          <w:tcPr>
            <w:tcW w:w="850" w:type="dxa"/>
            <w:shd w:val="clear" w:color="auto" w:fill="EBF1DE"/>
            <w:vAlign w:val="center"/>
          </w:tcPr>
          <w:p w14:paraId="45C29C68">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855" w:type="dxa"/>
            <w:shd w:val="clear" w:color="auto" w:fill="EBF1DE"/>
            <w:vAlign w:val="center"/>
          </w:tcPr>
          <w:p w14:paraId="55F726B5">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0594E14C">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3B93D788">
            <w:pPr>
              <w:spacing w:before="124"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150/180</w:t>
            </w:r>
          </w:p>
        </w:tc>
        <w:tc>
          <w:tcPr>
            <w:tcW w:w="846" w:type="dxa"/>
            <w:shd w:val="clear" w:color="auto" w:fill="EBF1DE"/>
            <w:vAlign w:val="center"/>
          </w:tcPr>
          <w:p w14:paraId="31C05BB7">
            <w:pPr>
              <w:spacing w:before="124"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100</w:t>
            </w:r>
          </w:p>
        </w:tc>
        <w:tc>
          <w:tcPr>
            <w:tcW w:w="851" w:type="dxa"/>
            <w:shd w:val="clear" w:color="auto" w:fill="EBF1DE"/>
            <w:vAlign w:val="center"/>
          </w:tcPr>
          <w:p w14:paraId="3B8B571E">
            <w:pPr>
              <w:spacing w:before="125" w:line="182" w:lineRule="auto"/>
              <w:ind w:left="76" w:firstLine="9" w:firstLineChars="5"/>
              <w:jc w:val="center"/>
              <w:rPr>
                <w:rFonts w:ascii="Calibri" w:hAnsi="Calibri" w:eastAsia="Calibri" w:cs="Calibri"/>
                <w:sz w:val="18"/>
                <w:szCs w:val="18"/>
              </w:rPr>
            </w:pPr>
            <w:r>
              <w:rPr>
                <w:rFonts w:hint="eastAsia" w:ascii="Calibri" w:hAnsi="Calibri" w:cs="Calibri"/>
                <w:sz w:val="18"/>
                <w:szCs w:val="18"/>
              </w:rPr>
              <w:t>5.0</w:t>
            </w:r>
          </w:p>
        </w:tc>
        <w:tc>
          <w:tcPr>
            <w:tcW w:w="850" w:type="dxa"/>
            <w:shd w:val="clear" w:color="auto" w:fill="EBF1DE"/>
            <w:vAlign w:val="center"/>
          </w:tcPr>
          <w:p w14:paraId="6B99F95B">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1" w:type="dxa"/>
            <w:shd w:val="clear" w:color="auto" w:fill="EBF1DE"/>
            <w:vAlign w:val="center"/>
          </w:tcPr>
          <w:p w14:paraId="0D0001A3">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120</w:t>
            </w:r>
            <w:r>
              <w:rPr>
                <w:rFonts w:hint="eastAsia" w:ascii="Calibri" w:hAnsi="Calibri" w:cs="Calibri"/>
                <w:spacing w:val="-1"/>
                <w:sz w:val="18"/>
                <w:szCs w:val="18"/>
              </w:rPr>
              <w:t>/效率≥95%</w:t>
            </w:r>
          </w:p>
        </w:tc>
        <w:tc>
          <w:tcPr>
            <w:tcW w:w="850" w:type="dxa"/>
            <w:shd w:val="clear" w:color="auto" w:fill="DAEEF3"/>
            <w:vAlign w:val="center"/>
          </w:tcPr>
          <w:p w14:paraId="544B7B24">
            <w:pPr>
              <w:spacing w:before="112" w:line="230"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4/15/20</w:t>
            </w:r>
          </w:p>
        </w:tc>
        <w:tc>
          <w:tcPr>
            <w:tcW w:w="709" w:type="dxa"/>
            <w:shd w:val="clear" w:color="auto" w:fill="DAEEF3"/>
            <w:vAlign w:val="center"/>
          </w:tcPr>
          <w:p w14:paraId="6EC0055E">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579AD990">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6A99513C">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16CE6888">
            <w:pPr>
              <w:spacing w:before="165"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078CD4F2">
            <w:pPr>
              <w:spacing w:before="124" w:line="184" w:lineRule="auto"/>
              <w:ind w:left="76" w:firstLine="8" w:firstLineChars="5"/>
              <w:jc w:val="center"/>
              <w:rPr>
                <w:rFonts w:ascii="Calibri" w:hAnsi="Calibri" w:eastAsia="Calibri" w:cs="Calibri"/>
                <w:sz w:val="18"/>
                <w:szCs w:val="18"/>
              </w:rPr>
            </w:pPr>
            <w:r>
              <w:rPr>
                <w:rFonts w:hint="eastAsia" w:ascii="Calibri" w:hAnsi="Calibri" w:cs="Calibri"/>
                <w:spacing w:val="-2"/>
                <w:sz w:val="18"/>
                <w:szCs w:val="18"/>
              </w:rPr>
              <w:t>1.9</w:t>
            </w:r>
          </w:p>
        </w:tc>
        <w:tc>
          <w:tcPr>
            <w:tcW w:w="708" w:type="dxa"/>
            <w:shd w:val="clear" w:color="auto" w:fill="DAEEF3"/>
            <w:vAlign w:val="center"/>
          </w:tcPr>
          <w:p w14:paraId="40D1E97B">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993" w:type="dxa"/>
            <w:vAlign w:val="center"/>
          </w:tcPr>
          <w:p w14:paraId="4FF6FBE8">
            <w:pPr>
              <w:pStyle w:val="122"/>
              <w:ind w:left="76" w:firstLine="9" w:firstLineChars="5"/>
              <w:rPr>
                <w:sz w:val="18"/>
                <w:szCs w:val="18"/>
              </w:rPr>
            </w:pPr>
            <w:r>
              <w:rPr>
                <w:rFonts w:hint="eastAsia" w:eastAsiaTheme="minorEastAsia"/>
                <w:sz w:val="18"/>
                <w:szCs w:val="18"/>
                <w:lang w:eastAsia="zh-CN"/>
              </w:rPr>
              <w:t>排放限制</w:t>
            </w:r>
          </w:p>
        </w:tc>
      </w:tr>
      <w:tr w14:paraId="2A04C6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vMerge w:val="continue"/>
          </w:tcPr>
          <w:p w14:paraId="155B3569">
            <w:pPr>
              <w:spacing w:before="125" w:line="182" w:lineRule="auto"/>
              <w:ind w:left="76" w:firstLine="9" w:firstLineChars="5"/>
              <w:jc w:val="center"/>
              <w:rPr>
                <w:rFonts w:ascii="Calibri" w:hAnsi="Calibri" w:eastAsia="Calibri" w:cs="Calibri"/>
                <w:sz w:val="18"/>
                <w:szCs w:val="18"/>
              </w:rPr>
            </w:pPr>
          </w:p>
        </w:tc>
        <w:tc>
          <w:tcPr>
            <w:tcW w:w="1705" w:type="dxa"/>
            <w:vMerge w:val="continue"/>
          </w:tcPr>
          <w:p w14:paraId="671CC1DA">
            <w:pPr>
              <w:spacing w:before="22" w:line="235" w:lineRule="auto"/>
              <w:ind w:left="76" w:right="91" w:firstLine="9" w:firstLineChars="5"/>
              <w:rPr>
                <w:rFonts w:ascii="Calibri" w:hAnsi="Calibri" w:eastAsia="Calibri" w:cs="Calibri"/>
                <w:sz w:val="18"/>
                <w:szCs w:val="18"/>
              </w:rPr>
            </w:pPr>
          </w:p>
        </w:tc>
        <w:tc>
          <w:tcPr>
            <w:tcW w:w="850" w:type="dxa"/>
            <w:shd w:val="clear" w:color="auto" w:fill="EBF1DE"/>
            <w:vAlign w:val="center"/>
          </w:tcPr>
          <w:p w14:paraId="5545B7B0">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20</w:t>
            </w:r>
          </w:p>
        </w:tc>
        <w:tc>
          <w:tcPr>
            <w:tcW w:w="855" w:type="dxa"/>
            <w:shd w:val="clear" w:color="auto" w:fill="EBF1DE"/>
            <w:vAlign w:val="center"/>
          </w:tcPr>
          <w:p w14:paraId="6EA4BF90">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EBF1DE"/>
            <w:vAlign w:val="center"/>
          </w:tcPr>
          <w:p w14:paraId="4155F558">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1" w:type="dxa"/>
            <w:shd w:val="clear" w:color="auto" w:fill="EBF1DE"/>
            <w:vAlign w:val="center"/>
          </w:tcPr>
          <w:p w14:paraId="19B1F887">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100</w:t>
            </w:r>
          </w:p>
        </w:tc>
        <w:tc>
          <w:tcPr>
            <w:tcW w:w="846" w:type="dxa"/>
            <w:shd w:val="clear" w:color="auto" w:fill="EBF1DE"/>
            <w:vAlign w:val="center"/>
          </w:tcPr>
          <w:p w14:paraId="5B98186D">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50</w:t>
            </w:r>
          </w:p>
        </w:tc>
        <w:tc>
          <w:tcPr>
            <w:tcW w:w="851" w:type="dxa"/>
            <w:shd w:val="clear" w:color="auto" w:fill="EBF1DE"/>
            <w:vAlign w:val="center"/>
          </w:tcPr>
          <w:p w14:paraId="74EDEF14">
            <w:pPr>
              <w:spacing w:before="125"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5.0</w:t>
            </w:r>
          </w:p>
        </w:tc>
        <w:tc>
          <w:tcPr>
            <w:tcW w:w="850" w:type="dxa"/>
            <w:shd w:val="clear" w:color="auto" w:fill="EBF1DE"/>
            <w:vAlign w:val="center"/>
          </w:tcPr>
          <w:p w14:paraId="66F9B82B">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30</w:t>
            </w:r>
          </w:p>
        </w:tc>
        <w:tc>
          <w:tcPr>
            <w:tcW w:w="851" w:type="dxa"/>
            <w:shd w:val="clear" w:color="auto" w:fill="EBF1DE"/>
            <w:vAlign w:val="center"/>
          </w:tcPr>
          <w:p w14:paraId="151B24A9">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20</w:t>
            </w:r>
            <w:r>
              <w:rPr>
                <w:rFonts w:hint="eastAsia" w:ascii="Calibri" w:hAnsi="Calibri" w:cs="Calibri"/>
                <w:spacing w:val="-1"/>
                <w:sz w:val="18"/>
                <w:szCs w:val="18"/>
              </w:rPr>
              <w:t>/效率≥97%</w:t>
            </w:r>
          </w:p>
        </w:tc>
        <w:tc>
          <w:tcPr>
            <w:tcW w:w="850" w:type="dxa"/>
            <w:shd w:val="clear" w:color="auto" w:fill="DAEEF3"/>
            <w:vAlign w:val="center"/>
          </w:tcPr>
          <w:p w14:paraId="4D5A3578">
            <w:pPr>
              <w:spacing w:before="112" w:line="230" w:lineRule="auto"/>
              <w:ind w:left="76" w:firstLine="9" w:firstLineChars="5"/>
              <w:jc w:val="center"/>
              <w:rPr>
                <w:rFonts w:ascii="Calibri" w:hAnsi="Calibri" w:eastAsia="Calibri" w:cs="Calibri"/>
                <w:spacing w:val="1"/>
                <w:sz w:val="18"/>
                <w:szCs w:val="18"/>
              </w:rPr>
            </w:pPr>
            <w:r>
              <w:rPr>
                <w:rFonts w:ascii="Calibri" w:hAnsi="Calibri" w:eastAsia="Calibri" w:cs="Calibri"/>
                <w:spacing w:val="1"/>
                <w:sz w:val="18"/>
                <w:szCs w:val="18"/>
              </w:rPr>
              <w:t>4/15/20</w:t>
            </w:r>
          </w:p>
        </w:tc>
        <w:tc>
          <w:tcPr>
            <w:tcW w:w="709" w:type="dxa"/>
            <w:shd w:val="clear" w:color="auto" w:fill="DAEEF3"/>
            <w:vAlign w:val="center"/>
          </w:tcPr>
          <w:p w14:paraId="18C220C7">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6A702026">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6A8E31EF">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DAEEF3"/>
            <w:vAlign w:val="center"/>
          </w:tcPr>
          <w:p w14:paraId="6C1E9FBF">
            <w:pPr>
              <w:spacing w:before="165"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13" w:type="dxa"/>
            <w:shd w:val="clear" w:color="auto" w:fill="DAEEF3"/>
            <w:vAlign w:val="center"/>
          </w:tcPr>
          <w:p w14:paraId="6DE3613D">
            <w:pPr>
              <w:spacing w:before="124" w:line="184" w:lineRule="auto"/>
              <w:ind w:left="76" w:firstLine="8" w:firstLineChars="5"/>
              <w:jc w:val="center"/>
              <w:rPr>
                <w:rFonts w:ascii="Calibri" w:hAnsi="Calibri" w:eastAsia="Calibri" w:cs="Calibri"/>
                <w:spacing w:val="-2"/>
                <w:sz w:val="18"/>
                <w:szCs w:val="18"/>
              </w:rPr>
            </w:pPr>
            <w:r>
              <w:rPr>
                <w:rFonts w:ascii="Calibri" w:hAnsi="Calibri" w:eastAsia="Calibri" w:cs="Calibri"/>
                <w:spacing w:val="-2"/>
                <w:sz w:val="18"/>
                <w:szCs w:val="18"/>
              </w:rPr>
              <w:t>1.9</w:t>
            </w:r>
          </w:p>
        </w:tc>
        <w:tc>
          <w:tcPr>
            <w:tcW w:w="708" w:type="dxa"/>
            <w:shd w:val="clear" w:color="auto" w:fill="DAEEF3"/>
            <w:vAlign w:val="center"/>
          </w:tcPr>
          <w:p w14:paraId="47164EEE">
            <w:pPr>
              <w:spacing w:before="124"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20</w:t>
            </w:r>
          </w:p>
        </w:tc>
        <w:tc>
          <w:tcPr>
            <w:tcW w:w="993" w:type="dxa"/>
            <w:vAlign w:val="center"/>
          </w:tcPr>
          <w:p w14:paraId="3DDEDE59">
            <w:pPr>
              <w:pStyle w:val="122"/>
              <w:ind w:left="76" w:firstLine="9" w:firstLineChars="5"/>
              <w:rPr>
                <w:sz w:val="18"/>
                <w:szCs w:val="18"/>
              </w:rPr>
            </w:pPr>
            <w:r>
              <w:rPr>
                <w:rFonts w:hint="eastAsia" w:eastAsiaTheme="minorEastAsia"/>
                <w:sz w:val="18"/>
                <w:szCs w:val="18"/>
                <w:lang w:eastAsia="zh-CN"/>
              </w:rPr>
              <w:t>特别排放限制</w:t>
            </w:r>
          </w:p>
        </w:tc>
      </w:tr>
      <w:tr w14:paraId="60370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564" w:type="dxa"/>
          </w:tcPr>
          <w:p w14:paraId="75DA6417">
            <w:pPr>
              <w:spacing w:before="12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7</w:t>
            </w:r>
          </w:p>
        </w:tc>
        <w:tc>
          <w:tcPr>
            <w:tcW w:w="1705" w:type="dxa"/>
          </w:tcPr>
          <w:p w14:paraId="563EB626">
            <w:pPr>
              <w:spacing w:before="22" w:line="235"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31572-2015</w:t>
            </w:r>
            <w:r>
              <w:rPr>
                <w:rFonts w:hint="eastAsia" w:cs="Calibri" w:asciiTheme="minorEastAsia" w:hAnsiTheme="minorEastAsia"/>
                <w:spacing w:val="2"/>
                <w:sz w:val="18"/>
                <w:szCs w:val="18"/>
              </w:rPr>
              <w:t>《</w:t>
            </w:r>
            <w:r>
              <w:rPr>
                <w:rFonts w:ascii="宋体" w:hAnsi="宋体" w:eastAsia="宋体" w:cs="宋体"/>
                <w:spacing w:val="2"/>
                <w:sz w:val="18"/>
                <w:szCs w:val="18"/>
              </w:rPr>
              <w:t>合成树脂工业污</w:t>
            </w:r>
            <w:r>
              <w:rPr>
                <w:rFonts w:ascii="宋体" w:hAnsi="宋体" w:eastAsia="宋体" w:cs="宋体"/>
                <w:spacing w:val="3"/>
                <w:sz w:val="18"/>
                <w:szCs w:val="18"/>
              </w:rPr>
              <w:t>染物排放标准</w:t>
            </w:r>
            <w:r>
              <w:rPr>
                <w:rFonts w:hint="eastAsia" w:ascii="宋体" w:hAnsi="宋体" w:eastAsia="宋体" w:cs="宋体"/>
                <w:spacing w:val="3"/>
                <w:sz w:val="18"/>
                <w:szCs w:val="18"/>
              </w:rPr>
              <w:t>》</w:t>
            </w:r>
          </w:p>
        </w:tc>
        <w:tc>
          <w:tcPr>
            <w:tcW w:w="850" w:type="dxa"/>
            <w:shd w:val="clear" w:color="auto" w:fill="EBF1DE"/>
            <w:vAlign w:val="center"/>
          </w:tcPr>
          <w:p w14:paraId="3EDEA9F2">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5" w:type="dxa"/>
            <w:shd w:val="clear" w:color="auto" w:fill="EBF1DE"/>
            <w:vAlign w:val="center"/>
          </w:tcPr>
          <w:p w14:paraId="7F2A7018">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1A1B37FD">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213FB4B6">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46" w:type="dxa"/>
            <w:shd w:val="clear" w:color="auto" w:fill="EBF1DE"/>
            <w:vAlign w:val="center"/>
          </w:tcPr>
          <w:p w14:paraId="24046EC1">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100</w:t>
            </w:r>
          </w:p>
        </w:tc>
        <w:tc>
          <w:tcPr>
            <w:tcW w:w="851" w:type="dxa"/>
            <w:shd w:val="clear" w:color="auto" w:fill="EBF1DE"/>
            <w:vAlign w:val="center"/>
          </w:tcPr>
          <w:p w14:paraId="5919A446">
            <w:pPr>
              <w:spacing w:before="125"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5</w:t>
            </w:r>
          </w:p>
        </w:tc>
        <w:tc>
          <w:tcPr>
            <w:tcW w:w="850" w:type="dxa"/>
            <w:shd w:val="clear" w:color="auto" w:fill="EBF1DE"/>
            <w:vAlign w:val="center"/>
          </w:tcPr>
          <w:p w14:paraId="47BFFA2E">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851" w:type="dxa"/>
            <w:shd w:val="clear" w:color="auto" w:fill="EBF1DE"/>
            <w:vAlign w:val="center"/>
          </w:tcPr>
          <w:p w14:paraId="2AED8E01">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100</w:t>
            </w:r>
          </w:p>
        </w:tc>
        <w:tc>
          <w:tcPr>
            <w:tcW w:w="850" w:type="dxa"/>
            <w:shd w:val="clear" w:color="auto" w:fill="DAEEF3"/>
            <w:vAlign w:val="center"/>
          </w:tcPr>
          <w:p w14:paraId="766D874A">
            <w:pPr>
              <w:spacing w:before="112"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4/15/-</w:t>
            </w:r>
          </w:p>
        </w:tc>
        <w:tc>
          <w:tcPr>
            <w:tcW w:w="709" w:type="dxa"/>
            <w:shd w:val="clear" w:color="auto" w:fill="DAEEF3"/>
            <w:vAlign w:val="center"/>
          </w:tcPr>
          <w:p w14:paraId="62EC144C">
            <w:pPr>
              <w:spacing w:before="124"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30</w:t>
            </w:r>
          </w:p>
        </w:tc>
        <w:tc>
          <w:tcPr>
            <w:tcW w:w="709" w:type="dxa"/>
            <w:shd w:val="clear" w:color="auto" w:fill="DAEEF3"/>
            <w:vAlign w:val="center"/>
          </w:tcPr>
          <w:p w14:paraId="15D38F8A">
            <w:pPr>
              <w:spacing w:before="125"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5</w:t>
            </w:r>
          </w:p>
        </w:tc>
        <w:tc>
          <w:tcPr>
            <w:tcW w:w="709" w:type="dxa"/>
            <w:shd w:val="clear" w:color="auto" w:fill="DAEEF3"/>
            <w:vAlign w:val="center"/>
          </w:tcPr>
          <w:p w14:paraId="70365222">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EF9DA9C">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13" w:type="dxa"/>
            <w:shd w:val="clear" w:color="auto" w:fill="DAEEF3"/>
            <w:vAlign w:val="center"/>
          </w:tcPr>
          <w:p w14:paraId="0244810C">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19174BE7">
            <w:pPr>
              <w:spacing w:before="166"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2DC7ACA5">
            <w:pPr>
              <w:pStyle w:val="122"/>
              <w:ind w:left="76" w:firstLine="9" w:firstLineChars="5"/>
              <w:rPr>
                <w:sz w:val="18"/>
                <w:szCs w:val="18"/>
              </w:rPr>
            </w:pPr>
          </w:p>
        </w:tc>
      </w:tr>
      <w:tr w14:paraId="26673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jc w:val="center"/>
        </w:trPr>
        <w:tc>
          <w:tcPr>
            <w:tcW w:w="564" w:type="dxa"/>
            <w:vMerge w:val="restart"/>
          </w:tcPr>
          <w:p w14:paraId="3A9EE641">
            <w:pPr>
              <w:spacing w:before="126"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8</w:t>
            </w:r>
          </w:p>
        </w:tc>
        <w:tc>
          <w:tcPr>
            <w:tcW w:w="1705" w:type="dxa"/>
            <w:vMerge w:val="restart"/>
          </w:tcPr>
          <w:p w14:paraId="7CF40E72">
            <w:pPr>
              <w:spacing w:before="24" w:line="234"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31573-2015</w:t>
            </w:r>
            <w:r>
              <w:rPr>
                <w:rFonts w:hint="eastAsia" w:cs="Calibri" w:asciiTheme="minorEastAsia" w:hAnsiTheme="minorEastAsia"/>
                <w:spacing w:val="2"/>
                <w:sz w:val="18"/>
                <w:szCs w:val="18"/>
              </w:rPr>
              <w:t>《</w:t>
            </w:r>
            <w:r>
              <w:rPr>
                <w:rFonts w:ascii="宋体" w:hAnsi="宋体" w:eastAsia="宋体" w:cs="宋体"/>
                <w:spacing w:val="2"/>
                <w:sz w:val="18"/>
                <w:szCs w:val="18"/>
              </w:rPr>
              <w:t>无机化学工业污</w:t>
            </w:r>
            <w:r>
              <w:rPr>
                <w:rFonts w:ascii="宋体" w:hAnsi="宋体" w:eastAsia="宋体" w:cs="宋体"/>
                <w:spacing w:val="3"/>
                <w:sz w:val="18"/>
                <w:szCs w:val="18"/>
              </w:rPr>
              <w:t>染物排放标准</w:t>
            </w:r>
            <w:r>
              <w:rPr>
                <w:rFonts w:hint="eastAsia" w:ascii="宋体" w:hAnsi="宋体" w:eastAsia="宋体" w:cs="宋体"/>
                <w:spacing w:val="3"/>
                <w:sz w:val="18"/>
                <w:szCs w:val="18"/>
              </w:rPr>
              <w:t>》</w:t>
            </w:r>
          </w:p>
        </w:tc>
        <w:tc>
          <w:tcPr>
            <w:tcW w:w="850" w:type="dxa"/>
            <w:shd w:val="clear" w:color="auto" w:fill="EBF1DE"/>
            <w:vAlign w:val="center"/>
          </w:tcPr>
          <w:p w14:paraId="39DB2C84">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2"/>
                <w:sz w:val="18"/>
                <w:szCs w:val="18"/>
              </w:rPr>
              <w:t>30</w:t>
            </w:r>
          </w:p>
        </w:tc>
        <w:tc>
          <w:tcPr>
            <w:tcW w:w="855" w:type="dxa"/>
            <w:shd w:val="clear" w:color="auto" w:fill="EBF1DE"/>
            <w:vAlign w:val="center"/>
          </w:tcPr>
          <w:p w14:paraId="28479C98">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5E4F487C">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229CB203">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200</w:t>
            </w:r>
          </w:p>
        </w:tc>
        <w:tc>
          <w:tcPr>
            <w:tcW w:w="846" w:type="dxa"/>
            <w:shd w:val="clear" w:color="auto" w:fill="EBF1DE"/>
            <w:vAlign w:val="center"/>
          </w:tcPr>
          <w:p w14:paraId="7065E551">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400/100</w:t>
            </w:r>
          </w:p>
        </w:tc>
        <w:tc>
          <w:tcPr>
            <w:tcW w:w="851" w:type="dxa"/>
            <w:shd w:val="clear" w:color="auto" w:fill="EBF1DE"/>
            <w:vAlign w:val="center"/>
          </w:tcPr>
          <w:p w14:paraId="101B5887">
            <w:pPr>
              <w:spacing w:before="125" w:line="184" w:lineRule="auto"/>
              <w:ind w:left="76" w:firstLine="9" w:firstLineChars="5"/>
              <w:jc w:val="center"/>
              <w:rPr>
                <w:rFonts w:ascii="Calibri" w:hAnsi="Calibri" w:eastAsia="Calibri" w:cs="Calibri"/>
                <w:sz w:val="18"/>
                <w:szCs w:val="18"/>
              </w:rPr>
            </w:pPr>
            <w:r>
              <w:rPr>
                <w:rFonts w:hint="eastAsia" w:ascii="Calibri" w:hAnsi="Calibri" w:cs="Calibri"/>
                <w:sz w:val="18"/>
                <w:szCs w:val="18"/>
              </w:rPr>
              <w:t>氟化物3/6</w:t>
            </w:r>
          </w:p>
        </w:tc>
        <w:tc>
          <w:tcPr>
            <w:tcW w:w="850" w:type="dxa"/>
            <w:shd w:val="clear" w:color="auto" w:fill="EBF1DE"/>
            <w:vAlign w:val="center"/>
          </w:tcPr>
          <w:p w14:paraId="041FEF84">
            <w:pPr>
              <w:spacing w:before="125" w:line="184" w:lineRule="auto"/>
              <w:ind w:left="76" w:firstLine="8" w:firstLineChars="5"/>
              <w:jc w:val="center"/>
              <w:rPr>
                <w:rFonts w:ascii="Calibri" w:hAnsi="Calibri" w:eastAsia="Calibri" w:cs="Calibri"/>
                <w:spacing w:val="-1"/>
                <w:sz w:val="18"/>
                <w:szCs w:val="18"/>
              </w:rPr>
            </w:pPr>
            <w:r>
              <w:rPr>
                <w:rFonts w:hint="eastAsia" w:ascii="Calibri" w:hAnsi="Calibri" w:cs="Calibri"/>
                <w:spacing w:val="-1"/>
                <w:sz w:val="18"/>
                <w:szCs w:val="18"/>
              </w:rPr>
              <w:t>20/10</w:t>
            </w:r>
          </w:p>
        </w:tc>
        <w:tc>
          <w:tcPr>
            <w:tcW w:w="851" w:type="dxa"/>
            <w:shd w:val="clear" w:color="auto" w:fill="EBF1DE"/>
            <w:vAlign w:val="center"/>
          </w:tcPr>
          <w:p w14:paraId="58343E78">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674D5F2D">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E493C88">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2"/>
                <w:sz w:val="18"/>
                <w:szCs w:val="18"/>
              </w:rPr>
              <w:t>20</w:t>
            </w:r>
          </w:p>
        </w:tc>
        <w:tc>
          <w:tcPr>
            <w:tcW w:w="709" w:type="dxa"/>
            <w:shd w:val="clear" w:color="auto" w:fill="DAEEF3"/>
            <w:vAlign w:val="center"/>
          </w:tcPr>
          <w:p w14:paraId="7AA3F88E">
            <w:pPr>
              <w:spacing w:before="126" w:line="182" w:lineRule="auto"/>
              <w:ind w:left="76" w:firstLine="9" w:firstLineChars="5"/>
              <w:jc w:val="center"/>
              <w:rPr>
                <w:rFonts w:ascii="Calibri" w:hAnsi="Calibri" w:eastAsia="Calibri" w:cs="Calibri"/>
                <w:sz w:val="18"/>
                <w:szCs w:val="18"/>
              </w:rPr>
            </w:pPr>
            <w:r>
              <w:rPr>
                <w:rFonts w:hint="eastAsia" w:ascii="Calibri" w:hAnsi="Calibri" w:cs="Calibri"/>
                <w:sz w:val="18"/>
                <w:szCs w:val="18"/>
              </w:rPr>
              <w:t>10</w:t>
            </w:r>
          </w:p>
        </w:tc>
        <w:tc>
          <w:tcPr>
            <w:tcW w:w="709" w:type="dxa"/>
            <w:shd w:val="clear" w:color="auto" w:fill="DAEEF3"/>
            <w:vAlign w:val="center"/>
          </w:tcPr>
          <w:p w14:paraId="7F8366E7">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2"/>
                <w:sz w:val="18"/>
                <w:szCs w:val="18"/>
              </w:rPr>
              <w:t>20</w:t>
            </w:r>
          </w:p>
        </w:tc>
        <w:tc>
          <w:tcPr>
            <w:tcW w:w="850" w:type="dxa"/>
            <w:shd w:val="clear" w:color="auto" w:fill="DAEEF3"/>
            <w:vAlign w:val="center"/>
          </w:tcPr>
          <w:p w14:paraId="6F0FADEA">
            <w:pPr>
              <w:spacing w:before="125" w:line="184"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0.01</w:t>
            </w:r>
          </w:p>
        </w:tc>
        <w:tc>
          <w:tcPr>
            <w:tcW w:w="713" w:type="dxa"/>
            <w:shd w:val="clear" w:color="auto" w:fill="DAEEF3"/>
            <w:vAlign w:val="center"/>
          </w:tcPr>
          <w:p w14:paraId="478FEFE8">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77F36188">
            <w:pPr>
              <w:spacing w:before="166" w:line="61"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4EF19ED5">
            <w:pPr>
              <w:pStyle w:val="122"/>
              <w:ind w:left="76" w:firstLine="9" w:firstLineChars="5"/>
              <w:rPr>
                <w:sz w:val="18"/>
                <w:szCs w:val="18"/>
              </w:rPr>
            </w:pPr>
            <w:r>
              <w:rPr>
                <w:rFonts w:hint="eastAsia" w:eastAsiaTheme="minorEastAsia"/>
                <w:sz w:val="18"/>
                <w:szCs w:val="18"/>
                <w:lang w:eastAsia="zh-CN"/>
              </w:rPr>
              <w:t>排放限制</w:t>
            </w:r>
          </w:p>
        </w:tc>
      </w:tr>
      <w:tr w14:paraId="6C2A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564" w:type="dxa"/>
            <w:vMerge w:val="continue"/>
          </w:tcPr>
          <w:p w14:paraId="4012E867">
            <w:pPr>
              <w:spacing w:before="126" w:line="182" w:lineRule="auto"/>
              <w:ind w:left="76" w:firstLine="9" w:firstLineChars="5"/>
              <w:jc w:val="center"/>
              <w:rPr>
                <w:rFonts w:ascii="Calibri" w:hAnsi="Calibri" w:eastAsia="Calibri" w:cs="Calibri"/>
                <w:sz w:val="18"/>
                <w:szCs w:val="18"/>
              </w:rPr>
            </w:pPr>
          </w:p>
        </w:tc>
        <w:tc>
          <w:tcPr>
            <w:tcW w:w="1705" w:type="dxa"/>
            <w:vMerge w:val="continue"/>
          </w:tcPr>
          <w:p w14:paraId="306A836F">
            <w:pPr>
              <w:spacing w:before="24" w:line="234" w:lineRule="auto"/>
              <w:ind w:left="76" w:right="91" w:firstLine="9" w:firstLineChars="5"/>
              <w:rPr>
                <w:rFonts w:ascii="Calibri" w:hAnsi="Calibri" w:eastAsia="Calibri" w:cs="Calibri"/>
                <w:sz w:val="18"/>
                <w:szCs w:val="18"/>
              </w:rPr>
            </w:pPr>
          </w:p>
        </w:tc>
        <w:tc>
          <w:tcPr>
            <w:tcW w:w="850" w:type="dxa"/>
            <w:shd w:val="clear" w:color="auto" w:fill="EBF1DE"/>
            <w:vAlign w:val="center"/>
          </w:tcPr>
          <w:p w14:paraId="01410A8D">
            <w:pPr>
              <w:spacing w:before="125" w:line="184" w:lineRule="auto"/>
              <w:ind w:left="76" w:firstLine="8" w:firstLineChars="5"/>
              <w:jc w:val="center"/>
              <w:rPr>
                <w:rFonts w:ascii="Calibri" w:hAnsi="Calibri" w:eastAsia="Calibri" w:cs="Calibri"/>
                <w:spacing w:val="-2"/>
                <w:sz w:val="18"/>
                <w:szCs w:val="18"/>
              </w:rPr>
            </w:pPr>
            <w:r>
              <w:rPr>
                <w:rFonts w:ascii="Calibri" w:hAnsi="Calibri" w:eastAsia="Calibri" w:cs="Calibri"/>
                <w:spacing w:val="-2"/>
                <w:sz w:val="18"/>
                <w:szCs w:val="18"/>
              </w:rPr>
              <w:t>10</w:t>
            </w:r>
          </w:p>
        </w:tc>
        <w:tc>
          <w:tcPr>
            <w:tcW w:w="855" w:type="dxa"/>
            <w:shd w:val="clear" w:color="auto" w:fill="EBF1DE"/>
            <w:vAlign w:val="center"/>
          </w:tcPr>
          <w:p w14:paraId="373E72CE">
            <w:pPr>
              <w:spacing w:before="166"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EBF1DE"/>
            <w:vAlign w:val="center"/>
          </w:tcPr>
          <w:p w14:paraId="71C7096C">
            <w:pPr>
              <w:spacing w:before="166"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1" w:type="dxa"/>
            <w:shd w:val="clear" w:color="auto" w:fill="EBF1DE"/>
            <w:vAlign w:val="center"/>
          </w:tcPr>
          <w:p w14:paraId="7BC16F90">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100</w:t>
            </w:r>
          </w:p>
        </w:tc>
        <w:tc>
          <w:tcPr>
            <w:tcW w:w="846" w:type="dxa"/>
            <w:shd w:val="clear" w:color="auto" w:fill="EBF1DE"/>
            <w:vAlign w:val="center"/>
          </w:tcPr>
          <w:p w14:paraId="46E1E6EA">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100</w:t>
            </w:r>
          </w:p>
        </w:tc>
        <w:tc>
          <w:tcPr>
            <w:tcW w:w="851" w:type="dxa"/>
            <w:shd w:val="clear" w:color="auto" w:fill="EBF1DE"/>
            <w:vAlign w:val="center"/>
          </w:tcPr>
          <w:p w14:paraId="29B8CC74">
            <w:pPr>
              <w:spacing w:before="125" w:line="184" w:lineRule="auto"/>
              <w:ind w:left="76" w:firstLine="9" w:firstLineChars="5"/>
              <w:jc w:val="center"/>
              <w:rPr>
                <w:rFonts w:ascii="Calibri" w:hAnsi="Calibri" w:cs="Calibri"/>
                <w:sz w:val="18"/>
                <w:szCs w:val="18"/>
              </w:rPr>
            </w:pPr>
            <w:r>
              <w:rPr>
                <w:rFonts w:hint="eastAsia" w:ascii="Calibri" w:hAnsi="Calibri" w:cs="Calibri"/>
                <w:sz w:val="18"/>
                <w:szCs w:val="18"/>
              </w:rPr>
              <w:t>氟化物</w:t>
            </w:r>
          </w:p>
          <w:p w14:paraId="636485BC">
            <w:pPr>
              <w:spacing w:before="125"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3</w:t>
            </w:r>
          </w:p>
        </w:tc>
        <w:tc>
          <w:tcPr>
            <w:tcW w:w="850" w:type="dxa"/>
            <w:shd w:val="clear" w:color="auto" w:fill="EBF1DE"/>
            <w:vAlign w:val="center"/>
          </w:tcPr>
          <w:p w14:paraId="226B5843">
            <w:pPr>
              <w:spacing w:before="125" w:line="184" w:lineRule="auto"/>
              <w:ind w:left="76" w:firstLine="8" w:firstLineChars="5"/>
              <w:jc w:val="center"/>
              <w:rPr>
                <w:rFonts w:ascii="Calibri" w:hAnsi="Calibri" w:eastAsia="Calibri" w:cs="Calibri"/>
                <w:spacing w:val="-1"/>
                <w:sz w:val="18"/>
                <w:szCs w:val="18"/>
              </w:rPr>
            </w:pPr>
            <w:r>
              <w:rPr>
                <w:rFonts w:hint="eastAsia" w:ascii="Calibri" w:hAnsi="Calibri" w:eastAsia="Calibri" w:cs="Calibri"/>
                <w:spacing w:val="-1"/>
                <w:sz w:val="18"/>
                <w:szCs w:val="18"/>
              </w:rPr>
              <w:t>2</w:t>
            </w:r>
            <w:r>
              <w:rPr>
                <w:rFonts w:ascii="Calibri" w:hAnsi="Calibri" w:eastAsia="Calibri" w:cs="Calibri"/>
                <w:spacing w:val="-1"/>
                <w:sz w:val="18"/>
                <w:szCs w:val="18"/>
              </w:rPr>
              <w:t>0</w:t>
            </w:r>
            <w:r>
              <w:rPr>
                <w:rFonts w:hint="eastAsia" w:ascii="Calibri" w:hAnsi="Calibri" w:eastAsia="Calibri" w:cs="Calibri"/>
                <w:spacing w:val="-1"/>
                <w:sz w:val="18"/>
                <w:szCs w:val="18"/>
              </w:rPr>
              <w:t>/10</w:t>
            </w:r>
          </w:p>
        </w:tc>
        <w:tc>
          <w:tcPr>
            <w:tcW w:w="851" w:type="dxa"/>
            <w:shd w:val="clear" w:color="auto" w:fill="EBF1DE"/>
            <w:vAlign w:val="center"/>
          </w:tcPr>
          <w:p w14:paraId="0B25C973">
            <w:pPr>
              <w:spacing w:before="166"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DAEEF3"/>
            <w:vAlign w:val="center"/>
          </w:tcPr>
          <w:p w14:paraId="43AE02B7">
            <w:pPr>
              <w:spacing w:before="166" w:line="61"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05AAFA54">
            <w:pPr>
              <w:spacing w:before="125" w:line="184" w:lineRule="auto"/>
              <w:ind w:left="76" w:firstLine="8" w:firstLineChars="5"/>
              <w:jc w:val="center"/>
              <w:rPr>
                <w:rFonts w:ascii="Calibri" w:hAnsi="Calibri" w:eastAsia="Calibri" w:cs="Calibri"/>
                <w:spacing w:val="-2"/>
                <w:sz w:val="18"/>
                <w:szCs w:val="18"/>
              </w:rPr>
            </w:pPr>
            <w:r>
              <w:rPr>
                <w:rFonts w:ascii="Calibri" w:hAnsi="Calibri" w:eastAsia="Calibri" w:cs="Calibri"/>
                <w:spacing w:val="-2"/>
                <w:sz w:val="18"/>
                <w:szCs w:val="18"/>
              </w:rPr>
              <w:t>10</w:t>
            </w:r>
          </w:p>
        </w:tc>
        <w:tc>
          <w:tcPr>
            <w:tcW w:w="709" w:type="dxa"/>
            <w:shd w:val="clear" w:color="auto" w:fill="DAEEF3"/>
            <w:vAlign w:val="center"/>
          </w:tcPr>
          <w:p w14:paraId="0B5225CF">
            <w:pPr>
              <w:spacing w:before="126" w:line="182" w:lineRule="auto"/>
              <w:ind w:left="76" w:firstLine="9" w:firstLineChars="5"/>
              <w:jc w:val="center"/>
              <w:rPr>
                <w:rFonts w:ascii="Calibri" w:hAnsi="Calibri" w:eastAsia="Calibri" w:cs="Calibri"/>
                <w:sz w:val="18"/>
                <w:szCs w:val="18"/>
              </w:rPr>
            </w:pPr>
            <w:r>
              <w:rPr>
                <w:rFonts w:ascii="Calibri" w:hAnsi="Calibri" w:eastAsia="Calibri" w:cs="Calibri"/>
                <w:sz w:val="18"/>
                <w:szCs w:val="18"/>
              </w:rPr>
              <w:t>5</w:t>
            </w:r>
          </w:p>
        </w:tc>
        <w:tc>
          <w:tcPr>
            <w:tcW w:w="709" w:type="dxa"/>
            <w:shd w:val="clear" w:color="auto" w:fill="DAEEF3"/>
            <w:vAlign w:val="center"/>
          </w:tcPr>
          <w:p w14:paraId="69814000">
            <w:pPr>
              <w:spacing w:before="125" w:line="184" w:lineRule="auto"/>
              <w:ind w:left="76" w:firstLine="8" w:firstLineChars="5"/>
              <w:jc w:val="center"/>
              <w:rPr>
                <w:rFonts w:ascii="Calibri" w:hAnsi="Calibri" w:eastAsia="Calibri" w:cs="Calibri"/>
                <w:spacing w:val="-2"/>
                <w:sz w:val="18"/>
                <w:szCs w:val="18"/>
              </w:rPr>
            </w:pPr>
            <w:r>
              <w:rPr>
                <w:rFonts w:ascii="Calibri" w:hAnsi="Calibri" w:eastAsia="Calibri" w:cs="Calibri"/>
                <w:spacing w:val="-2"/>
                <w:sz w:val="18"/>
                <w:szCs w:val="18"/>
              </w:rPr>
              <w:t>10</w:t>
            </w:r>
          </w:p>
        </w:tc>
        <w:tc>
          <w:tcPr>
            <w:tcW w:w="850" w:type="dxa"/>
            <w:shd w:val="clear" w:color="auto" w:fill="DAEEF3"/>
            <w:vAlign w:val="center"/>
          </w:tcPr>
          <w:p w14:paraId="1E813CFC">
            <w:pPr>
              <w:spacing w:before="125" w:line="184" w:lineRule="auto"/>
              <w:ind w:left="76" w:firstLine="9" w:firstLineChars="5"/>
              <w:jc w:val="center"/>
              <w:rPr>
                <w:rFonts w:ascii="Calibri" w:hAnsi="Calibri" w:eastAsia="Calibri" w:cs="Calibri"/>
                <w:spacing w:val="1"/>
                <w:sz w:val="18"/>
                <w:szCs w:val="18"/>
              </w:rPr>
            </w:pPr>
            <w:r>
              <w:rPr>
                <w:rFonts w:ascii="Calibri" w:hAnsi="Calibri" w:eastAsia="Calibri" w:cs="Calibri"/>
                <w:spacing w:val="1"/>
                <w:sz w:val="18"/>
                <w:szCs w:val="18"/>
              </w:rPr>
              <w:t>0.01</w:t>
            </w:r>
          </w:p>
        </w:tc>
        <w:tc>
          <w:tcPr>
            <w:tcW w:w="713" w:type="dxa"/>
            <w:shd w:val="clear" w:color="auto" w:fill="DAEEF3"/>
            <w:vAlign w:val="center"/>
          </w:tcPr>
          <w:p w14:paraId="5F0D421F">
            <w:pPr>
              <w:spacing w:before="166" w:line="61" w:lineRule="exact"/>
              <w:ind w:left="76" w:firstLine="9" w:firstLineChars="5"/>
              <w:jc w:val="center"/>
              <w:rPr>
                <w:rFonts w:ascii="Calibri" w:hAnsi="Calibri" w:eastAsia="Calibri" w:cs="Calibri"/>
                <w:position w:val="-1"/>
                <w:sz w:val="18"/>
                <w:szCs w:val="18"/>
              </w:rPr>
            </w:pPr>
          </w:p>
        </w:tc>
        <w:tc>
          <w:tcPr>
            <w:tcW w:w="708" w:type="dxa"/>
            <w:shd w:val="clear" w:color="auto" w:fill="DAEEF3"/>
            <w:vAlign w:val="center"/>
          </w:tcPr>
          <w:p w14:paraId="1AAE9068">
            <w:pPr>
              <w:spacing w:before="166" w:line="61" w:lineRule="exact"/>
              <w:ind w:left="76" w:firstLine="9" w:firstLineChars="5"/>
              <w:jc w:val="center"/>
              <w:rPr>
                <w:rFonts w:ascii="Calibri" w:hAnsi="Calibri" w:eastAsia="Calibri" w:cs="Calibri"/>
                <w:position w:val="-1"/>
                <w:sz w:val="18"/>
                <w:szCs w:val="18"/>
              </w:rPr>
            </w:pPr>
          </w:p>
        </w:tc>
        <w:tc>
          <w:tcPr>
            <w:tcW w:w="993" w:type="dxa"/>
            <w:vAlign w:val="center"/>
          </w:tcPr>
          <w:p w14:paraId="35E6A3E6">
            <w:pPr>
              <w:pStyle w:val="122"/>
              <w:ind w:left="76" w:firstLine="9" w:firstLineChars="5"/>
              <w:rPr>
                <w:sz w:val="18"/>
                <w:szCs w:val="18"/>
              </w:rPr>
            </w:pPr>
            <w:r>
              <w:rPr>
                <w:rFonts w:hint="eastAsia" w:eastAsiaTheme="minorEastAsia"/>
                <w:sz w:val="18"/>
                <w:szCs w:val="18"/>
                <w:lang w:eastAsia="zh-CN"/>
              </w:rPr>
              <w:t>特别排放限制</w:t>
            </w:r>
          </w:p>
        </w:tc>
      </w:tr>
      <w:tr w14:paraId="50DA0B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564" w:type="dxa"/>
            <w:vMerge w:val="restart"/>
          </w:tcPr>
          <w:p w14:paraId="60E03EC5">
            <w:pPr>
              <w:spacing w:before="125"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9</w:t>
            </w:r>
          </w:p>
        </w:tc>
        <w:tc>
          <w:tcPr>
            <w:tcW w:w="1705" w:type="dxa"/>
            <w:vMerge w:val="restart"/>
          </w:tcPr>
          <w:p w14:paraId="15D4F90A">
            <w:pPr>
              <w:spacing w:before="24" w:line="234" w:lineRule="auto"/>
              <w:ind w:left="76" w:right="91" w:firstLine="9" w:firstLineChars="5"/>
              <w:rPr>
                <w:rFonts w:ascii="宋体" w:hAnsi="宋体" w:eastAsia="宋体" w:cs="宋体"/>
                <w:sz w:val="18"/>
                <w:szCs w:val="18"/>
              </w:rPr>
            </w:pPr>
            <w:r>
              <w:rPr>
                <w:rFonts w:ascii="Calibri" w:hAnsi="Calibri" w:eastAsia="Calibri" w:cs="Calibri"/>
                <w:sz w:val="18"/>
                <w:szCs w:val="18"/>
              </w:rPr>
              <w:t>GB</w:t>
            </w:r>
            <w:r>
              <w:rPr>
                <w:rFonts w:ascii="Calibri" w:hAnsi="Calibri" w:eastAsia="Calibri" w:cs="Calibri"/>
                <w:spacing w:val="16"/>
                <w:sz w:val="18"/>
                <w:szCs w:val="18"/>
              </w:rPr>
              <w:t xml:space="preserve"> </w:t>
            </w:r>
            <w:r>
              <w:rPr>
                <w:rFonts w:ascii="Calibri" w:hAnsi="Calibri" w:eastAsia="Calibri" w:cs="Calibri"/>
                <w:spacing w:val="2"/>
                <w:sz w:val="18"/>
                <w:szCs w:val="18"/>
              </w:rPr>
              <w:t>15581-2016</w:t>
            </w:r>
            <w:r>
              <w:rPr>
                <w:rFonts w:hint="eastAsia" w:cs="Calibri" w:asciiTheme="minorEastAsia" w:hAnsiTheme="minorEastAsia"/>
                <w:spacing w:val="2"/>
                <w:sz w:val="18"/>
                <w:szCs w:val="18"/>
              </w:rPr>
              <w:t>《</w:t>
            </w:r>
            <w:r>
              <w:rPr>
                <w:rFonts w:ascii="宋体" w:hAnsi="宋体" w:eastAsia="宋体" w:cs="宋体"/>
                <w:spacing w:val="2"/>
                <w:sz w:val="18"/>
                <w:szCs w:val="18"/>
              </w:rPr>
              <w:t>烧碱、聚氯乙烯</w:t>
            </w:r>
            <w:r>
              <w:rPr>
                <w:rFonts w:ascii="宋体" w:hAnsi="宋体" w:eastAsia="宋体" w:cs="宋体"/>
                <w:spacing w:val="3"/>
                <w:sz w:val="18"/>
                <w:szCs w:val="18"/>
              </w:rPr>
              <w:t>工业污染物排放标准</w:t>
            </w:r>
            <w:r>
              <w:rPr>
                <w:rFonts w:hint="eastAsia" w:ascii="宋体" w:hAnsi="宋体" w:eastAsia="宋体" w:cs="宋体"/>
                <w:spacing w:val="3"/>
                <w:sz w:val="18"/>
                <w:szCs w:val="18"/>
              </w:rPr>
              <w:t>》</w:t>
            </w:r>
          </w:p>
        </w:tc>
        <w:tc>
          <w:tcPr>
            <w:tcW w:w="850" w:type="dxa"/>
            <w:shd w:val="clear" w:color="auto" w:fill="EBF1DE"/>
            <w:vAlign w:val="center"/>
          </w:tcPr>
          <w:p w14:paraId="2662B692">
            <w:pPr>
              <w:spacing w:before="113" w:line="230" w:lineRule="auto"/>
              <w:ind w:left="76" w:firstLine="9" w:firstLineChars="5"/>
              <w:jc w:val="center"/>
              <w:rPr>
                <w:rFonts w:ascii="Calibri" w:hAnsi="Calibri" w:eastAsia="Calibri" w:cs="Calibri"/>
                <w:sz w:val="18"/>
                <w:szCs w:val="18"/>
              </w:rPr>
            </w:pPr>
            <w:r>
              <w:rPr>
                <w:rFonts w:hint="eastAsia" w:ascii="Calibri" w:hAnsi="Calibri" w:cs="Calibri"/>
                <w:spacing w:val="1"/>
                <w:sz w:val="18"/>
                <w:szCs w:val="18"/>
              </w:rPr>
              <w:t>80/60/30</w:t>
            </w:r>
          </w:p>
        </w:tc>
        <w:tc>
          <w:tcPr>
            <w:tcW w:w="855" w:type="dxa"/>
            <w:shd w:val="clear" w:color="auto" w:fill="EBF1DE"/>
            <w:vAlign w:val="center"/>
          </w:tcPr>
          <w:p w14:paraId="3402D2E3">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6B610BC1">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1" w:type="dxa"/>
            <w:shd w:val="clear" w:color="auto" w:fill="EBF1DE"/>
            <w:vAlign w:val="center"/>
          </w:tcPr>
          <w:p w14:paraId="050CDB49">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200</w:t>
            </w:r>
          </w:p>
        </w:tc>
        <w:tc>
          <w:tcPr>
            <w:tcW w:w="846" w:type="dxa"/>
            <w:shd w:val="clear" w:color="auto" w:fill="EBF1DE"/>
            <w:vAlign w:val="center"/>
          </w:tcPr>
          <w:p w14:paraId="59452FD9">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100</w:t>
            </w:r>
          </w:p>
        </w:tc>
        <w:tc>
          <w:tcPr>
            <w:tcW w:w="851" w:type="dxa"/>
            <w:shd w:val="clear" w:color="auto" w:fill="EBF1DE"/>
            <w:vAlign w:val="center"/>
          </w:tcPr>
          <w:p w14:paraId="4E4977BD">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EBF1DE"/>
            <w:vAlign w:val="center"/>
          </w:tcPr>
          <w:p w14:paraId="73837AAE">
            <w:pPr>
              <w:spacing w:before="125" w:line="184"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20</w:t>
            </w:r>
          </w:p>
        </w:tc>
        <w:tc>
          <w:tcPr>
            <w:tcW w:w="851" w:type="dxa"/>
            <w:shd w:val="clear" w:color="auto" w:fill="EBF1DE"/>
            <w:vAlign w:val="center"/>
          </w:tcPr>
          <w:p w14:paraId="16064A11">
            <w:pPr>
              <w:spacing w:before="125" w:line="184" w:lineRule="auto"/>
              <w:ind w:left="76" w:firstLine="8" w:firstLineChars="5"/>
              <w:jc w:val="center"/>
              <w:rPr>
                <w:rFonts w:ascii="Calibri" w:hAnsi="Calibri" w:eastAsia="Calibri" w:cs="Calibri"/>
                <w:sz w:val="18"/>
                <w:szCs w:val="18"/>
              </w:rPr>
            </w:pPr>
            <w:r>
              <w:rPr>
                <w:rFonts w:hint="eastAsia" w:ascii="Calibri" w:hAnsi="Calibri" w:cs="Calibri"/>
                <w:spacing w:val="-1"/>
                <w:sz w:val="18"/>
                <w:szCs w:val="18"/>
              </w:rPr>
              <w:t>50</w:t>
            </w:r>
          </w:p>
        </w:tc>
        <w:tc>
          <w:tcPr>
            <w:tcW w:w="850" w:type="dxa"/>
            <w:shd w:val="clear" w:color="auto" w:fill="DAEEF3"/>
            <w:vAlign w:val="center"/>
          </w:tcPr>
          <w:p w14:paraId="0A543489">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5B7034C0">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7AA48070">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9" w:type="dxa"/>
            <w:shd w:val="clear" w:color="auto" w:fill="DAEEF3"/>
            <w:vAlign w:val="center"/>
          </w:tcPr>
          <w:p w14:paraId="13E04EF6">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850" w:type="dxa"/>
            <w:shd w:val="clear" w:color="auto" w:fill="DAEEF3"/>
            <w:vAlign w:val="center"/>
          </w:tcPr>
          <w:p w14:paraId="1F41FA07">
            <w:pPr>
              <w:spacing w:before="125" w:line="184" w:lineRule="auto"/>
              <w:ind w:left="76" w:firstLine="9" w:firstLineChars="5"/>
              <w:jc w:val="center"/>
              <w:rPr>
                <w:rFonts w:ascii="Calibri" w:hAnsi="Calibri" w:eastAsia="Calibri" w:cs="Calibri"/>
                <w:sz w:val="18"/>
                <w:szCs w:val="18"/>
              </w:rPr>
            </w:pPr>
            <w:r>
              <w:rPr>
                <w:rFonts w:ascii="Calibri" w:hAnsi="Calibri" w:eastAsia="Calibri" w:cs="Calibri"/>
                <w:spacing w:val="1"/>
                <w:sz w:val="18"/>
                <w:szCs w:val="18"/>
              </w:rPr>
              <w:t>0.01</w:t>
            </w:r>
          </w:p>
        </w:tc>
        <w:tc>
          <w:tcPr>
            <w:tcW w:w="713" w:type="dxa"/>
            <w:shd w:val="clear" w:color="auto" w:fill="DAEEF3"/>
            <w:vAlign w:val="center"/>
          </w:tcPr>
          <w:p w14:paraId="41219D09">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708" w:type="dxa"/>
            <w:shd w:val="clear" w:color="auto" w:fill="DAEEF3"/>
            <w:vAlign w:val="center"/>
          </w:tcPr>
          <w:p w14:paraId="4192287A">
            <w:pPr>
              <w:spacing w:before="167" w:line="60" w:lineRule="exact"/>
              <w:ind w:left="76" w:firstLine="9" w:firstLineChars="5"/>
              <w:jc w:val="center"/>
              <w:rPr>
                <w:rFonts w:ascii="Calibri" w:hAnsi="Calibri" w:eastAsia="Calibri" w:cs="Calibri"/>
                <w:sz w:val="18"/>
                <w:szCs w:val="18"/>
              </w:rPr>
            </w:pPr>
            <w:r>
              <w:rPr>
                <w:rFonts w:ascii="Calibri" w:hAnsi="Calibri" w:eastAsia="Calibri" w:cs="Calibri"/>
                <w:position w:val="-1"/>
                <w:sz w:val="18"/>
                <w:szCs w:val="18"/>
              </w:rPr>
              <w:t>-</w:t>
            </w:r>
          </w:p>
        </w:tc>
        <w:tc>
          <w:tcPr>
            <w:tcW w:w="993" w:type="dxa"/>
            <w:vAlign w:val="center"/>
          </w:tcPr>
          <w:p w14:paraId="1F27B1BB">
            <w:pPr>
              <w:pStyle w:val="122"/>
              <w:ind w:left="76" w:firstLine="9" w:firstLineChars="5"/>
              <w:rPr>
                <w:sz w:val="18"/>
                <w:szCs w:val="18"/>
              </w:rPr>
            </w:pPr>
            <w:r>
              <w:rPr>
                <w:rFonts w:hint="eastAsia" w:eastAsiaTheme="minorEastAsia"/>
                <w:sz w:val="18"/>
                <w:szCs w:val="18"/>
                <w:lang w:eastAsia="zh-CN"/>
              </w:rPr>
              <w:t>排放限制</w:t>
            </w:r>
          </w:p>
        </w:tc>
      </w:tr>
      <w:tr w14:paraId="5160A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564" w:type="dxa"/>
            <w:vMerge w:val="continue"/>
          </w:tcPr>
          <w:p w14:paraId="476A9470">
            <w:pPr>
              <w:spacing w:before="125" w:line="184" w:lineRule="auto"/>
              <w:ind w:left="76" w:firstLine="9" w:firstLineChars="5"/>
              <w:jc w:val="center"/>
              <w:rPr>
                <w:rFonts w:ascii="Calibri" w:hAnsi="Calibri" w:eastAsia="Calibri" w:cs="Calibri"/>
                <w:sz w:val="18"/>
                <w:szCs w:val="18"/>
              </w:rPr>
            </w:pPr>
          </w:p>
        </w:tc>
        <w:tc>
          <w:tcPr>
            <w:tcW w:w="1705" w:type="dxa"/>
            <w:vMerge w:val="continue"/>
          </w:tcPr>
          <w:p w14:paraId="5ECD767C">
            <w:pPr>
              <w:spacing w:before="24" w:line="234" w:lineRule="auto"/>
              <w:ind w:left="76" w:right="91" w:firstLine="9" w:firstLineChars="5"/>
              <w:rPr>
                <w:rFonts w:ascii="Calibri" w:hAnsi="Calibri" w:eastAsia="Calibri" w:cs="Calibri"/>
                <w:sz w:val="18"/>
                <w:szCs w:val="18"/>
              </w:rPr>
            </w:pPr>
          </w:p>
        </w:tc>
        <w:tc>
          <w:tcPr>
            <w:tcW w:w="850" w:type="dxa"/>
            <w:shd w:val="clear" w:color="auto" w:fill="EBF1DE"/>
            <w:vAlign w:val="center"/>
          </w:tcPr>
          <w:p w14:paraId="0B475F2C">
            <w:pPr>
              <w:spacing w:before="113" w:line="230" w:lineRule="auto"/>
              <w:ind w:left="76" w:firstLine="9" w:firstLineChars="5"/>
              <w:jc w:val="center"/>
              <w:rPr>
                <w:rFonts w:ascii="Calibri" w:hAnsi="Calibri" w:eastAsia="Calibri" w:cs="Calibri"/>
                <w:spacing w:val="1"/>
                <w:sz w:val="18"/>
                <w:szCs w:val="18"/>
              </w:rPr>
            </w:pPr>
            <w:r>
              <w:rPr>
                <w:rFonts w:ascii="Calibri" w:hAnsi="Calibri" w:eastAsia="Calibri" w:cs="Calibri"/>
                <w:spacing w:val="1"/>
                <w:sz w:val="18"/>
                <w:szCs w:val="18"/>
              </w:rPr>
              <w:t>60/50/20</w:t>
            </w:r>
          </w:p>
        </w:tc>
        <w:tc>
          <w:tcPr>
            <w:tcW w:w="855" w:type="dxa"/>
            <w:shd w:val="clear" w:color="auto" w:fill="EBF1DE"/>
            <w:vAlign w:val="center"/>
          </w:tcPr>
          <w:p w14:paraId="4C1AD295">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EBF1DE"/>
            <w:vAlign w:val="center"/>
          </w:tcPr>
          <w:p w14:paraId="3C0D6F6D">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1" w:type="dxa"/>
            <w:shd w:val="clear" w:color="auto" w:fill="EBF1DE"/>
            <w:vAlign w:val="center"/>
          </w:tcPr>
          <w:p w14:paraId="6A788582">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120</w:t>
            </w:r>
          </w:p>
        </w:tc>
        <w:tc>
          <w:tcPr>
            <w:tcW w:w="846" w:type="dxa"/>
            <w:shd w:val="clear" w:color="auto" w:fill="EBF1DE"/>
            <w:vAlign w:val="center"/>
          </w:tcPr>
          <w:p w14:paraId="2CA6AF0F">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50</w:t>
            </w:r>
          </w:p>
        </w:tc>
        <w:tc>
          <w:tcPr>
            <w:tcW w:w="851" w:type="dxa"/>
            <w:shd w:val="clear" w:color="auto" w:fill="EBF1DE"/>
            <w:vAlign w:val="center"/>
          </w:tcPr>
          <w:p w14:paraId="11969C55">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EBF1DE"/>
            <w:vAlign w:val="center"/>
          </w:tcPr>
          <w:p w14:paraId="59F8201A">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20</w:t>
            </w:r>
          </w:p>
        </w:tc>
        <w:tc>
          <w:tcPr>
            <w:tcW w:w="851" w:type="dxa"/>
            <w:shd w:val="clear" w:color="auto" w:fill="EBF1DE"/>
            <w:vAlign w:val="center"/>
          </w:tcPr>
          <w:p w14:paraId="1EF45A44">
            <w:pPr>
              <w:spacing w:before="125" w:line="184" w:lineRule="auto"/>
              <w:ind w:left="76" w:firstLine="8" w:firstLineChars="5"/>
              <w:jc w:val="center"/>
              <w:rPr>
                <w:rFonts w:ascii="Calibri" w:hAnsi="Calibri" w:eastAsia="Calibri" w:cs="Calibri"/>
                <w:spacing w:val="-1"/>
                <w:sz w:val="18"/>
                <w:szCs w:val="18"/>
              </w:rPr>
            </w:pPr>
            <w:r>
              <w:rPr>
                <w:rFonts w:ascii="Calibri" w:hAnsi="Calibri" w:eastAsia="Calibri" w:cs="Calibri"/>
                <w:spacing w:val="-1"/>
                <w:sz w:val="18"/>
                <w:szCs w:val="18"/>
              </w:rPr>
              <w:t>20</w:t>
            </w:r>
          </w:p>
        </w:tc>
        <w:tc>
          <w:tcPr>
            <w:tcW w:w="850" w:type="dxa"/>
            <w:shd w:val="clear" w:color="auto" w:fill="DAEEF3"/>
            <w:vAlign w:val="center"/>
          </w:tcPr>
          <w:p w14:paraId="1F37ADDC">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36158B84">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73962270">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9" w:type="dxa"/>
            <w:shd w:val="clear" w:color="auto" w:fill="DAEEF3"/>
            <w:vAlign w:val="center"/>
          </w:tcPr>
          <w:p w14:paraId="61B41A92">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850" w:type="dxa"/>
            <w:shd w:val="clear" w:color="auto" w:fill="DAEEF3"/>
            <w:vAlign w:val="center"/>
          </w:tcPr>
          <w:p w14:paraId="556C44DB">
            <w:pPr>
              <w:spacing w:before="125" w:line="184" w:lineRule="auto"/>
              <w:ind w:left="76" w:firstLine="9" w:firstLineChars="5"/>
              <w:jc w:val="center"/>
              <w:rPr>
                <w:rFonts w:ascii="Calibri" w:hAnsi="Calibri" w:eastAsia="Calibri" w:cs="Calibri"/>
                <w:spacing w:val="1"/>
                <w:sz w:val="18"/>
                <w:szCs w:val="18"/>
              </w:rPr>
            </w:pPr>
            <w:r>
              <w:rPr>
                <w:rFonts w:ascii="Calibri" w:hAnsi="Calibri" w:eastAsia="Calibri" w:cs="Calibri"/>
                <w:spacing w:val="1"/>
                <w:sz w:val="18"/>
                <w:szCs w:val="18"/>
              </w:rPr>
              <w:t>0.01</w:t>
            </w:r>
          </w:p>
        </w:tc>
        <w:tc>
          <w:tcPr>
            <w:tcW w:w="713" w:type="dxa"/>
            <w:shd w:val="clear" w:color="auto" w:fill="DAEEF3"/>
            <w:vAlign w:val="center"/>
          </w:tcPr>
          <w:p w14:paraId="359A5C07">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708" w:type="dxa"/>
            <w:shd w:val="clear" w:color="auto" w:fill="DAEEF3"/>
            <w:vAlign w:val="center"/>
          </w:tcPr>
          <w:p w14:paraId="7DC9438B">
            <w:pPr>
              <w:spacing w:before="167" w:line="60" w:lineRule="exact"/>
              <w:ind w:left="76" w:firstLine="9" w:firstLineChars="5"/>
              <w:jc w:val="center"/>
              <w:rPr>
                <w:rFonts w:ascii="Calibri" w:hAnsi="Calibri" w:eastAsia="Calibri" w:cs="Calibri"/>
                <w:position w:val="-1"/>
                <w:sz w:val="18"/>
                <w:szCs w:val="18"/>
              </w:rPr>
            </w:pPr>
            <w:r>
              <w:rPr>
                <w:rFonts w:ascii="Calibri" w:hAnsi="Calibri" w:eastAsia="Calibri" w:cs="Calibri"/>
                <w:position w:val="-1"/>
                <w:sz w:val="18"/>
                <w:szCs w:val="18"/>
              </w:rPr>
              <w:t>-</w:t>
            </w:r>
          </w:p>
        </w:tc>
        <w:tc>
          <w:tcPr>
            <w:tcW w:w="993" w:type="dxa"/>
            <w:vAlign w:val="center"/>
          </w:tcPr>
          <w:p w14:paraId="2D3124E2">
            <w:pPr>
              <w:pStyle w:val="122"/>
              <w:ind w:left="76" w:firstLine="9" w:firstLineChars="5"/>
              <w:rPr>
                <w:sz w:val="18"/>
                <w:szCs w:val="18"/>
              </w:rPr>
            </w:pPr>
            <w:r>
              <w:rPr>
                <w:rFonts w:hint="eastAsia" w:eastAsiaTheme="minorEastAsia"/>
                <w:sz w:val="18"/>
                <w:szCs w:val="18"/>
                <w:lang w:eastAsia="zh-CN"/>
              </w:rPr>
              <w:t>特别排放限制</w:t>
            </w:r>
          </w:p>
        </w:tc>
      </w:tr>
      <w:tr w14:paraId="621E3F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jc w:val="center"/>
        </w:trPr>
        <w:tc>
          <w:tcPr>
            <w:tcW w:w="2269" w:type="dxa"/>
            <w:gridSpan w:val="2"/>
            <w:vAlign w:val="center"/>
          </w:tcPr>
          <w:p w14:paraId="57F83305">
            <w:pPr>
              <w:spacing w:before="100" w:line="229" w:lineRule="auto"/>
              <w:ind w:left="76" w:firstLine="9" w:firstLineChars="5"/>
              <w:rPr>
                <w:rFonts w:ascii="宋体" w:hAnsi="宋体" w:eastAsia="宋体" w:cs="宋体"/>
                <w:sz w:val="18"/>
                <w:szCs w:val="18"/>
              </w:rPr>
            </w:pPr>
            <w:r>
              <w:rPr>
                <w:rFonts w:ascii="宋体" w:hAnsi="宋体" w:eastAsia="宋体" w:cs="宋体"/>
                <w:spacing w:val="3"/>
                <w:sz w:val="18"/>
                <w:szCs w:val="18"/>
              </w:rPr>
              <w:t>测量要求</w:t>
            </w:r>
          </w:p>
        </w:tc>
        <w:tc>
          <w:tcPr>
            <w:tcW w:w="850" w:type="dxa"/>
            <w:shd w:val="clear" w:color="auto" w:fill="EBF1DE"/>
            <w:vAlign w:val="center"/>
          </w:tcPr>
          <w:p w14:paraId="67CA3AE1">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5" w:type="dxa"/>
            <w:shd w:val="clear" w:color="auto" w:fill="EBF1DE"/>
            <w:vAlign w:val="center"/>
          </w:tcPr>
          <w:p w14:paraId="5441B170">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0" w:type="dxa"/>
            <w:shd w:val="clear" w:color="auto" w:fill="EBF1DE"/>
            <w:vAlign w:val="center"/>
          </w:tcPr>
          <w:p w14:paraId="7740FE82">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1" w:type="dxa"/>
            <w:shd w:val="clear" w:color="auto" w:fill="EBF1DE"/>
            <w:vAlign w:val="center"/>
          </w:tcPr>
          <w:p w14:paraId="1370C5DA">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46" w:type="dxa"/>
            <w:shd w:val="clear" w:color="auto" w:fill="EBF1DE"/>
            <w:vAlign w:val="center"/>
          </w:tcPr>
          <w:p w14:paraId="68630326">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1" w:type="dxa"/>
            <w:shd w:val="clear" w:color="auto" w:fill="EBF1DE"/>
            <w:vAlign w:val="center"/>
          </w:tcPr>
          <w:p w14:paraId="397CC988">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0" w:type="dxa"/>
            <w:shd w:val="clear" w:color="auto" w:fill="EBF1DE"/>
            <w:vAlign w:val="center"/>
          </w:tcPr>
          <w:p w14:paraId="034C427F">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1" w:type="dxa"/>
            <w:shd w:val="clear" w:color="auto" w:fill="EBF1DE"/>
            <w:vAlign w:val="center"/>
          </w:tcPr>
          <w:p w14:paraId="1F9FBEAE">
            <w:pPr>
              <w:spacing w:before="107" w:line="228" w:lineRule="auto"/>
              <w:ind w:left="76" w:firstLine="9" w:firstLineChars="5"/>
              <w:jc w:val="center"/>
              <w:rPr>
                <w:rFonts w:ascii="宋体" w:hAnsi="宋体" w:eastAsia="宋体" w:cs="宋体"/>
                <w:sz w:val="18"/>
                <w:szCs w:val="18"/>
              </w:rPr>
            </w:pPr>
            <w:r>
              <w:rPr>
                <w:rFonts w:ascii="宋体" w:hAnsi="宋体" w:eastAsia="宋体" w:cs="宋体"/>
                <w:spacing w:val="3"/>
                <w:sz w:val="18"/>
                <w:szCs w:val="18"/>
              </w:rPr>
              <w:t>连续监测</w:t>
            </w:r>
          </w:p>
        </w:tc>
        <w:tc>
          <w:tcPr>
            <w:tcW w:w="850" w:type="dxa"/>
            <w:shd w:val="clear" w:color="auto" w:fill="DAEEF3"/>
            <w:vAlign w:val="center"/>
          </w:tcPr>
          <w:p w14:paraId="4E62EA0F">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709" w:type="dxa"/>
            <w:shd w:val="clear" w:color="auto" w:fill="DAEEF3"/>
            <w:vAlign w:val="center"/>
          </w:tcPr>
          <w:p w14:paraId="43BA31EB">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709" w:type="dxa"/>
            <w:shd w:val="clear" w:color="auto" w:fill="DAEEF3"/>
            <w:vAlign w:val="center"/>
          </w:tcPr>
          <w:p w14:paraId="5919D07F">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709" w:type="dxa"/>
            <w:shd w:val="clear" w:color="auto" w:fill="DAEEF3"/>
            <w:vAlign w:val="center"/>
          </w:tcPr>
          <w:p w14:paraId="4E6086F5">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850" w:type="dxa"/>
            <w:shd w:val="clear" w:color="auto" w:fill="DAEEF3"/>
            <w:vAlign w:val="center"/>
          </w:tcPr>
          <w:p w14:paraId="68263147">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713" w:type="dxa"/>
            <w:shd w:val="clear" w:color="auto" w:fill="DAEEF3"/>
            <w:vAlign w:val="center"/>
          </w:tcPr>
          <w:p w14:paraId="1C3D6D8D">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708" w:type="dxa"/>
            <w:shd w:val="clear" w:color="auto" w:fill="DAEEF3"/>
            <w:vAlign w:val="center"/>
          </w:tcPr>
          <w:p w14:paraId="7BA07E41">
            <w:pPr>
              <w:spacing w:before="107" w:line="227" w:lineRule="auto"/>
              <w:ind w:left="76" w:firstLine="9" w:firstLineChars="5"/>
              <w:jc w:val="center"/>
              <w:rPr>
                <w:rFonts w:ascii="宋体" w:hAnsi="宋体" w:eastAsia="宋体" w:cs="宋体"/>
                <w:sz w:val="18"/>
                <w:szCs w:val="18"/>
              </w:rPr>
            </w:pPr>
            <w:r>
              <w:rPr>
                <w:rFonts w:ascii="宋体" w:hAnsi="宋体" w:eastAsia="宋体" w:cs="宋体"/>
                <w:spacing w:val="2"/>
                <w:sz w:val="18"/>
                <w:szCs w:val="18"/>
              </w:rPr>
              <w:t>检测</w:t>
            </w:r>
          </w:p>
        </w:tc>
        <w:tc>
          <w:tcPr>
            <w:tcW w:w="993" w:type="dxa"/>
          </w:tcPr>
          <w:p w14:paraId="5718811E">
            <w:pPr>
              <w:pStyle w:val="122"/>
              <w:ind w:left="76" w:firstLine="9" w:firstLineChars="5"/>
              <w:rPr>
                <w:sz w:val="18"/>
                <w:szCs w:val="18"/>
              </w:rPr>
            </w:pPr>
          </w:p>
        </w:tc>
      </w:tr>
      <w:tr w14:paraId="53F6A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2269" w:type="dxa"/>
            <w:gridSpan w:val="2"/>
            <w:vMerge w:val="restart"/>
            <w:tcBorders>
              <w:bottom w:val="nil"/>
            </w:tcBorders>
            <w:vAlign w:val="center"/>
          </w:tcPr>
          <w:p w14:paraId="3D7054C7">
            <w:pPr>
              <w:spacing w:before="36" w:line="241" w:lineRule="auto"/>
              <w:ind w:left="76" w:firstLine="9" w:firstLineChars="5"/>
              <w:rPr>
                <w:rFonts w:ascii="宋体" w:hAnsi="宋体" w:eastAsia="宋体" w:cs="宋体"/>
                <w:sz w:val="18"/>
                <w:szCs w:val="18"/>
              </w:rPr>
            </w:pPr>
            <w:r>
              <w:rPr>
                <w:rFonts w:ascii="宋体" w:hAnsi="宋体" w:eastAsia="宋体" w:cs="宋体"/>
                <w:spacing w:val="3"/>
                <w:sz w:val="18"/>
                <w:szCs w:val="18"/>
              </w:rPr>
              <w:t>执行标准</w:t>
            </w:r>
            <w:r>
              <w:rPr>
                <w:rFonts w:ascii="Calibri" w:hAnsi="Calibri" w:eastAsia="Calibri" w:cs="Calibri"/>
                <w:spacing w:val="3"/>
                <w:sz w:val="18"/>
                <w:szCs w:val="18"/>
              </w:rPr>
              <w:t>/</w:t>
            </w:r>
            <w:r>
              <w:rPr>
                <w:rFonts w:ascii="宋体" w:hAnsi="宋体" w:eastAsia="宋体" w:cs="宋体"/>
                <w:spacing w:val="3"/>
                <w:sz w:val="18"/>
                <w:szCs w:val="18"/>
              </w:rPr>
              <w:t>编号</w:t>
            </w:r>
          </w:p>
        </w:tc>
        <w:tc>
          <w:tcPr>
            <w:tcW w:w="850" w:type="dxa"/>
            <w:vMerge w:val="restart"/>
            <w:tcBorders>
              <w:bottom w:val="nil"/>
            </w:tcBorders>
            <w:shd w:val="clear" w:color="auto" w:fill="EBF1DE"/>
            <w:vAlign w:val="center"/>
          </w:tcPr>
          <w:p w14:paraId="19713947">
            <w:pPr>
              <w:spacing w:before="3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HJ</w:t>
            </w:r>
            <w:r>
              <w:rPr>
                <w:rFonts w:ascii="Calibri" w:hAnsi="Calibri" w:eastAsia="Calibri" w:cs="Calibri"/>
                <w:spacing w:val="8"/>
                <w:w w:val="103"/>
                <w:sz w:val="18"/>
                <w:szCs w:val="18"/>
              </w:rPr>
              <w:t xml:space="preserve"> </w:t>
            </w:r>
            <w:r>
              <w:rPr>
                <w:rFonts w:ascii="Calibri" w:hAnsi="Calibri" w:eastAsia="Calibri" w:cs="Calibri"/>
                <w:sz w:val="18"/>
                <w:szCs w:val="18"/>
              </w:rPr>
              <w:t>76-2017</w:t>
            </w:r>
          </w:p>
        </w:tc>
        <w:tc>
          <w:tcPr>
            <w:tcW w:w="855" w:type="dxa"/>
            <w:vMerge w:val="restart"/>
            <w:tcBorders>
              <w:bottom w:val="nil"/>
            </w:tcBorders>
            <w:shd w:val="clear" w:color="auto" w:fill="EBF1DE"/>
            <w:vAlign w:val="center"/>
          </w:tcPr>
          <w:p w14:paraId="27AF0A3F">
            <w:pPr>
              <w:spacing w:before="247" w:line="242" w:lineRule="auto"/>
              <w:ind w:left="76" w:right="34" w:firstLine="9" w:firstLineChars="5"/>
              <w:jc w:val="center"/>
              <w:rPr>
                <w:rFonts w:ascii="宋体" w:hAnsi="宋体" w:eastAsia="宋体" w:cs="宋体"/>
                <w:sz w:val="18"/>
                <w:szCs w:val="18"/>
              </w:rPr>
            </w:pPr>
            <w:r>
              <w:rPr>
                <w:rFonts w:hint="eastAsia" w:ascii="宋体" w:hAnsi="宋体" w:eastAsia="宋体" w:cs="宋体"/>
                <w:spacing w:val="3"/>
                <w:sz w:val="18"/>
                <w:szCs w:val="18"/>
              </w:rPr>
              <w:t>《</w:t>
            </w:r>
            <w:r>
              <w:rPr>
                <w:rFonts w:ascii="宋体" w:hAnsi="宋体" w:eastAsia="宋体" w:cs="宋体"/>
                <w:spacing w:val="3"/>
                <w:sz w:val="18"/>
                <w:szCs w:val="18"/>
              </w:rPr>
              <w:t>垃圾焚烧检测作业指导书</w:t>
            </w:r>
            <w:r>
              <w:rPr>
                <w:rFonts w:hint="eastAsia" w:ascii="宋体" w:hAnsi="宋体" w:eastAsia="宋体" w:cs="宋体"/>
                <w:spacing w:val="3"/>
                <w:sz w:val="18"/>
                <w:szCs w:val="18"/>
              </w:rPr>
              <w:t>》</w:t>
            </w:r>
          </w:p>
        </w:tc>
        <w:tc>
          <w:tcPr>
            <w:tcW w:w="850" w:type="dxa"/>
            <w:vMerge w:val="restart"/>
            <w:tcBorders>
              <w:bottom w:val="nil"/>
            </w:tcBorders>
            <w:shd w:val="clear" w:color="auto" w:fill="EBF1DE"/>
            <w:vAlign w:val="center"/>
          </w:tcPr>
          <w:p w14:paraId="0128E83C">
            <w:pPr>
              <w:spacing w:before="248" w:line="230" w:lineRule="auto"/>
              <w:ind w:left="76" w:firstLine="9" w:firstLineChars="5"/>
              <w:jc w:val="center"/>
              <w:rPr>
                <w:rFonts w:ascii="宋体" w:hAnsi="宋体" w:eastAsia="宋体" w:cs="宋体"/>
                <w:sz w:val="18"/>
                <w:szCs w:val="18"/>
              </w:rPr>
            </w:pPr>
            <w:r>
              <w:rPr>
                <w:rFonts w:ascii="宋体" w:hAnsi="宋体" w:eastAsia="宋体" w:cs="宋体"/>
                <w:spacing w:val="1"/>
                <w:sz w:val="18"/>
                <w:szCs w:val="18"/>
              </w:rPr>
              <w:t>参照</w:t>
            </w:r>
          </w:p>
          <w:p w14:paraId="1961F501">
            <w:pPr>
              <w:spacing w:before="3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HJ</w:t>
            </w:r>
            <w:r>
              <w:rPr>
                <w:rFonts w:ascii="Calibri" w:hAnsi="Calibri" w:eastAsia="Calibri" w:cs="Calibri"/>
                <w:spacing w:val="8"/>
                <w:w w:val="103"/>
                <w:sz w:val="18"/>
                <w:szCs w:val="18"/>
              </w:rPr>
              <w:t xml:space="preserve"> </w:t>
            </w:r>
            <w:r>
              <w:rPr>
                <w:rFonts w:ascii="Calibri" w:hAnsi="Calibri" w:eastAsia="Calibri" w:cs="Calibri"/>
                <w:sz w:val="18"/>
                <w:szCs w:val="18"/>
              </w:rPr>
              <w:t>76-2017</w:t>
            </w:r>
          </w:p>
        </w:tc>
        <w:tc>
          <w:tcPr>
            <w:tcW w:w="851" w:type="dxa"/>
            <w:vMerge w:val="restart"/>
            <w:tcBorders>
              <w:bottom w:val="nil"/>
            </w:tcBorders>
            <w:shd w:val="clear" w:color="auto" w:fill="EBF1DE"/>
            <w:vAlign w:val="center"/>
          </w:tcPr>
          <w:p w14:paraId="5E00EB79">
            <w:pPr>
              <w:spacing w:before="3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HJ</w:t>
            </w:r>
            <w:r>
              <w:rPr>
                <w:rFonts w:ascii="Calibri" w:hAnsi="Calibri" w:eastAsia="Calibri" w:cs="Calibri"/>
                <w:spacing w:val="8"/>
                <w:w w:val="103"/>
                <w:sz w:val="18"/>
                <w:szCs w:val="18"/>
              </w:rPr>
              <w:t xml:space="preserve"> </w:t>
            </w:r>
            <w:r>
              <w:rPr>
                <w:rFonts w:ascii="Calibri" w:hAnsi="Calibri" w:eastAsia="Calibri" w:cs="Calibri"/>
                <w:sz w:val="18"/>
                <w:szCs w:val="18"/>
              </w:rPr>
              <w:t>76-2017</w:t>
            </w:r>
          </w:p>
        </w:tc>
        <w:tc>
          <w:tcPr>
            <w:tcW w:w="846" w:type="dxa"/>
            <w:vMerge w:val="restart"/>
            <w:tcBorders>
              <w:bottom w:val="nil"/>
            </w:tcBorders>
            <w:shd w:val="clear" w:color="auto" w:fill="EBF1DE"/>
            <w:vAlign w:val="center"/>
          </w:tcPr>
          <w:p w14:paraId="64566A91">
            <w:pPr>
              <w:spacing w:before="3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HJ</w:t>
            </w:r>
            <w:r>
              <w:rPr>
                <w:rFonts w:ascii="Calibri" w:hAnsi="Calibri" w:eastAsia="Calibri" w:cs="Calibri"/>
                <w:spacing w:val="8"/>
                <w:w w:val="103"/>
                <w:sz w:val="18"/>
                <w:szCs w:val="18"/>
              </w:rPr>
              <w:t xml:space="preserve"> </w:t>
            </w:r>
            <w:r>
              <w:rPr>
                <w:rFonts w:ascii="Calibri" w:hAnsi="Calibri" w:eastAsia="Calibri" w:cs="Calibri"/>
                <w:sz w:val="18"/>
                <w:szCs w:val="18"/>
              </w:rPr>
              <w:t>76-2017</w:t>
            </w:r>
          </w:p>
        </w:tc>
        <w:tc>
          <w:tcPr>
            <w:tcW w:w="851" w:type="dxa"/>
            <w:vMerge w:val="restart"/>
            <w:tcBorders>
              <w:bottom w:val="nil"/>
            </w:tcBorders>
            <w:shd w:val="clear" w:color="auto" w:fill="EBF1DE"/>
            <w:vAlign w:val="center"/>
          </w:tcPr>
          <w:p w14:paraId="62432A85">
            <w:pPr>
              <w:spacing w:before="172" w:line="242" w:lineRule="auto"/>
              <w:ind w:left="76" w:right="33" w:firstLine="9" w:firstLineChars="5"/>
              <w:jc w:val="center"/>
              <w:rPr>
                <w:rFonts w:ascii="宋体" w:hAnsi="宋体" w:eastAsia="宋体" w:cs="宋体"/>
                <w:sz w:val="18"/>
                <w:szCs w:val="18"/>
              </w:rPr>
            </w:pPr>
            <w:r>
              <w:rPr>
                <w:rFonts w:ascii="宋体" w:hAnsi="宋体" w:eastAsia="宋体" w:cs="宋体"/>
                <w:spacing w:val="3"/>
                <w:sz w:val="18"/>
                <w:szCs w:val="18"/>
              </w:rPr>
              <w:t xml:space="preserve">无连续监测标 </w:t>
            </w:r>
            <w:r>
              <w:rPr>
                <w:rFonts w:ascii="宋体" w:hAnsi="宋体" w:eastAsia="宋体" w:cs="宋体"/>
                <w:sz w:val="18"/>
                <w:szCs w:val="18"/>
              </w:rPr>
              <w:t>准</w:t>
            </w:r>
          </w:p>
          <w:p w14:paraId="45C31518">
            <w:pPr>
              <w:spacing w:before="23" w:line="230"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HJ/T</w:t>
            </w:r>
            <w:r>
              <w:rPr>
                <w:rFonts w:ascii="Calibri" w:hAnsi="Calibri" w:eastAsia="Calibri" w:cs="Calibri"/>
                <w:spacing w:val="9"/>
                <w:w w:val="103"/>
                <w:sz w:val="18"/>
                <w:szCs w:val="18"/>
              </w:rPr>
              <w:t xml:space="preserve"> </w:t>
            </w:r>
            <w:r>
              <w:rPr>
                <w:rFonts w:ascii="Calibri" w:hAnsi="Calibri" w:eastAsia="Calibri" w:cs="Calibri"/>
                <w:spacing w:val="-1"/>
                <w:sz w:val="18"/>
                <w:szCs w:val="18"/>
              </w:rPr>
              <w:t>67</w:t>
            </w:r>
          </w:p>
        </w:tc>
        <w:tc>
          <w:tcPr>
            <w:tcW w:w="850" w:type="dxa"/>
            <w:vMerge w:val="restart"/>
            <w:tcBorders>
              <w:bottom w:val="nil"/>
            </w:tcBorders>
            <w:shd w:val="clear" w:color="auto" w:fill="EBF1DE"/>
            <w:vAlign w:val="center"/>
          </w:tcPr>
          <w:p w14:paraId="680D1F52">
            <w:pPr>
              <w:spacing w:before="247" w:line="242" w:lineRule="auto"/>
              <w:ind w:left="76" w:right="32" w:firstLine="9" w:firstLineChars="5"/>
              <w:jc w:val="center"/>
              <w:rPr>
                <w:rFonts w:ascii="宋体" w:hAnsi="宋体" w:eastAsia="宋体" w:cs="宋体"/>
                <w:sz w:val="18"/>
                <w:szCs w:val="18"/>
              </w:rPr>
            </w:pPr>
            <w:r>
              <w:rPr>
                <w:rFonts w:hint="eastAsia" w:ascii="宋体" w:hAnsi="宋体" w:eastAsia="宋体" w:cs="宋体"/>
                <w:spacing w:val="3"/>
                <w:sz w:val="18"/>
                <w:szCs w:val="18"/>
              </w:rPr>
              <w:t>《</w:t>
            </w:r>
            <w:r>
              <w:rPr>
                <w:rFonts w:ascii="宋体" w:hAnsi="宋体" w:eastAsia="宋体" w:cs="宋体"/>
                <w:spacing w:val="3"/>
                <w:sz w:val="18"/>
                <w:szCs w:val="18"/>
              </w:rPr>
              <w:t>垃圾焚烧检测作业指导书</w:t>
            </w:r>
            <w:r>
              <w:rPr>
                <w:rFonts w:hint="eastAsia" w:ascii="宋体" w:hAnsi="宋体" w:eastAsia="宋体" w:cs="宋体"/>
                <w:spacing w:val="3"/>
                <w:sz w:val="18"/>
                <w:szCs w:val="18"/>
              </w:rPr>
              <w:t>》</w:t>
            </w:r>
          </w:p>
        </w:tc>
        <w:tc>
          <w:tcPr>
            <w:tcW w:w="851" w:type="dxa"/>
            <w:vMerge w:val="restart"/>
            <w:tcBorders>
              <w:bottom w:val="nil"/>
            </w:tcBorders>
            <w:shd w:val="clear" w:color="auto" w:fill="EBF1DE"/>
            <w:vAlign w:val="center"/>
          </w:tcPr>
          <w:p w14:paraId="5A777251">
            <w:pPr>
              <w:spacing w:before="34" w:line="184" w:lineRule="auto"/>
              <w:ind w:left="76" w:firstLine="9" w:firstLineChars="5"/>
              <w:jc w:val="center"/>
              <w:rPr>
                <w:rFonts w:ascii="Calibri" w:hAnsi="Calibri" w:eastAsia="Calibri" w:cs="Calibri"/>
                <w:sz w:val="18"/>
                <w:szCs w:val="18"/>
              </w:rPr>
            </w:pPr>
            <w:r>
              <w:rPr>
                <w:rFonts w:ascii="Calibri" w:hAnsi="Calibri" w:eastAsia="Calibri" w:cs="Calibri"/>
                <w:sz w:val="18"/>
                <w:szCs w:val="18"/>
              </w:rPr>
              <w:t>HJ</w:t>
            </w:r>
            <w:r>
              <w:rPr>
                <w:rFonts w:ascii="Calibri" w:hAnsi="Calibri" w:eastAsia="Calibri" w:cs="Calibri"/>
                <w:spacing w:val="11"/>
                <w:w w:val="103"/>
                <w:sz w:val="18"/>
                <w:szCs w:val="18"/>
              </w:rPr>
              <w:t xml:space="preserve"> </w:t>
            </w:r>
            <w:r>
              <w:rPr>
                <w:rFonts w:ascii="Calibri" w:hAnsi="Calibri" w:eastAsia="Calibri" w:cs="Calibri"/>
                <w:sz w:val="18"/>
                <w:szCs w:val="18"/>
              </w:rPr>
              <w:t>1013-2018</w:t>
            </w:r>
          </w:p>
        </w:tc>
        <w:tc>
          <w:tcPr>
            <w:tcW w:w="850" w:type="dxa"/>
            <w:shd w:val="clear" w:color="auto" w:fill="DAEEF3"/>
            <w:vAlign w:val="center"/>
          </w:tcPr>
          <w:p w14:paraId="33696BFD">
            <w:pPr>
              <w:spacing w:before="62"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583</w:t>
            </w:r>
          </w:p>
        </w:tc>
        <w:tc>
          <w:tcPr>
            <w:tcW w:w="709" w:type="dxa"/>
            <w:vMerge w:val="restart"/>
            <w:tcBorders>
              <w:bottom w:val="nil"/>
            </w:tcBorders>
            <w:shd w:val="clear" w:color="auto" w:fill="DAEEF3"/>
            <w:vAlign w:val="center"/>
          </w:tcPr>
          <w:p w14:paraId="6E60853A">
            <w:pPr>
              <w:spacing w:before="34"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533</w:t>
            </w:r>
          </w:p>
        </w:tc>
        <w:tc>
          <w:tcPr>
            <w:tcW w:w="709" w:type="dxa"/>
            <w:vMerge w:val="restart"/>
            <w:tcBorders>
              <w:bottom w:val="nil"/>
            </w:tcBorders>
            <w:shd w:val="clear" w:color="auto" w:fill="DAEEF3"/>
            <w:vAlign w:val="center"/>
          </w:tcPr>
          <w:p w14:paraId="07E3E461">
            <w:pPr>
              <w:spacing w:before="34" w:line="230" w:lineRule="auto"/>
              <w:ind w:left="76" w:firstLine="9" w:firstLineChars="5"/>
              <w:jc w:val="center"/>
              <w:rPr>
                <w:rFonts w:ascii="Calibri" w:hAnsi="Calibri" w:eastAsia="Calibri" w:cs="Calibri"/>
                <w:sz w:val="18"/>
                <w:szCs w:val="18"/>
              </w:rPr>
            </w:pPr>
            <w:r>
              <w:rPr>
                <w:rFonts w:ascii="Calibri" w:hAnsi="Calibri" w:eastAsia="Calibri" w:cs="Calibri"/>
                <w:sz w:val="18"/>
                <w:szCs w:val="18"/>
              </w:rPr>
              <w:t>GB/T</w:t>
            </w:r>
            <w:r>
              <w:rPr>
                <w:rFonts w:ascii="Calibri" w:hAnsi="Calibri" w:eastAsia="Calibri" w:cs="Calibri"/>
                <w:spacing w:val="13"/>
                <w:sz w:val="18"/>
                <w:szCs w:val="18"/>
              </w:rPr>
              <w:t xml:space="preserve"> </w:t>
            </w:r>
            <w:r>
              <w:rPr>
                <w:rFonts w:ascii="Calibri" w:hAnsi="Calibri" w:eastAsia="Calibri" w:cs="Calibri"/>
                <w:sz w:val="18"/>
                <w:szCs w:val="18"/>
              </w:rPr>
              <w:t>14678</w:t>
            </w:r>
          </w:p>
        </w:tc>
        <w:tc>
          <w:tcPr>
            <w:tcW w:w="709" w:type="dxa"/>
            <w:vMerge w:val="restart"/>
            <w:tcBorders>
              <w:bottom w:val="nil"/>
            </w:tcBorders>
            <w:shd w:val="clear" w:color="auto" w:fill="DAEEF3"/>
            <w:vAlign w:val="center"/>
          </w:tcPr>
          <w:p w14:paraId="4CBD1CB4">
            <w:pPr>
              <w:spacing w:before="33" w:line="183"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544</w:t>
            </w:r>
          </w:p>
        </w:tc>
        <w:tc>
          <w:tcPr>
            <w:tcW w:w="850" w:type="dxa"/>
            <w:vMerge w:val="restart"/>
            <w:tcBorders>
              <w:bottom w:val="nil"/>
            </w:tcBorders>
            <w:shd w:val="clear" w:color="auto" w:fill="DAEEF3"/>
            <w:vAlign w:val="center"/>
          </w:tcPr>
          <w:p w14:paraId="0E02F977">
            <w:pPr>
              <w:spacing w:before="34"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543</w:t>
            </w:r>
          </w:p>
        </w:tc>
        <w:tc>
          <w:tcPr>
            <w:tcW w:w="713" w:type="dxa"/>
            <w:vMerge w:val="restart"/>
            <w:tcBorders>
              <w:bottom w:val="nil"/>
            </w:tcBorders>
            <w:shd w:val="clear" w:color="auto" w:fill="DAEEF3"/>
            <w:vAlign w:val="center"/>
          </w:tcPr>
          <w:p w14:paraId="2328F611">
            <w:pPr>
              <w:spacing w:before="34" w:line="230" w:lineRule="auto"/>
              <w:ind w:left="76" w:firstLine="8" w:firstLineChars="5"/>
              <w:jc w:val="center"/>
              <w:rPr>
                <w:rFonts w:ascii="Calibri" w:hAnsi="Calibri" w:eastAsia="Calibri" w:cs="Calibri"/>
                <w:sz w:val="18"/>
                <w:szCs w:val="18"/>
              </w:rPr>
            </w:pPr>
            <w:r>
              <w:rPr>
                <w:rFonts w:ascii="Calibri" w:hAnsi="Calibri" w:eastAsia="Calibri" w:cs="Calibri"/>
                <w:spacing w:val="-1"/>
                <w:sz w:val="18"/>
                <w:szCs w:val="18"/>
              </w:rPr>
              <w:t>HJ/T</w:t>
            </w:r>
            <w:r>
              <w:rPr>
                <w:rFonts w:ascii="Calibri" w:hAnsi="Calibri" w:eastAsia="Calibri" w:cs="Calibri"/>
                <w:spacing w:val="9"/>
                <w:w w:val="104"/>
                <w:sz w:val="18"/>
                <w:szCs w:val="18"/>
              </w:rPr>
              <w:t xml:space="preserve"> </w:t>
            </w:r>
            <w:r>
              <w:rPr>
                <w:rFonts w:ascii="Calibri" w:hAnsi="Calibri" w:eastAsia="Calibri" w:cs="Calibri"/>
                <w:spacing w:val="-1"/>
                <w:sz w:val="18"/>
                <w:szCs w:val="18"/>
              </w:rPr>
              <w:t>28</w:t>
            </w:r>
          </w:p>
        </w:tc>
        <w:tc>
          <w:tcPr>
            <w:tcW w:w="708" w:type="dxa"/>
            <w:vMerge w:val="restart"/>
            <w:tcBorders>
              <w:bottom w:val="nil"/>
            </w:tcBorders>
            <w:shd w:val="clear" w:color="auto" w:fill="DAEEF3"/>
            <w:vAlign w:val="center"/>
          </w:tcPr>
          <w:p w14:paraId="7574A79D">
            <w:pPr>
              <w:spacing w:before="247" w:line="244" w:lineRule="auto"/>
              <w:ind w:left="76" w:right="30" w:firstLine="9" w:firstLineChars="5"/>
              <w:jc w:val="center"/>
              <w:rPr>
                <w:rFonts w:ascii="宋体" w:hAnsi="宋体" w:eastAsia="宋体" w:cs="宋体"/>
                <w:sz w:val="18"/>
                <w:szCs w:val="18"/>
              </w:rPr>
            </w:pPr>
            <w:r>
              <w:rPr>
                <w:rFonts w:ascii="宋体" w:hAnsi="宋体" w:eastAsia="宋体" w:cs="宋体"/>
                <w:spacing w:val="3"/>
                <w:sz w:val="18"/>
                <w:szCs w:val="18"/>
              </w:rPr>
              <w:t xml:space="preserve">待有国标后实 </w:t>
            </w:r>
            <w:r>
              <w:rPr>
                <w:rFonts w:ascii="宋体" w:hAnsi="宋体" w:eastAsia="宋体" w:cs="宋体"/>
                <w:sz w:val="18"/>
                <w:szCs w:val="18"/>
              </w:rPr>
              <w:t>施</w:t>
            </w:r>
          </w:p>
        </w:tc>
        <w:tc>
          <w:tcPr>
            <w:tcW w:w="993" w:type="dxa"/>
            <w:vMerge w:val="restart"/>
            <w:tcBorders>
              <w:bottom w:val="nil"/>
            </w:tcBorders>
            <w:vAlign w:val="center"/>
          </w:tcPr>
          <w:p w14:paraId="174F3024">
            <w:pPr>
              <w:pStyle w:val="122"/>
              <w:ind w:left="76" w:firstLine="9" w:firstLineChars="5"/>
              <w:rPr>
                <w:sz w:val="18"/>
                <w:szCs w:val="18"/>
              </w:rPr>
            </w:pPr>
          </w:p>
        </w:tc>
      </w:tr>
      <w:tr w14:paraId="34A74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jc w:val="center"/>
        </w:trPr>
        <w:tc>
          <w:tcPr>
            <w:tcW w:w="2269" w:type="dxa"/>
            <w:gridSpan w:val="2"/>
            <w:vMerge w:val="continue"/>
            <w:tcBorders>
              <w:top w:val="nil"/>
              <w:bottom w:val="nil"/>
            </w:tcBorders>
          </w:tcPr>
          <w:p w14:paraId="37EC52B4">
            <w:pPr>
              <w:pStyle w:val="122"/>
              <w:ind w:left="76" w:firstLine="9" w:firstLineChars="5"/>
              <w:rPr>
                <w:sz w:val="18"/>
                <w:szCs w:val="18"/>
              </w:rPr>
            </w:pPr>
          </w:p>
        </w:tc>
        <w:tc>
          <w:tcPr>
            <w:tcW w:w="850" w:type="dxa"/>
            <w:vMerge w:val="continue"/>
            <w:tcBorders>
              <w:top w:val="nil"/>
              <w:bottom w:val="nil"/>
            </w:tcBorders>
          </w:tcPr>
          <w:p w14:paraId="002D8302">
            <w:pPr>
              <w:pStyle w:val="122"/>
              <w:ind w:left="76" w:firstLine="9" w:firstLineChars="5"/>
              <w:rPr>
                <w:sz w:val="18"/>
                <w:szCs w:val="18"/>
              </w:rPr>
            </w:pPr>
          </w:p>
        </w:tc>
        <w:tc>
          <w:tcPr>
            <w:tcW w:w="855" w:type="dxa"/>
            <w:vMerge w:val="continue"/>
            <w:tcBorders>
              <w:top w:val="nil"/>
              <w:bottom w:val="nil"/>
            </w:tcBorders>
          </w:tcPr>
          <w:p w14:paraId="6D079F5E">
            <w:pPr>
              <w:pStyle w:val="122"/>
              <w:ind w:left="76" w:firstLine="9" w:firstLineChars="5"/>
              <w:rPr>
                <w:sz w:val="18"/>
                <w:szCs w:val="18"/>
              </w:rPr>
            </w:pPr>
          </w:p>
        </w:tc>
        <w:tc>
          <w:tcPr>
            <w:tcW w:w="850" w:type="dxa"/>
            <w:vMerge w:val="continue"/>
            <w:tcBorders>
              <w:top w:val="nil"/>
              <w:bottom w:val="nil"/>
            </w:tcBorders>
          </w:tcPr>
          <w:p w14:paraId="5879C977">
            <w:pPr>
              <w:pStyle w:val="122"/>
              <w:ind w:left="76" w:firstLine="9" w:firstLineChars="5"/>
              <w:rPr>
                <w:sz w:val="18"/>
                <w:szCs w:val="18"/>
              </w:rPr>
            </w:pPr>
          </w:p>
        </w:tc>
        <w:tc>
          <w:tcPr>
            <w:tcW w:w="851" w:type="dxa"/>
            <w:vMerge w:val="continue"/>
            <w:tcBorders>
              <w:top w:val="nil"/>
              <w:bottom w:val="nil"/>
            </w:tcBorders>
          </w:tcPr>
          <w:p w14:paraId="5332CD3F">
            <w:pPr>
              <w:pStyle w:val="122"/>
              <w:ind w:left="76" w:firstLine="9" w:firstLineChars="5"/>
              <w:rPr>
                <w:sz w:val="18"/>
                <w:szCs w:val="18"/>
              </w:rPr>
            </w:pPr>
          </w:p>
        </w:tc>
        <w:tc>
          <w:tcPr>
            <w:tcW w:w="846" w:type="dxa"/>
            <w:vMerge w:val="continue"/>
            <w:tcBorders>
              <w:top w:val="nil"/>
              <w:bottom w:val="nil"/>
            </w:tcBorders>
          </w:tcPr>
          <w:p w14:paraId="5EF8BCC1">
            <w:pPr>
              <w:pStyle w:val="122"/>
              <w:ind w:left="76" w:firstLine="9" w:firstLineChars="5"/>
              <w:rPr>
                <w:sz w:val="18"/>
                <w:szCs w:val="18"/>
              </w:rPr>
            </w:pPr>
          </w:p>
        </w:tc>
        <w:tc>
          <w:tcPr>
            <w:tcW w:w="851" w:type="dxa"/>
            <w:vMerge w:val="continue"/>
            <w:tcBorders>
              <w:top w:val="nil"/>
              <w:bottom w:val="nil"/>
            </w:tcBorders>
          </w:tcPr>
          <w:p w14:paraId="076E3446">
            <w:pPr>
              <w:pStyle w:val="122"/>
              <w:ind w:left="76" w:firstLine="9" w:firstLineChars="5"/>
              <w:rPr>
                <w:sz w:val="18"/>
                <w:szCs w:val="18"/>
              </w:rPr>
            </w:pPr>
          </w:p>
        </w:tc>
        <w:tc>
          <w:tcPr>
            <w:tcW w:w="850" w:type="dxa"/>
            <w:vMerge w:val="continue"/>
            <w:tcBorders>
              <w:top w:val="nil"/>
              <w:bottom w:val="nil"/>
            </w:tcBorders>
          </w:tcPr>
          <w:p w14:paraId="29D81415">
            <w:pPr>
              <w:pStyle w:val="122"/>
              <w:ind w:left="76" w:firstLine="9" w:firstLineChars="5"/>
              <w:rPr>
                <w:sz w:val="18"/>
                <w:szCs w:val="18"/>
              </w:rPr>
            </w:pPr>
          </w:p>
        </w:tc>
        <w:tc>
          <w:tcPr>
            <w:tcW w:w="851" w:type="dxa"/>
            <w:vMerge w:val="continue"/>
            <w:tcBorders>
              <w:top w:val="nil"/>
              <w:bottom w:val="nil"/>
            </w:tcBorders>
          </w:tcPr>
          <w:p w14:paraId="61873B60">
            <w:pPr>
              <w:pStyle w:val="122"/>
              <w:ind w:left="76" w:firstLine="9" w:firstLineChars="5"/>
              <w:rPr>
                <w:sz w:val="18"/>
                <w:szCs w:val="18"/>
              </w:rPr>
            </w:pPr>
          </w:p>
        </w:tc>
        <w:tc>
          <w:tcPr>
            <w:tcW w:w="850" w:type="dxa"/>
            <w:shd w:val="clear" w:color="auto" w:fill="DAEEF3"/>
          </w:tcPr>
          <w:p w14:paraId="1BFDB23C">
            <w:pPr>
              <w:spacing w:before="62"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584</w:t>
            </w:r>
          </w:p>
        </w:tc>
        <w:tc>
          <w:tcPr>
            <w:tcW w:w="709" w:type="dxa"/>
            <w:vMerge w:val="continue"/>
            <w:tcBorders>
              <w:top w:val="nil"/>
              <w:bottom w:val="nil"/>
            </w:tcBorders>
          </w:tcPr>
          <w:p w14:paraId="6EAB71E6">
            <w:pPr>
              <w:pStyle w:val="122"/>
              <w:ind w:left="76" w:firstLine="9" w:firstLineChars="5"/>
              <w:rPr>
                <w:sz w:val="18"/>
                <w:szCs w:val="18"/>
              </w:rPr>
            </w:pPr>
          </w:p>
        </w:tc>
        <w:tc>
          <w:tcPr>
            <w:tcW w:w="709" w:type="dxa"/>
            <w:vMerge w:val="continue"/>
            <w:tcBorders>
              <w:top w:val="nil"/>
              <w:bottom w:val="nil"/>
            </w:tcBorders>
          </w:tcPr>
          <w:p w14:paraId="423D770C">
            <w:pPr>
              <w:pStyle w:val="122"/>
              <w:ind w:left="76" w:firstLine="9" w:firstLineChars="5"/>
              <w:rPr>
                <w:sz w:val="18"/>
                <w:szCs w:val="18"/>
              </w:rPr>
            </w:pPr>
          </w:p>
        </w:tc>
        <w:tc>
          <w:tcPr>
            <w:tcW w:w="709" w:type="dxa"/>
            <w:vMerge w:val="continue"/>
            <w:tcBorders>
              <w:top w:val="nil"/>
              <w:bottom w:val="nil"/>
            </w:tcBorders>
          </w:tcPr>
          <w:p w14:paraId="4B0CCFD1">
            <w:pPr>
              <w:pStyle w:val="122"/>
              <w:ind w:left="76" w:firstLine="9" w:firstLineChars="5"/>
              <w:rPr>
                <w:sz w:val="18"/>
                <w:szCs w:val="18"/>
              </w:rPr>
            </w:pPr>
          </w:p>
        </w:tc>
        <w:tc>
          <w:tcPr>
            <w:tcW w:w="850" w:type="dxa"/>
            <w:vMerge w:val="continue"/>
            <w:tcBorders>
              <w:top w:val="nil"/>
              <w:bottom w:val="nil"/>
            </w:tcBorders>
          </w:tcPr>
          <w:p w14:paraId="458D5134">
            <w:pPr>
              <w:pStyle w:val="122"/>
              <w:ind w:left="76" w:firstLine="9" w:firstLineChars="5"/>
              <w:rPr>
                <w:sz w:val="18"/>
                <w:szCs w:val="18"/>
              </w:rPr>
            </w:pPr>
          </w:p>
        </w:tc>
        <w:tc>
          <w:tcPr>
            <w:tcW w:w="713" w:type="dxa"/>
            <w:vMerge w:val="continue"/>
            <w:tcBorders>
              <w:top w:val="nil"/>
              <w:bottom w:val="nil"/>
            </w:tcBorders>
          </w:tcPr>
          <w:p w14:paraId="59710E48">
            <w:pPr>
              <w:pStyle w:val="122"/>
              <w:ind w:left="76" w:firstLine="9" w:firstLineChars="5"/>
              <w:rPr>
                <w:sz w:val="18"/>
                <w:szCs w:val="18"/>
              </w:rPr>
            </w:pPr>
          </w:p>
        </w:tc>
        <w:tc>
          <w:tcPr>
            <w:tcW w:w="708" w:type="dxa"/>
            <w:vMerge w:val="continue"/>
            <w:tcBorders>
              <w:top w:val="nil"/>
              <w:bottom w:val="nil"/>
            </w:tcBorders>
          </w:tcPr>
          <w:p w14:paraId="613DCA8D">
            <w:pPr>
              <w:pStyle w:val="122"/>
              <w:ind w:left="76" w:firstLine="9" w:firstLineChars="5"/>
              <w:rPr>
                <w:sz w:val="18"/>
                <w:szCs w:val="18"/>
              </w:rPr>
            </w:pPr>
          </w:p>
        </w:tc>
        <w:tc>
          <w:tcPr>
            <w:tcW w:w="993" w:type="dxa"/>
            <w:vMerge w:val="continue"/>
            <w:tcBorders>
              <w:top w:val="nil"/>
              <w:bottom w:val="nil"/>
            </w:tcBorders>
          </w:tcPr>
          <w:p w14:paraId="1A9080BB">
            <w:pPr>
              <w:pStyle w:val="122"/>
              <w:ind w:left="76" w:firstLine="9" w:firstLineChars="5"/>
              <w:rPr>
                <w:sz w:val="18"/>
                <w:szCs w:val="18"/>
              </w:rPr>
            </w:pPr>
          </w:p>
        </w:tc>
      </w:tr>
      <w:tr w14:paraId="118E0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jc w:val="center"/>
        </w:trPr>
        <w:tc>
          <w:tcPr>
            <w:tcW w:w="2269" w:type="dxa"/>
            <w:gridSpan w:val="2"/>
            <w:vMerge w:val="continue"/>
            <w:tcBorders>
              <w:top w:val="nil"/>
              <w:bottom w:val="nil"/>
            </w:tcBorders>
          </w:tcPr>
          <w:p w14:paraId="0FBF5265">
            <w:pPr>
              <w:pStyle w:val="122"/>
              <w:ind w:left="76" w:firstLine="9" w:firstLineChars="5"/>
              <w:rPr>
                <w:sz w:val="18"/>
                <w:szCs w:val="18"/>
              </w:rPr>
            </w:pPr>
          </w:p>
        </w:tc>
        <w:tc>
          <w:tcPr>
            <w:tcW w:w="850" w:type="dxa"/>
            <w:vMerge w:val="continue"/>
            <w:tcBorders>
              <w:top w:val="nil"/>
              <w:bottom w:val="nil"/>
            </w:tcBorders>
          </w:tcPr>
          <w:p w14:paraId="39C8AD6E">
            <w:pPr>
              <w:pStyle w:val="122"/>
              <w:ind w:left="76" w:firstLine="9" w:firstLineChars="5"/>
              <w:rPr>
                <w:sz w:val="18"/>
                <w:szCs w:val="18"/>
              </w:rPr>
            </w:pPr>
          </w:p>
        </w:tc>
        <w:tc>
          <w:tcPr>
            <w:tcW w:w="855" w:type="dxa"/>
            <w:vMerge w:val="continue"/>
            <w:tcBorders>
              <w:top w:val="nil"/>
              <w:bottom w:val="nil"/>
            </w:tcBorders>
          </w:tcPr>
          <w:p w14:paraId="62B22C67">
            <w:pPr>
              <w:pStyle w:val="122"/>
              <w:ind w:left="76" w:firstLine="9" w:firstLineChars="5"/>
              <w:rPr>
                <w:sz w:val="18"/>
                <w:szCs w:val="18"/>
              </w:rPr>
            </w:pPr>
          </w:p>
        </w:tc>
        <w:tc>
          <w:tcPr>
            <w:tcW w:w="850" w:type="dxa"/>
            <w:vMerge w:val="continue"/>
            <w:tcBorders>
              <w:top w:val="nil"/>
              <w:bottom w:val="nil"/>
            </w:tcBorders>
          </w:tcPr>
          <w:p w14:paraId="685E4448">
            <w:pPr>
              <w:pStyle w:val="122"/>
              <w:ind w:left="76" w:firstLine="9" w:firstLineChars="5"/>
              <w:rPr>
                <w:sz w:val="18"/>
                <w:szCs w:val="18"/>
              </w:rPr>
            </w:pPr>
          </w:p>
        </w:tc>
        <w:tc>
          <w:tcPr>
            <w:tcW w:w="851" w:type="dxa"/>
            <w:vMerge w:val="continue"/>
            <w:tcBorders>
              <w:top w:val="nil"/>
              <w:bottom w:val="nil"/>
            </w:tcBorders>
          </w:tcPr>
          <w:p w14:paraId="036E6855">
            <w:pPr>
              <w:pStyle w:val="122"/>
              <w:ind w:left="76" w:firstLine="9" w:firstLineChars="5"/>
              <w:rPr>
                <w:sz w:val="18"/>
                <w:szCs w:val="18"/>
              </w:rPr>
            </w:pPr>
          </w:p>
        </w:tc>
        <w:tc>
          <w:tcPr>
            <w:tcW w:w="846" w:type="dxa"/>
            <w:vMerge w:val="continue"/>
            <w:tcBorders>
              <w:top w:val="nil"/>
              <w:bottom w:val="nil"/>
            </w:tcBorders>
          </w:tcPr>
          <w:p w14:paraId="3DA5471E">
            <w:pPr>
              <w:pStyle w:val="122"/>
              <w:ind w:left="76" w:firstLine="9" w:firstLineChars="5"/>
              <w:rPr>
                <w:sz w:val="18"/>
                <w:szCs w:val="18"/>
              </w:rPr>
            </w:pPr>
          </w:p>
        </w:tc>
        <w:tc>
          <w:tcPr>
            <w:tcW w:w="851" w:type="dxa"/>
            <w:vMerge w:val="continue"/>
            <w:tcBorders>
              <w:top w:val="nil"/>
              <w:bottom w:val="nil"/>
            </w:tcBorders>
          </w:tcPr>
          <w:p w14:paraId="08A61342">
            <w:pPr>
              <w:pStyle w:val="122"/>
              <w:ind w:left="76" w:firstLine="9" w:firstLineChars="5"/>
              <w:rPr>
                <w:sz w:val="18"/>
                <w:szCs w:val="18"/>
              </w:rPr>
            </w:pPr>
          </w:p>
        </w:tc>
        <w:tc>
          <w:tcPr>
            <w:tcW w:w="850" w:type="dxa"/>
            <w:vMerge w:val="continue"/>
            <w:tcBorders>
              <w:top w:val="nil"/>
              <w:bottom w:val="nil"/>
            </w:tcBorders>
          </w:tcPr>
          <w:p w14:paraId="663D77C8">
            <w:pPr>
              <w:pStyle w:val="122"/>
              <w:ind w:left="76" w:firstLine="9" w:firstLineChars="5"/>
              <w:rPr>
                <w:sz w:val="18"/>
                <w:szCs w:val="18"/>
              </w:rPr>
            </w:pPr>
          </w:p>
        </w:tc>
        <w:tc>
          <w:tcPr>
            <w:tcW w:w="851" w:type="dxa"/>
            <w:vMerge w:val="continue"/>
            <w:tcBorders>
              <w:top w:val="nil"/>
              <w:bottom w:val="nil"/>
            </w:tcBorders>
          </w:tcPr>
          <w:p w14:paraId="5F292552">
            <w:pPr>
              <w:pStyle w:val="122"/>
              <w:ind w:left="76" w:firstLine="9" w:firstLineChars="5"/>
              <w:rPr>
                <w:sz w:val="18"/>
                <w:szCs w:val="18"/>
              </w:rPr>
            </w:pPr>
          </w:p>
        </w:tc>
        <w:tc>
          <w:tcPr>
            <w:tcW w:w="850" w:type="dxa"/>
            <w:shd w:val="clear" w:color="auto" w:fill="DAEEF3"/>
          </w:tcPr>
          <w:p w14:paraId="4889A9AF">
            <w:pPr>
              <w:spacing w:before="63"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644</w:t>
            </w:r>
          </w:p>
        </w:tc>
        <w:tc>
          <w:tcPr>
            <w:tcW w:w="709" w:type="dxa"/>
            <w:vMerge w:val="continue"/>
            <w:tcBorders>
              <w:top w:val="nil"/>
              <w:bottom w:val="nil"/>
            </w:tcBorders>
          </w:tcPr>
          <w:p w14:paraId="643F71D1">
            <w:pPr>
              <w:pStyle w:val="122"/>
              <w:ind w:left="76" w:firstLine="9" w:firstLineChars="5"/>
              <w:rPr>
                <w:sz w:val="18"/>
                <w:szCs w:val="18"/>
              </w:rPr>
            </w:pPr>
          </w:p>
        </w:tc>
        <w:tc>
          <w:tcPr>
            <w:tcW w:w="709" w:type="dxa"/>
            <w:vMerge w:val="continue"/>
            <w:tcBorders>
              <w:top w:val="nil"/>
              <w:bottom w:val="nil"/>
            </w:tcBorders>
          </w:tcPr>
          <w:p w14:paraId="70FE578F">
            <w:pPr>
              <w:pStyle w:val="122"/>
              <w:ind w:left="76" w:firstLine="9" w:firstLineChars="5"/>
              <w:rPr>
                <w:sz w:val="18"/>
                <w:szCs w:val="18"/>
              </w:rPr>
            </w:pPr>
          </w:p>
        </w:tc>
        <w:tc>
          <w:tcPr>
            <w:tcW w:w="709" w:type="dxa"/>
            <w:vMerge w:val="continue"/>
            <w:tcBorders>
              <w:top w:val="nil"/>
              <w:bottom w:val="nil"/>
            </w:tcBorders>
          </w:tcPr>
          <w:p w14:paraId="6871F3B8">
            <w:pPr>
              <w:pStyle w:val="122"/>
              <w:ind w:left="76" w:firstLine="9" w:firstLineChars="5"/>
              <w:rPr>
                <w:sz w:val="18"/>
                <w:szCs w:val="18"/>
              </w:rPr>
            </w:pPr>
          </w:p>
        </w:tc>
        <w:tc>
          <w:tcPr>
            <w:tcW w:w="850" w:type="dxa"/>
            <w:vMerge w:val="continue"/>
            <w:tcBorders>
              <w:top w:val="nil"/>
              <w:bottom w:val="nil"/>
            </w:tcBorders>
          </w:tcPr>
          <w:p w14:paraId="769FD3E6">
            <w:pPr>
              <w:pStyle w:val="122"/>
              <w:ind w:left="76" w:firstLine="9" w:firstLineChars="5"/>
              <w:rPr>
                <w:sz w:val="18"/>
                <w:szCs w:val="18"/>
              </w:rPr>
            </w:pPr>
          </w:p>
        </w:tc>
        <w:tc>
          <w:tcPr>
            <w:tcW w:w="713" w:type="dxa"/>
            <w:vMerge w:val="continue"/>
            <w:tcBorders>
              <w:top w:val="nil"/>
              <w:bottom w:val="nil"/>
            </w:tcBorders>
          </w:tcPr>
          <w:p w14:paraId="6C911AA2">
            <w:pPr>
              <w:pStyle w:val="122"/>
              <w:ind w:left="76" w:firstLine="9" w:firstLineChars="5"/>
              <w:rPr>
                <w:sz w:val="18"/>
                <w:szCs w:val="18"/>
              </w:rPr>
            </w:pPr>
          </w:p>
        </w:tc>
        <w:tc>
          <w:tcPr>
            <w:tcW w:w="708" w:type="dxa"/>
            <w:vMerge w:val="continue"/>
            <w:tcBorders>
              <w:top w:val="nil"/>
              <w:bottom w:val="nil"/>
            </w:tcBorders>
          </w:tcPr>
          <w:p w14:paraId="15B7B144">
            <w:pPr>
              <w:pStyle w:val="122"/>
              <w:ind w:left="76" w:firstLine="9" w:firstLineChars="5"/>
              <w:rPr>
                <w:sz w:val="18"/>
                <w:szCs w:val="18"/>
              </w:rPr>
            </w:pPr>
          </w:p>
        </w:tc>
        <w:tc>
          <w:tcPr>
            <w:tcW w:w="993" w:type="dxa"/>
            <w:vMerge w:val="continue"/>
            <w:tcBorders>
              <w:top w:val="nil"/>
              <w:bottom w:val="nil"/>
            </w:tcBorders>
          </w:tcPr>
          <w:p w14:paraId="43182D48">
            <w:pPr>
              <w:pStyle w:val="122"/>
              <w:ind w:left="76" w:firstLine="9" w:firstLineChars="5"/>
              <w:rPr>
                <w:sz w:val="18"/>
                <w:szCs w:val="18"/>
              </w:rPr>
            </w:pPr>
          </w:p>
        </w:tc>
      </w:tr>
      <w:tr w14:paraId="07C4F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2269" w:type="dxa"/>
            <w:gridSpan w:val="2"/>
            <w:vMerge w:val="continue"/>
            <w:tcBorders>
              <w:top w:val="nil"/>
            </w:tcBorders>
          </w:tcPr>
          <w:p w14:paraId="11269DAE">
            <w:pPr>
              <w:pStyle w:val="122"/>
              <w:ind w:left="76" w:firstLine="9" w:firstLineChars="5"/>
              <w:rPr>
                <w:sz w:val="18"/>
                <w:szCs w:val="18"/>
              </w:rPr>
            </w:pPr>
          </w:p>
        </w:tc>
        <w:tc>
          <w:tcPr>
            <w:tcW w:w="850" w:type="dxa"/>
            <w:vMerge w:val="continue"/>
            <w:tcBorders>
              <w:top w:val="nil"/>
            </w:tcBorders>
          </w:tcPr>
          <w:p w14:paraId="117BD6F5">
            <w:pPr>
              <w:pStyle w:val="122"/>
              <w:ind w:left="76" w:firstLine="9" w:firstLineChars="5"/>
              <w:rPr>
                <w:sz w:val="18"/>
                <w:szCs w:val="18"/>
              </w:rPr>
            </w:pPr>
          </w:p>
        </w:tc>
        <w:tc>
          <w:tcPr>
            <w:tcW w:w="855" w:type="dxa"/>
            <w:vMerge w:val="continue"/>
            <w:tcBorders>
              <w:top w:val="nil"/>
            </w:tcBorders>
          </w:tcPr>
          <w:p w14:paraId="56F23810">
            <w:pPr>
              <w:pStyle w:val="122"/>
              <w:ind w:left="76" w:firstLine="9" w:firstLineChars="5"/>
              <w:rPr>
                <w:sz w:val="18"/>
                <w:szCs w:val="18"/>
              </w:rPr>
            </w:pPr>
          </w:p>
        </w:tc>
        <w:tc>
          <w:tcPr>
            <w:tcW w:w="850" w:type="dxa"/>
            <w:vMerge w:val="continue"/>
            <w:tcBorders>
              <w:top w:val="nil"/>
            </w:tcBorders>
          </w:tcPr>
          <w:p w14:paraId="255DAD75">
            <w:pPr>
              <w:pStyle w:val="122"/>
              <w:ind w:left="76" w:firstLine="9" w:firstLineChars="5"/>
              <w:rPr>
                <w:sz w:val="18"/>
                <w:szCs w:val="18"/>
              </w:rPr>
            </w:pPr>
          </w:p>
        </w:tc>
        <w:tc>
          <w:tcPr>
            <w:tcW w:w="851" w:type="dxa"/>
            <w:vMerge w:val="continue"/>
            <w:tcBorders>
              <w:top w:val="nil"/>
            </w:tcBorders>
          </w:tcPr>
          <w:p w14:paraId="15D42DB5">
            <w:pPr>
              <w:pStyle w:val="122"/>
              <w:ind w:left="76" w:firstLine="9" w:firstLineChars="5"/>
              <w:rPr>
                <w:sz w:val="18"/>
                <w:szCs w:val="18"/>
              </w:rPr>
            </w:pPr>
          </w:p>
        </w:tc>
        <w:tc>
          <w:tcPr>
            <w:tcW w:w="846" w:type="dxa"/>
            <w:vMerge w:val="continue"/>
            <w:tcBorders>
              <w:top w:val="nil"/>
            </w:tcBorders>
          </w:tcPr>
          <w:p w14:paraId="07EA482F">
            <w:pPr>
              <w:pStyle w:val="122"/>
              <w:ind w:left="76" w:firstLine="9" w:firstLineChars="5"/>
              <w:rPr>
                <w:sz w:val="18"/>
                <w:szCs w:val="18"/>
              </w:rPr>
            </w:pPr>
          </w:p>
        </w:tc>
        <w:tc>
          <w:tcPr>
            <w:tcW w:w="851" w:type="dxa"/>
            <w:vMerge w:val="continue"/>
            <w:tcBorders>
              <w:top w:val="nil"/>
            </w:tcBorders>
          </w:tcPr>
          <w:p w14:paraId="41DFD4DE">
            <w:pPr>
              <w:pStyle w:val="122"/>
              <w:ind w:left="76" w:firstLine="9" w:firstLineChars="5"/>
              <w:rPr>
                <w:sz w:val="18"/>
                <w:szCs w:val="18"/>
              </w:rPr>
            </w:pPr>
          </w:p>
        </w:tc>
        <w:tc>
          <w:tcPr>
            <w:tcW w:w="850" w:type="dxa"/>
            <w:vMerge w:val="continue"/>
            <w:tcBorders>
              <w:top w:val="nil"/>
            </w:tcBorders>
          </w:tcPr>
          <w:p w14:paraId="42F61F6A">
            <w:pPr>
              <w:pStyle w:val="122"/>
              <w:ind w:left="76" w:firstLine="9" w:firstLineChars="5"/>
              <w:rPr>
                <w:sz w:val="18"/>
                <w:szCs w:val="18"/>
              </w:rPr>
            </w:pPr>
          </w:p>
        </w:tc>
        <w:tc>
          <w:tcPr>
            <w:tcW w:w="851" w:type="dxa"/>
            <w:vMerge w:val="continue"/>
            <w:tcBorders>
              <w:top w:val="nil"/>
            </w:tcBorders>
          </w:tcPr>
          <w:p w14:paraId="77200C62">
            <w:pPr>
              <w:pStyle w:val="122"/>
              <w:ind w:left="76" w:firstLine="9" w:firstLineChars="5"/>
              <w:rPr>
                <w:sz w:val="18"/>
                <w:szCs w:val="18"/>
              </w:rPr>
            </w:pPr>
          </w:p>
        </w:tc>
        <w:tc>
          <w:tcPr>
            <w:tcW w:w="850" w:type="dxa"/>
            <w:shd w:val="clear" w:color="auto" w:fill="DAEEF3"/>
          </w:tcPr>
          <w:p w14:paraId="2387F481">
            <w:pPr>
              <w:spacing w:before="62" w:line="184" w:lineRule="auto"/>
              <w:ind w:left="76" w:firstLine="8" w:firstLineChars="5"/>
              <w:jc w:val="center"/>
              <w:rPr>
                <w:rFonts w:ascii="Calibri" w:hAnsi="Calibri" w:eastAsia="Calibri" w:cs="Calibri"/>
                <w:sz w:val="18"/>
                <w:szCs w:val="18"/>
              </w:rPr>
            </w:pPr>
            <w:r>
              <w:rPr>
                <w:rFonts w:ascii="Calibri" w:hAnsi="Calibri" w:eastAsia="Calibri" w:cs="Calibri"/>
                <w:spacing w:val="-2"/>
                <w:sz w:val="18"/>
                <w:szCs w:val="18"/>
              </w:rPr>
              <w:t>HJ</w:t>
            </w:r>
            <w:r>
              <w:rPr>
                <w:rFonts w:ascii="Calibri" w:hAnsi="Calibri" w:eastAsia="Calibri" w:cs="Calibri"/>
                <w:spacing w:val="9"/>
                <w:w w:val="103"/>
                <w:sz w:val="18"/>
                <w:szCs w:val="18"/>
              </w:rPr>
              <w:t xml:space="preserve"> </w:t>
            </w:r>
            <w:r>
              <w:rPr>
                <w:rFonts w:ascii="Calibri" w:hAnsi="Calibri" w:eastAsia="Calibri" w:cs="Calibri"/>
                <w:spacing w:val="-2"/>
                <w:sz w:val="18"/>
                <w:szCs w:val="18"/>
              </w:rPr>
              <w:t>734</w:t>
            </w:r>
          </w:p>
        </w:tc>
        <w:tc>
          <w:tcPr>
            <w:tcW w:w="709" w:type="dxa"/>
            <w:vMerge w:val="continue"/>
            <w:tcBorders>
              <w:top w:val="nil"/>
            </w:tcBorders>
          </w:tcPr>
          <w:p w14:paraId="31BBB7BB">
            <w:pPr>
              <w:pStyle w:val="122"/>
              <w:ind w:left="76" w:firstLine="9" w:firstLineChars="5"/>
              <w:rPr>
                <w:sz w:val="18"/>
                <w:szCs w:val="18"/>
              </w:rPr>
            </w:pPr>
          </w:p>
        </w:tc>
        <w:tc>
          <w:tcPr>
            <w:tcW w:w="709" w:type="dxa"/>
            <w:vMerge w:val="continue"/>
            <w:tcBorders>
              <w:top w:val="nil"/>
            </w:tcBorders>
          </w:tcPr>
          <w:p w14:paraId="098443A0">
            <w:pPr>
              <w:pStyle w:val="122"/>
              <w:ind w:left="76" w:firstLine="9" w:firstLineChars="5"/>
              <w:rPr>
                <w:sz w:val="18"/>
                <w:szCs w:val="18"/>
              </w:rPr>
            </w:pPr>
          </w:p>
        </w:tc>
        <w:tc>
          <w:tcPr>
            <w:tcW w:w="709" w:type="dxa"/>
            <w:vMerge w:val="continue"/>
            <w:tcBorders>
              <w:top w:val="nil"/>
            </w:tcBorders>
          </w:tcPr>
          <w:p w14:paraId="3222F790">
            <w:pPr>
              <w:pStyle w:val="122"/>
              <w:ind w:left="76" w:firstLine="9" w:firstLineChars="5"/>
              <w:rPr>
                <w:sz w:val="18"/>
                <w:szCs w:val="18"/>
              </w:rPr>
            </w:pPr>
          </w:p>
        </w:tc>
        <w:tc>
          <w:tcPr>
            <w:tcW w:w="850" w:type="dxa"/>
            <w:vMerge w:val="continue"/>
            <w:tcBorders>
              <w:top w:val="nil"/>
            </w:tcBorders>
          </w:tcPr>
          <w:p w14:paraId="02803020">
            <w:pPr>
              <w:pStyle w:val="122"/>
              <w:ind w:left="76" w:firstLine="9" w:firstLineChars="5"/>
              <w:rPr>
                <w:sz w:val="18"/>
                <w:szCs w:val="18"/>
              </w:rPr>
            </w:pPr>
          </w:p>
        </w:tc>
        <w:tc>
          <w:tcPr>
            <w:tcW w:w="713" w:type="dxa"/>
            <w:vMerge w:val="continue"/>
            <w:tcBorders>
              <w:top w:val="nil"/>
            </w:tcBorders>
          </w:tcPr>
          <w:p w14:paraId="0AC2E2D1">
            <w:pPr>
              <w:pStyle w:val="122"/>
              <w:ind w:left="76" w:firstLine="9" w:firstLineChars="5"/>
              <w:rPr>
                <w:sz w:val="18"/>
                <w:szCs w:val="18"/>
              </w:rPr>
            </w:pPr>
          </w:p>
        </w:tc>
        <w:tc>
          <w:tcPr>
            <w:tcW w:w="708" w:type="dxa"/>
            <w:vMerge w:val="continue"/>
            <w:tcBorders>
              <w:top w:val="nil"/>
            </w:tcBorders>
          </w:tcPr>
          <w:p w14:paraId="71841F54">
            <w:pPr>
              <w:pStyle w:val="122"/>
              <w:ind w:left="76" w:firstLine="9" w:firstLineChars="5"/>
              <w:rPr>
                <w:sz w:val="18"/>
                <w:szCs w:val="18"/>
              </w:rPr>
            </w:pPr>
          </w:p>
        </w:tc>
        <w:tc>
          <w:tcPr>
            <w:tcW w:w="993" w:type="dxa"/>
            <w:vMerge w:val="continue"/>
            <w:tcBorders>
              <w:top w:val="nil"/>
            </w:tcBorders>
          </w:tcPr>
          <w:p w14:paraId="74B2BB36">
            <w:pPr>
              <w:pStyle w:val="122"/>
              <w:ind w:left="76" w:firstLine="9" w:firstLineChars="5"/>
              <w:rPr>
                <w:sz w:val="18"/>
                <w:szCs w:val="18"/>
              </w:rPr>
            </w:pPr>
          </w:p>
        </w:tc>
      </w:tr>
    </w:tbl>
    <w:p w14:paraId="48C3EA00">
      <w:pPr>
        <w:autoSpaceDE w:val="0"/>
        <w:autoSpaceDN w:val="0"/>
        <w:adjustRightInd w:val="0"/>
        <w:spacing w:line="440" w:lineRule="exact"/>
      </w:pPr>
      <w:r>
        <w:rPr>
          <w:rFonts w:hint="eastAsia"/>
        </w:rPr>
        <w:t>说明：具体定义、执行行业及测量要求等以各标准为准。部分标准有要求更严格的特别排放限制，此表中未收录。</w:t>
      </w:r>
    </w:p>
    <w:p w14:paraId="298FDB79">
      <w:pPr>
        <w:widowControl/>
        <w:jc w:val="left"/>
        <w:rPr>
          <w:sz w:val="18"/>
          <w:szCs w:val="18"/>
        </w:rPr>
      </w:pPr>
      <w:r>
        <w:rPr>
          <w:sz w:val="18"/>
          <w:szCs w:val="18"/>
        </w:rPr>
        <w:br w:type="page"/>
      </w:r>
    </w:p>
    <w:p w14:paraId="126B0320">
      <w:pPr>
        <w:pStyle w:val="2"/>
        <w:jc w:val="center"/>
        <w:rPr>
          <w:sz w:val="28"/>
          <w:szCs w:val="28"/>
        </w:rPr>
      </w:pPr>
      <w:bookmarkStart w:id="223" w:name="_Toc206171751"/>
      <w:r>
        <w:rPr>
          <w:rFonts w:hint="eastAsia"/>
          <w:sz w:val="28"/>
          <w:szCs w:val="28"/>
        </w:rPr>
        <w:t>资料B</w:t>
      </w:r>
      <w:r>
        <w:rPr>
          <w:sz w:val="28"/>
          <w:szCs w:val="28"/>
        </w:rPr>
        <w:t xml:space="preserve">  常用的大气排放物浓度检测分析仪表</w:t>
      </w:r>
      <w:bookmarkEnd w:id="223"/>
    </w:p>
    <w:tbl>
      <w:tblPr>
        <w:tblStyle w:val="121"/>
        <w:tblW w:w="151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1"/>
        <w:gridCol w:w="803"/>
        <w:gridCol w:w="803"/>
        <w:gridCol w:w="803"/>
        <w:gridCol w:w="607"/>
        <w:gridCol w:w="1070"/>
        <w:gridCol w:w="670"/>
        <w:gridCol w:w="803"/>
        <w:gridCol w:w="669"/>
        <w:gridCol w:w="670"/>
        <w:gridCol w:w="803"/>
        <w:gridCol w:w="669"/>
        <w:gridCol w:w="1070"/>
        <w:gridCol w:w="670"/>
        <w:gridCol w:w="936"/>
        <w:gridCol w:w="803"/>
        <w:gridCol w:w="669"/>
        <w:gridCol w:w="673"/>
      </w:tblGrid>
      <w:tr w14:paraId="3EAAD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jc w:val="center"/>
        </w:trPr>
        <w:tc>
          <w:tcPr>
            <w:tcW w:w="2099" w:type="dxa"/>
            <w:vMerge w:val="restart"/>
            <w:tcBorders>
              <w:bottom w:val="nil"/>
            </w:tcBorders>
            <w:vAlign w:val="center"/>
          </w:tcPr>
          <w:p w14:paraId="19862A42">
            <w:pPr>
              <w:spacing w:line="360" w:lineRule="auto"/>
              <w:jc w:val="center"/>
              <w:rPr>
                <w:rFonts w:ascii="宋体" w:hAnsi="宋体" w:eastAsia="宋体" w:cs="宋体"/>
                <w:b/>
                <w:sz w:val="18"/>
                <w:szCs w:val="18"/>
              </w:rPr>
            </w:pPr>
            <w:r>
              <w:rPr>
                <w:b/>
              </w:rPr>
              <w:br w:type="page"/>
            </w:r>
            <w:r>
              <w:rPr>
                <w:rFonts w:ascii="宋体" w:hAnsi="宋体" w:eastAsia="宋体" w:cs="宋体"/>
                <w:b/>
                <w:spacing w:val="-1"/>
                <w:sz w:val="18"/>
                <w:szCs w:val="18"/>
              </w:rPr>
              <w:t>分析仪类型</w:t>
            </w:r>
          </w:p>
        </w:tc>
        <w:tc>
          <w:tcPr>
            <w:tcW w:w="851" w:type="dxa"/>
            <w:gridSpan w:val="17"/>
            <w:vAlign w:val="center"/>
          </w:tcPr>
          <w:p w14:paraId="4B0FF806">
            <w:pPr>
              <w:spacing w:line="360" w:lineRule="auto"/>
              <w:jc w:val="center"/>
              <w:rPr>
                <w:rFonts w:ascii="宋体" w:hAnsi="宋体" w:eastAsia="宋体" w:cs="宋体"/>
                <w:b/>
                <w:sz w:val="18"/>
                <w:szCs w:val="18"/>
              </w:rPr>
            </w:pPr>
            <w:r>
              <w:rPr>
                <w:rFonts w:ascii="宋体" w:hAnsi="宋体" w:eastAsia="宋体" w:cs="宋体"/>
                <w:b/>
                <w:spacing w:val="-1"/>
                <w:sz w:val="18"/>
                <w:szCs w:val="18"/>
              </w:rPr>
              <w:t>大气排放物</w:t>
            </w:r>
          </w:p>
        </w:tc>
      </w:tr>
      <w:tr w14:paraId="228C1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2099" w:type="dxa"/>
            <w:vMerge w:val="continue"/>
            <w:tcBorders>
              <w:top w:val="nil"/>
              <w:bottom w:val="nil"/>
            </w:tcBorders>
          </w:tcPr>
          <w:p w14:paraId="3A95B058">
            <w:pPr>
              <w:pStyle w:val="122"/>
              <w:spacing w:line="360" w:lineRule="auto"/>
              <w:ind w:firstLine="360"/>
              <w:rPr>
                <w:b/>
                <w:sz w:val="18"/>
                <w:szCs w:val="18"/>
              </w:rPr>
            </w:pPr>
          </w:p>
        </w:tc>
        <w:tc>
          <w:tcPr>
            <w:tcW w:w="851" w:type="dxa"/>
            <w:gridSpan w:val="14"/>
            <w:vAlign w:val="center"/>
          </w:tcPr>
          <w:p w14:paraId="1B9AED99">
            <w:pPr>
              <w:spacing w:line="360" w:lineRule="auto"/>
              <w:jc w:val="center"/>
              <w:rPr>
                <w:rFonts w:ascii="宋体" w:hAnsi="宋体" w:eastAsia="宋体" w:cs="宋体"/>
                <w:b/>
                <w:sz w:val="18"/>
                <w:szCs w:val="18"/>
              </w:rPr>
            </w:pPr>
            <w:r>
              <w:rPr>
                <w:rFonts w:ascii="宋体" w:hAnsi="宋体" w:eastAsia="宋体" w:cs="宋体"/>
                <w:b/>
                <w:spacing w:val="-2"/>
                <w:sz w:val="18"/>
                <w:szCs w:val="18"/>
              </w:rPr>
              <w:t>污染物</w:t>
            </w:r>
          </w:p>
        </w:tc>
        <w:tc>
          <w:tcPr>
            <w:tcW w:w="2272" w:type="dxa"/>
            <w:gridSpan w:val="3"/>
            <w:vAlign w:val="center"/>
          </w:tcPr>
          <w:p w14:paraId="2199C0F4">
            <w:pPr>
              <w:spacing w:line="360" w:lineRule="auto"/>
              <w:jc w:val="center"/>
              <w:rPr>
                <w:rFonts w:ascii="宋体" w:hAnsi="宋体" w:eastAsia="宋体" w:cs="宋体"/>
                <w:b/>
                <w:sz w:val="18"/>
                <w:szCs w:val="18"/>
              </w:rPr>
            </w:pPr>
            <w:r>
              <w:rPr>
                <w:rFonts w:ascii="宋体" w:hAnsi="宋体" w:eastAsia="宋体" w:cs="宋体"/>
                <w:b/>
                <w:spacing w:val="-2"/>
                <w:sz w:val="18"/>
                <w:szCs w:val="18"/>
              </w:rPr>
              <w:t>非污染物</w:t>
            </w:r>
          </w:p>
        </w:tc>
      </w:tr>
      <w:tr w14:paraId="7D6650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jc w:val="center"/>
        </w:trPr>
        <w:tc>
          <w:tcPr>
            <w:tcW w:w="2099" w:type="dxa"/>
            <w:vMerge w:val="continue"/>
            <w:tcBorders>
              <w:top w:val="nil"/>
            </w:tcBorders>
          </w:tcPr>
          <w:p w14:paraId="7363C397">
            <w:pPr>
              <w:pStyle w:val="122"/>
              <w:spacing w:line="360" w:lineRule="auto"/>
              <w:ind w:firstLine="360"/>
              <w:rPr>
                <w:b/>
                <w:sz w:val="18"/>
                <w:szCs w:val="18"/>
              </w:rPr>
            </w:pPr>
          </w:p>
        </w:tc>
        <w:tc>
          <w:tcPr>
            <w:tcW w:w="851" w:type="dxa"/>
            <w:vAlign w:val="center"/>
          </w:tcPr>
          <w:p w14:paraId="5553688C">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二氧化硫 （SO2)</w:t>
            </w:r>
          </w:p>
        </w:tc>
        <w:tc>
          <w:tcPr>
            <w:tcW w:w="851" w:type="dxa"/>
            <w:vAlign w:val="center"/>
          </w:tcPr>
          <w:p w14:paraId="7BDEA3E3">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氮氧化物 （NOx）</w:t>
            </w:r>
          </w:p>
        </w:tc>
        <w:tc>
          <w:tcPr>
            <w:tcW w:w="851" w:type="dxa"/>
            <w:vAlign w:val="center"/>
          </w:tcPr>
          <w:p w14:paraId="27424449">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一氧化碳 （CO）</w:t>
            </w:r>
          </w:p>
        </w:tc>
        <w:tc>
          <w:tcPr>
            <w:tcW w:w="643" w:type="dxa"/>
            <w:vAlign w:val="center"/>
          </w:tcPr>
          <w:p w14:paraId="34427212">
            <w:pPr>
              <w:spacing w:line="360" w:lineRule="auto"/>
              <w:jc w:val="center"/>
              <w:rPr>
                <w:rFonts w:ascii="宋体" w:hAnsi="宋体" w:eastAsia="宋体" w:cs="宋体"/>
                <w:b/>
                <w:spacing w:val="-1"/>
                <w:sz w:val="18"/>
                <w:szCs w:val="18"/>
                <w:lang w:eastAsia="en-US"/>
              </w:rPr>
            </w:pPr>
            <w:r>
              <w:rPr>
                <w:rFonts w:ascii="宋体" w:hAnsi="宋体" w:eastAsia="宋体" w:cs="宋体"/>
                <w:b/>
                <w:spacing w:val="-1"/>
                <w:sz w:val="18"/>
                <w:szCs w:val="18"/>
                <w:lang w:eastAsia="en-US"/>
              </w:rPr>
              <w:t>颗粒物</w:t>
            </w:r>
          </w:p>
        </w:tc>
        <w:tc>
          <w:tcPr>
            <w:tcW w:w="1134" w:type="dxa"/>
            <w:vAlign w:val="center"/>
          </w:tcPr>
          <w:p w14:paraId="62DBD90A">
            <w:pPr>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非甲烷总烃</w:t>
            </w:r>
            <w:r>
              <w:rPr>
                <w:rFonts w:hint="eastAsia" w:ascii="宋体" w:hAnsi="宋体" w:eastAsia="宋体" w:cs="宋体"/>
                <w:b/>
                <w:spacing w:val="-1"/>
                <w:sz w:val="18"/>
                <w:szCs w:val="18"/>
              </w:rPr>
              <w:t>（</w:t>
            </w:r>
            <w:r>
              <w:rPr>
                <w:rFonts w:ascii="宋体" w:hAnsi="宋体" w:eastAsia="宋体" w:cs="宋体"/>
                <w:b/>
                <w:spacing w:val="-1"/>
                <w:sz w:val="18"/>
                <w:szCs w:val="18"/>
              </w:rPr>
              <w:t>NMHC</w:t>
            </w:r>
            <w:r>
              <w:rPr>
                <w:rFonts w:hint="eastAsia" w:ascii="宋体" w:hAnsi="宋体" w:eastAsia="宋体" w:cs="宋体"/>
                <w:b/>
                <w:spacing w:val="-1"/>
                <w:sz w:val="18"/>
                <w:szCs w:val="18"/>
              </w:rPr>
              <w:t>）</w:t>
            </w:r>
          </w:p>
        </w:tc>
        <w:tc>
          <w:tcPr>
            <w:tcW w:w="709" w:type="dxa"/>
            <w:vAlign w:val="center"/>
          </w:tcPr>
          <w:p w14:paraId="62B77469">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氨</w:t>
            </w:r>
          </w:p>
          <w:p w14:paraId="27223238">
            <w:pPr>
              <w:pStyle w:val="122"/>
              <w:spacing w:line="360" w:lineRule="auto"/>
              <w:jc w:val="center"/>
              <w:rPr>
                <w:b/>
                <w:sz w:val="18"/>
                <w:szCs w:val="18"/>
              </w:rPr>
            </w:pPr>
            <w:r>
              <w:rPr>
                <w:rFonts w:ascii="宋体" w:hAnsi="宋体" w:eastAsia="宋体" w:cs="宋体"/>
                <w:b/>
                <w:spacing w:val="-1"/>
                <w:sz w:val="18"/>
                <w:szCs w:val="18"/>
              </w:rPr>
              <w:t>（</w:t>
            </w:r>
            <w:r>
              <w:rPr>
                <w:b/>
                <w:spacing w:val="-1"/>
                <w:sz w:val="18"/>
                <w:szCs w:val="18"/>
              </w:rPr>
              <w:t>NH3)</w:t>
            </w:r>
          </w:p>
        </w:tc>
        <w:tc>
          <w:tcPr>
            <w:tcW w:w="851" w:type="dxa"/>
            <w:vAlign w:val="center"/>
          </w:tcPr>
          <w:p w14:paraId="15476894">
            <w:pPr>
              <w:pStyle w:val="122"/>
              <w:spacing w:line="360" w:lineRule="auto"/>
              <w:jc w:val="center"/>
              <w:rPr>
                <w:rFonts w:ascii="宋体" w:hAnsi="宋体" w:eastAsia="宋体" w:cs="宋体"/>
                <w:b/>
                <w:spacing w:val="-2"/>
                <w:sz w:val="18"/>
                <w:szCs w:val="18"/>
              </w:rPr>
            </w:pPr>
            <w:r>
              <w:rPr>
                <w:rFonts w:ascii="宋体" w:hAnsi="宋体" w:eastAsia="宋体" w:cs="宋体"/>
                <w:b/>
                <w:spacing w:val="-2"/>
                <w:sz w:val="18"/>
                <w:szCs w:val="18"/>
              </w:rPr>
              <w:t>硫化氢</w:t>
            </w:r>
          </w:p>
          <w:p w14:paraId="65ED6329">
            <w:pPr>
              <w:pStyle w:val="122"/>
              <w:spacing w:line="360" w:lineRule="auto"/>
              <w:jc w:val="center"/>
              <w:rPr>
                <w:b/>
                <w:sz w:val="18"/>
                <w:szCs w:val="18"/>
              </w:rPr>
            </w:pPr>
            <w:r>
              <w:rPr>
                <w:rFonts w:ascii="宋体" w:hAnsi="宋体" w:eastAsia="宋体" w:cs="宋体"/>
                <w:b/>
                <w:spacing w:val="-2"/>
                <w:sz w:val="18"/>
                <w:szCs w:val="18"/>
              </w:rPr>
              <w:t>（</w:t>
            </w:r>
            <w:r>
              <w:rPr>
                <w:b/>
                <w:spacing w:val="-2"/>
                <w:sz w:val="18"/>
                <w:szCs w:val="18"/>
              </w:rPr>
              <w:t>H2S</w:t>
            </w:r>
            <w:r>
              <w:rPr>
                <w:rFonts w:hint="eastAsia" w:asciiTheme="minorEastAsia" w:hAnsiTheme="minorEastAsia" w:eastAsiaTheme="minorEastAsia"/>
                <w:b/>
                <w:spacing w:val="-2"/>
                <w:sz w:val="18"/>
                <w:szCs w:val="18"/>
                <w:lang w:eastAsia="zh-CN"/>
              </w:rPr>
              <w:t>）</w:t>
            </w:r>
          </w:p>
        </w:tc>
        <w:tc>
          <w:tcPr>
            <w:tcW w:w="708" w:type="dxa"/>
            <w:vAlign w:val="center"/>
          </w:tcPr>
          <w:p w14:paraId="38E920AC">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氯化氢</w:t>
            </w:r>
          </w:p>
          <w:p w14:paraId="5F020D69">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（HCl）</w:t>
            </w:r>
          </w:p>
        </w:tc>
        <w:tc>
          <w:tcPr>
            <w:tcW w:w="709" w:type="dxa"/>
            <w:vAlign w:val="center"/>
          </w:tcPr>
          <w:p w14:paraId="6C8CA2A3">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氟化氢</w:t>
            </w:r>
          </w:p>
          <w:p w14:paraId="6CC95619">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（HF</w:t>
            </w:r>
            <w:r>
              <w:rPr>
                <w:rFonts w:hint="eastAsia" w:ascii="宋体" w:hAnsi="宋体" w:eastAsia="宋体" w:cs="宋体"/>
                <w:b/>
                <w:spacing w:val="-1"/>
                <w:sz w:val="18"/>
                <w:szCs w:val="18"/>
              </w:rPr>
              <w:t>）</w:t>
            </w:r>
          </w:p>
        </w:tc>
        <w:tc>
          <w:tcPr>
            <w:tcW w:w="851" w:type="dxa"/>
            <w:vAlign w:val="center"/>
          </w:tcPr>
          <w:p w14:paraId="5B6550AE">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氢氰酸</w:t>
            </w:r>
          </w:p>
          <w:p w14:paraId="02F8FEF0">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（HCN</w:t>
            </w:r>
            <w:r>
              <w:rPr>
                <w:rFonts w:hint="eastAsia" w:ascii="宋体" w:hAnsi="宋体" w:eastAsia="宋体" w:cs="宋体"/>
                <w:b/>
                <w:spacing w:val="-1"/>
                <w:sz w:val="18"/>
                <w:szCs w:val="18"/>
              </w:rPr>
              <w:t>）</w:t>
            </w:r>
          </w:p>
        </w:tc>
        <w:tc>
          <w:tcPr>
            <w:tcW w:w="708" w:type="dxa"/>
            <w:vAlign w:val="center"/>
          </w:tcPr>
          <w:p w14:paraId="2558E86C">
            <w:pPr>
              <w:spacing w:line="360" w:lineRule="auto"/>
              <w:jc w:val="center"/>
              <w:rPr>
                <w:rFonts w:ascii="宋体" w:hAnsi="宋体" w:eastAsia="宋体" w:cs="宋体"/>
                <w:b/>
                <w:spacing w:val="-1"/>
                <w:sz w:val="18"/>
                <w:szCs w:val="18"/>
                <w:lang w:eastAsia="en-US"/>
              </w:rPr>
            </w:pPr>
            <w:r>
              <w:rPr>
                <w:rFonts w:ascii="宋体" w:hAnsi="宋体" w:eastAsia="宋体" w:cs="宋体"/>
                <w:b/>
                <w:spacing w:val="-1"/>
                <w:sz w:val="18"/>
                <w:szCs w:val="18"/>
                <w:lang w:eastAsia="en-US"/>
              </w:rPr>
              <w:t>丙烯酸</w:t>
            </w:r>
          </w:p>
        </w:tc>
        <w:tc>
          <w:tcPr>
            <w:tcW w:w="1134" w:type="dxa"/>
            <w:vAlign w:val="center"/>
          </w:tcPr>
          <w:p w14:paraId="6AB236E3">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苯/甲苯/</w:t>
            </w:r>
          </w:p>
          <w:p w14:paraId="5ED949A8">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二甲苯</w:t>
            </w:r>
          </w:p>
        </w:tc>
        <w:tc>
          <w:tcPr>
            <w:tcW w:w="709" w:type="dxa"/>
            <w:vAlign w:val="center"/>
          </w:tcPr>
          <w:p w14:paraId="50EB9B61">
            <w:pPr>
              <w:spacing w:line="360" w:lineRule="auto"/>
              <w:jc w:val="center"/>
              <w:rPr>
                <w:rFonts w:ascii="宋体" w:hAnsi="宋体" w:eastAsia="宋体" w:cs="宋体"/>
                <w:b/>
                <w:spacing w:val="-1"/>
                <w:sz w:val="18"/>
                <w:szCs w:val="18"/>
                <w:lang w:eastAsia="en-US"/>
              </w:rPr>
            </w:pPr>
            <w:r>
              <w:rPr>
                <w:rFonts w:ascii="宋体" w:hAnsi="宋体" w:eastAsia="宋体" w:cs="宋体"/>
                <w:b/>
                <w:spacing w:val="-1"/>
                <w:sz w:val="18"/>
                <w:szCs w:val="18"/>
                <w:lang w:eastAsia="en-US"/>
              </w:rPr>
              <w:t>硫酸雾</w:t>
            </w:r>
          </w:p>
        </w:tc>
        <w:tc>
          <w:tcPr>
            <w:tcW w:w="992" w:type="dxa"/>
            <w:vAlign w:val="center"/>
          </w:tcPr>
          <w:p w14:paraId="79B4C0E9">
            <w:pPr>
              <w:spacing w:line="360" w:lineRule="auto"/>
              <w:jc w:val="center"/>
              <w:rPr>
                <w:rFonts w:ascii="宋体" w:hAnsi="宋体" w:eastAsia="宋体" w:cs="宋体"/>
                <w:b/>
                <w:spacing w:val="-1"/>
                <w:sz w:val="18"/>
                <w:szCs w:val="18"/>
                <w:lang w:eastAsia="en-US"/>
              </w:rPr>
            </w:pPr>
            <w:r>
              <w:rPr>
                <w:rFonts w:hint="eastAsia" w:ascii="宋体" w:hAnsi="宋体" w:eastAsia="宋体" w:cs="宋体"/>
                <w:b/>
                <w:spacing w:val="-1"/>
                <w:sz w:val="18"/>
                <w:szCs w:val="18"/>
                <w:lang w:eastAsia="en-US"/>
              </w:rPr>
              <w:t>汞</w:t>
            </w:r>
            <w:r>
              <w:rPr>
                <w:rFonts w:ascii="宋体" w:hAnsi="宋体" w:eastAsia="宋体" w:cs="宋体"/>
                <w:b/>
                <w:spacing w:val="-1"/>
                <w:sz w:val="18"/>
                <w:szCs w:val="18"/>
                <w:lang w:eastAsia="en-US"/>
              </w:rPr>
              <w:t>及化合物</w:t>
            </w:r>
          </w:p>
        </w:tc>
        <w:tc>
          <w:tcPr>
            <w:tcW w:w="851" w:type="dxa"/>
            <w:vAlign w:val="center"/>
          </w:tcPr>
          <w:p w14:paraId="5A4E11B3">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二氧化碳</w:t>
            </w:r>
          </w:p>
          <w:p w14:paraId="2659A155">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（CO2）</w:t>
            </w:r>
          </w:p>
        </w:tc>
        <w:tc>
          <w:tcPr>
            <w:tcW w:w="708" w:type="dxa"/>
            <w:vAlign w:val="center"/>
          </w:tcPr>
          <w:p w14:paraId="0FCCED64">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氧气</w:t>
            </w:r>
          </w:p>
          <w:p w14:paraId="578F08ED">
            <w:pPr>
              <w:pStyle w:val="122"/>
              <w:spacing w:line="360" w:lineRule="auto"/>
              <w:jc w:val="center"/>
              <w:rPr>
                <w:rFonts w:ascii="宋体" w:hAnsi="宋体" w:eastAsia="宋体" w:cs="宋体"/>
                <w:b/>
                <w:spacing w:val="-1"/>
                <w:sz w:val="18"/>
                <w:szCs w:val="18"/>
              </w:rPr>
            </w:pPr>
            <w:r>
              <w:rPr>
                <w:rFonts w:hint="eastAsia" w:ascii="宋体" w:hAnsi="宋体" w:eastAsia="宋体" w:cs="宋体"/>
                <w:b/>
                <w:spacing w:val="-1"/>
                <w:sz w:val="18"/>
                <w:szCs w:val="18"/>
              </w:rPr>
              <w:t>（</w:t>
            </w:r>
            <w:r>
              <w:rPr>
                <w:rFonts w:ascii="宋体" w:hAnsi="宋体" w:eastAsia="宋体" w:cs="宋体"/>
                <w:b/>
                <w:spacing w:val="-1"/>
                <w:sz w:val="18"/>
                <w:szCs w:val="18"/>
              </w:rPr>
              <w:t>O2</w:t>
            </w:r>
            <w:r>
              <w:rPr>
                <w:rFonts w:hint="eastAsia" w:ascii="宋体" w:hAnsi="宋体" w:eastAsia="宋体" w:cs="宋体"/>
                <w:b/>
                <w:spacing w:val="-1"/>
                <w:sz w:val="18"/>
                <w:szCs w:val="18"/>
              </w:rPr>
              <w:t>）</w:t>
            </w:r>
          </w:p>
        </w:tc>
        <w:tc>
          <w:tcPr>
            <w:tcW w:w="713" w:type="dxa"/>
            <w:vAlign w:val="center"/>
          </w:tcPr>
          <w:p w14:paraId="49BD0500">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水</w:t>
            </w:r>
          </w:p>
          <w:p w14:paraId="25565E24">
            <w:pPr>
              <w:pStyle w:val="122"/>
              <w:spacing w:line="360" w:lineRule="auto"/>
              <w:jc w:val="center"/>
              <w:rPr>
                <w:rFonts w:ascii="宋体" w:hAnsi="宋体" w:eastAsia="宋体" w:cs="宋体"/>
                <w:b/>
                <w:spacing w:val="-1"/>
                <w:sz w:val="18"/>
                <w:szCs w:val="18"/>
              </w:rPr>
            </w:pPr>
            <w:r>
              <w:rPr>
                <w:rFonts w:ascii="宋体" w:hAnsi="宋体" w:eastAsia="宋体" w:cs="宋体"/>
                <w:b/>
                <w:spacing w:val="-1"/>
                <w:sz w:val="18"/>
                <w:szCs w:val="18"/>
              </w:rPr>
              <w:t>(H2O</w:t>
            </w:r>
            <w:r>
              <w:rPr>
                <w:rFonts w:hint="eastAsia" w:ascii="宋体" w:hAnsi="宋体" w:eastAsia="宋体" w:cs="宋体"/>
                <w:b/>
                <w:spacing w:val="-1"/>
                <w:sz w:val="18"/>
                <w:szCs w:val="18"/>
              </w:rPr>
              <w:t>)</w:t>
            </w:r>
          </w:p>
        </w:tc>
      </w:tr>
      <w:tr w14:paraId="4FB7B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jc w:val="center"/>
        </w:trPr>
        <w:tc>
          <w:tcPr>
            <w:tcW w:w="2099" w:type="dxa"/>
            <w:vAlign w:val="center"/>
          </w:tcPr>
          <w:p w14:paraId="591B40FF">
            <w:pPr>
              <w:spacing w:line="360" w:lineRule="auto"/>
              <w:rPr>
                <w:rFonts w:ascii="宋体" w:hAnsi="宋体" w:eastAsia="宋体" w:cs="宋体"/>
                <w:sz w:val="18"/>
                <w:szCs w:val="18"/>
              </w:rPr>
            </w:pPr>
            <w:r>
              <w:rPr>
                <w:rFonts w:ascii="宋体" w:hAnsi="宋体" w:eastAsia="宋体" w:cs="宋体"/>
                <w:spacing w:val="-1"/>
                <w:sz w:val="18"/>
                <w:szCs w:val="18"/>
              </w:rPr>
              <w:t>非分散红外气体分析仪</w:t>
            </w:r>
          </w:p>
        </w:tc>
        <w:tc>
          <w:tcPr>
            <w:tcW w:w="851" w:type="dxa"/>
            <w:vAlign w:val="center"/>
          </w:tcPr>
          <w:p w14:paraId="05994AC9">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64D6B3D2">
            <w:pPr>
              <w:spacing w:line="360" w:lineRule="auto"/>
              <w:jc w:val="center"/>
              <w:rPr>
                <w:rFonts w:ascii="宋体" w:hAnsi="宋体" w:eastAsia="宋体" w:cs="宋体"/>
                <w:b/>
                <w:sz w:val="18"/>
                <w:szCs w:val="18"/>
              </w:rPr>
            </w:pPr>
            <w:r>
              <w:rPr>
                <w:rFonts w:ascii="宋体" w:hAnsi="宋体" w:eastAsia="宋体" w:cs="宋体"/>
                <w:b/>
                <w:spacing w:val="-18"/>
                <w:sz w:val="18"/>
                <w:szCs w:val="18"/>
              </w:rPr>
              <w:t>√</w:t>
            </w:r>
          </w:p>
        </w:tc>
        <w:tc>
          <w:tcPr>
            <w:tcW w:w="851" w:type="dxa"/>
            <w:vAlign w:val="center"/>
          </w:tcPr>
          <w:p w14:paraId="1BBD5EFA">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4AF14E93">
            <w:pPr>
              <w:pStyle w:val="122"/>
              <w:spacing w:line="360" w:lineRule="auto"/>
              <w:ind w:firstLine="360"/>
              <w:jc w:val="center"/>
              <w:rPr>
                <w:b/>
                <w:sz w:val="18"/>
                <w:szCs w:val="18"/>
              </w:rPr>
            </w:pPr>
          </w:p>
        </w:tc>
        <w:tc>
          <w:tcPr>
            <w:tcW w:w="1134" w:type="dxa"/>
            <w:vAlign w:val="center"/>
          </w:tcPr>
          <w:p w14:paraId="26602842">
            <w:pPr>
              <w:pStyle w:val="122"/>
              <w:spacing w:line="360" w:lineRule="auto"/>
              <w:ind w:firstLine="360"/>
              <w:jc w:val="center"/>
              <w:rPr>
                <w:b/>
                <w:sz w:val="18"/>
                <w:szCs w:val="18"/>
              </w:rPr>
            </w:pPr>
          </w:p>
        </w:tc>
        <w:tc>
          <w:tcPr>
            <w:tcW w:w="709" w:type="dxa"/>
            <w:vAlign w:val="center"/>
          </w:tcPr>
          <w:p w14:paraId="51F5310F">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4667F86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1DB21743">
            <w:pPr>
              <w:spacing w:line="360" w:lineRule="auto"/>
              <w:ind w:firstLine="246"/>
              <w:jc w:val="center"/>
              <w:rPr>
                <w:b/>
                <w:sz w:val="18"/>
                <w:szCs w:val="18"/>
              </w:rPr>
            </w:pPr>
          </w:p>
        </w:tc>
        <w:tc>
          <w:tcPr>
            <w:tcW w:w="709" w:type="dxa"/>
            <w:vAlign w:val="center"/>
          </w:tcPr>
          <w:p w14:paraId="54331884">
            <w:pPr>
              <w:pStyle w:val="122"/>
              <w:spacing w:line="360" w:lineRule="auto"/>
              <w:ind w:firstLine="360"/>
              <w:jc w:val="center"/>
              <w:rPr>
                <w:b/>
                <w:sz w:val="18"/>
                <w:szCs w:val="18"/>
              </w:rPr>
            </w:pPr>
            <w:r>
              <w:rPr>
                <w:b/>
                <w:sz w:val="18"/>
                <w:szCs w:val="18"/>
              </w:rPr>
              <w:t>?</w:t>
            </w:r>
          </w:p>
        </w:tc>
        <w:tc>
          <w:tcPr>
            <w:tcW w:w="851" w:type="dxa"/>
            <w:vAlign w:val="center"/>
          </w:tcPr>
          <w:p w14:paraId="47405C1D">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0B1AAE6A">
            <w:pPr>
              <w:pStyle w:val="122"/>
              <w:spacing w:line="360" w:lineRule="auto"/>
              <w:ind w:firstLine="360"/>
              <w:jc w:val="center"/>
              <w:rPr>
                <w:b/>
                <w:sz w:val="18"/>
                <w:szCs w:val="18"/>
              </w:rPr>
            </w:pPr>
          </w:p>
        </w:tc>
        <w:tc>
          <w:tcPr>
            <w:tcW w:w="1134" w:type="dxa"/>
            <w:vAlign w:val="center"/>
          </w:tcPr>
          <w:p w14:paraId="19A1BEE0">
            <w:pPr>
              <w:pStyle w:val="122"/>
              <w:spacing w:line="360" w:lineRule="auto"/>
              <w:ind w:firstLine="360"/>
              <w:jc w:val="center"/>
              <w:rPr>
                <w:b/>
                <w:sz w:val="18"/>
                <w:szCs w:val="18"/>
              </w:rPr>
            </w:pPr>
          </w:p>
        </w:tc>
        <w:tc>
          <w:tcPr>
            <w:tcW w:w="709" w:type="dxa"/>
            <w:vAlign w:val="center"/>
          </w:tcPr>
          <w:p w14:paraId="6D244AD9">
            <w:pPr>
              <w:pStyle w:val="122"/>
              <w:spacing w:line="360" w:lineRule="auto"/>
              <w:ind w:firstLine="360"/>
              <w:jc w:val="center"/>
              <w:rPr>
                <w:b/>
                <w:sz w:val="18"/>
                <w:szCs w:val="18"/>
              </w:rPr>
            </w:pPr>
          </w:p>
        </w:tc>
        <w:tc>
          <w:tcPr>
            <w:tcW w:w="992" w:type="dxa"/>
            <w:vAlign w:val="center"/>
          </w:tcPr>
          <w:p w14:paraId="24585EDF">
            <w:pPr>
              <w:pStyle w:val="122"/>
              <w:spacing w:line="360" w:lineRule="auto"/>
              <w:ind w:firstLine="360"/>
              <w:jc w:val="center"/>
              <w:rPr>
                <w:b/>
                <w:sz w:val="18"/>
                <w:szCs w:val="18"/>
              </w:rPr>
            </w:pPr>
          </w:p>
        </w:tc>
        <w:tc>
          <w:tcPr>
            <w:tcW w:w="851" w:type="dxa"/>
            <w:vAlign w:val="center"/>
          </w:tcPr>
          <w:p w14:paraId="6D3C442F">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3C10C19A">
            <w:pPr>
              <w:pStyle w:val="122"/>
              <w:spacing w:line="360" w:lineRule="auto"/>
              <w:ind w:firstLine="360"/>
              <w:jc w:val="center"/>
              <w:rPr>
                <w:b/>
                <w:sz w:val="18"/>
                <w:szCs w:val="18"/>
              </w:rPr>
            </w:pPr>
          </w:p>
        </w:tc>
        <w:tc>
          <w:tcPr>
            <w:tcW w:w="713" w:type="dxa"/>
            <w:vAlign w:val="center"/>
          </w:tcPr>
          <w:p w14:paraId="69DFF49A">
            <w:pPr>
              <w:spacing w:line="360" w:lineRule="auto"/>
              <w:jc w:val="center"/>
              <w:rPr>
                <w:rFonts w:ascii="宋体" w:hAnsi="宋体" w:eastAsia="宋体" w:cs="宋体"/>
                <w:b/>
                <w:sz w:val="18"/>
                <w:szCs w:val="18"/>
              </w:rPr>
            </w:pPr>
            <w:r>
              <w:rPr>
                <w:rFonts w:ascii="宋体" w:hAnsi="宋体" w:eastAsia="宋体" w:cs="宋体"/>
                <w:b/>
                <w:sz w:val="18"/>
                <w:szCs w:val="18"/>
              </w:rPr>
              <w:t>√</w:t>
            </w:r>
          </w:p>
        </w:tc>
      </w:tr>
      <w:tr w14:paraId="32D15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99" w:type="dxa"/>
          </w:tcPr>
          <w:p w14:paraId="563FFA0E">
            <w:pPr>
              <w:pStyle w:val="122"/>
              <w:spacing w:line="360" w:lineRule="auto"/>
              <w:rPr>
                <w:sz w:val="18"/>
                <w:szCs w:val="18"/>
                <w:lang w:eastAsia="zh-CN"/>
              </w:rPr>
            </w:pPr>
            <w:r>
              <w:rPr>
                <w:rFonts w:ascii="宋体" w:hAnsi="宋体" w:eastAsia="宋体" w:cs="宋体"/>
                <w:spacing w:val="-1"/>
                <w:sz w:val="18"/>
                <w:szCs w:val="18"/>
                <w:lang w:eastAsia="zh-CN"/>
              </w:rPr>
              <w:t>高温多湿非分散红外气体分析仪</w:t>
            </w:r>
            <w:r>
              <w:rPr>
                <w:spacing w:val="-1"/>
                <w:sz w:val="18"/>
                <w:szCs w:val="18"/>
                <w:lang w:eastAsia="zh-CN"/>
              </w:rPr>
              <w:t>+GFC+IFC</w:t>
            </w:r>
          </w:p>
        </w:tc>
        <w:tc>
          <w:tcPr>
            <w:tcW w:w="851" w:type="dxa"/>
            <w:vAlign w:val="center"/>
          </w:tcPr>
          <w:p w14:paraId="6F68BD8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203AF693">
            <w:pPr>
              <w:pStyle w:val="122"/>
              <w:spacing w:line="360" w:lineRule="auto"/>
              <w:ind w:firstLine="360"/>
              <w:jc w:val="center"/>
              <w:rPr>
                <w:b/>
                <w:sz w:val="18"/>
                <w:szCs w:val="18"/>
              </w:rPr>
            </w:pPr>
            <w:r>
              <w:rPr>
                <w:b/>
                <w:sz w:val="18"/>
                <w:szCs w:val="18"/>
              </w:rPr>
              <w:t>?</w:t>
            </w:r>
          </w:p>
        </w:tc>
        <w:tc>
          <w:tcPr>
            <w:tcW w:w="851" w:type="dxa"/>
            <w:vAlign w:val="center"/>
          </w:tcPr>
          <w:p w14:paraId="111230D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01E91808">
            <w:pPr>
              <w:pStyle w:val="122"/>
              <w:spacing w:line="360" w:lineRule="auto"/>
              <w:ind w:firstLine="360"/>
              <w:jc w:val="center"/>
              <w:rPr>
                <w:b/>
                <w:sz w:val="18"/>
                <w:szCs w:val="18"/>
              </w:rPr>
            </w:pPr>
          </w:p>
        </w:tc>
        <w:tc>
          <w:tcPr>
            <w:tcW w:w="1134" w:type="dxa"/>
            <w:vAlign w:val="center"/>
          </w:tcPr>
          <w:p w14:paraId="664B8F8B">
            <w:pPr>
              <w:pStyle w:val="122"/>
              <w:spacing w:line="360" w:lineRule="auto"/>
              <w:ind w:firstLine="360"/>
              <w:jc w:val="center"/>
              <w:rPr>
                <w:b/>
                <w:sz w:val="18"/>
                <w:szCs w:val="18"/>
              </w:rPr>
            </w:pPr>
            <w:r>
              <w:rPr>
                <w:b/>
                <w:sz w:val="18"/>
                <w:szCs w:val="18"/>
              </w:rPr>
              <w:t>?</w:t>
            </w:r>
          </w:p>
        </w:tc>
        <w:tc>
          <w:tcPr>
            <w:tcW w:w="709" w:type="dxa"/>
            <w:vAlign w:val="center"/>
          </w:tcPr>
          <w:p w14:paraId="7BCEC0E1">
            <w:pPr>
              <w:pStyle w:val="122"/>
              <w:spacing w:line="360" w:lineRule="auto"/>
              <w:ind w:firstLine="360"/>
              <w:jc w:val="center"/>
              <w:rPr>
                <w:b/>
                <w:sz w:val="18"/>
                <w:szCs w:val="18"/>
              </w:rPr>
            </w:pPr>
            <w:r>
              <w:rPr>
                <w:b/>
                <w:sz w:val="18"/>
                <w:szCs w:val="18"/>
              </w:rPr>
              <w:t>?</w:t>
            </w:r>
          </w:p>
        </w:tc>
        <w:tc>
          <w:tcPr>
            <w:tcW w:w="851" w:type="dxa"/>
            <w:vAlign w:val="center"/>
          </w:tcPr>
          <w:p w14:paraId="45CA7279">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029653D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5C1A33D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7442D049">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423D7EE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1134" w:type="dxa"/>
            <w:vAlign w:val="center"/>
          </w:tcPr>
          <w:p w14:paraId="4C3B0E0F">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109725A0">
            <w:pPr>
              <w:spacing w:line="360" w:lineRule="auto"/>
              <w:ind w:firstLine="309"/>
              <w:jc w:val="center"/>
              <w:rPr>
                <w:b/>
                <w:sz w:val="18"/>
                <w:szCs w:val="18"/>
              </w:rPr>
            </w:pPr>
          </w:p>
        </w:tc>
        <w:tc>
          <w:tcPr>
            <w:tcW w:w="992" w:type="dxa"/>
            <w:vAlign w:val="center"/>
          </w:tcPr>
          <w:p w14:paraId="118B2C3E">
            <w:pPr>
              <w:pStyle w:val="122"/>
              <w:spacing w:line="360" w:lineRule="auto"/>
              <w:ind w:firstLine="360"/>
              <w:jc w:val="center"/>
              <w:rPr>
                <w:b/>
                <w:sz w:val="18"/>
                <w:szCs w:val="18"/>
              </w:rPr>
            </w:pPr>
          </w:p>
        </w:tc>
        <w:tc>
          <w:tcPr>
            <w:tcW w:w="851" w:type="dxa"/>
            <w:vAlign w:val="center"/>
          </w:tcPr>
          <w:p w14:paraId="232CF415">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0E9C8DE4">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13" w:type="dxa"/>
            <w:vAlign w:val="center"/>
          </w:tcPr>
          <w:p w14:paraId="26FC2983">
            <w:pPr>
              <w:spacing w:line="360" w:lineRule="auto"/>
              <w:jc w:val="center"/>
              <w:rPr>
                <w:rFonts w:ascii="宋体" w:hAnsi="宋体" w:eastAsia="宋体" w:cs="宋体"/>
                <w:b/>
                <w:sz w:val="18"/>
                <w:szCs w:val="18"/>
              </w:rPr>
            </w:pPr>
            <w:r>
              <w:rPr>
                <w:rFonts w:ascii="宋体" w:hAnsi="宋体" w:eastAsia="宋体" w:cs="宋体"/>
                <w:b/>
                <w:sz w:val="18"/>
                <w:szCs w:val="18"/>
              </w:rPr>
              <w:t>√</w:t>
            </w:r>
          </w:p>
        </w:tc>
      </w:tr>
      <w:tr w14:paraId="7A59F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24FFF28D">
            <w:pPr>
              <w:spacing w:line="360" w:lineRule="auto"/>
              <w:rPr>
                <w:rFonts w:ascii="宋体" w:hAnsi="宋体" w:eastAsia="宋体" w:cs="宋体"/>
                <w:sz w:val="18"/>
                <w:szCs w:val="18"/>
              </w:rPr>
            </w:pPr>
            <w:r>
              <w:rPr>
                <w:rFonts w:ascii="宋体" w:hAnsi="宋体" w:eastAsia="宋体" w:cs="宋体"/>
                <w:spacing w:val="-1"/>
                <w:sz w:val="18"/>
                <w:szCs w:val="18"/>
              </w:rPr>
              <w:t>非分散紫外气体分析仪</w:t>
            </w:r>
          </w:p>
        </w:tc>
        <w:tc>
          <w:tcPr>
            <w:tcW w:w="851" w:type="dxa"/>
            <w:vAlign w:val="center"/>
          </w:tcPr>
          <w:p w14:paraId="0A08C166">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CF0260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73F0527A">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65991465">
            <w:pPr>
              <w:pStyle w:val="122"/>
              <w:spacing w:line="360" w:lineRule="auto"/>
              <w:ind w:firstLine="360"/>
              <w:jc w:val="center"/>
              <w:rPr>
                <w:b/>
                <w:sz w:val="18"/>
                <w:szCs w:val="18"/>
              </w:rPr>
            </w:pPr>
          </w:p>
        </w:tc>
        <w:tc>
          <w:tcPr>
            <w:tcW w:w="1134" w:type="dxa"/>
            <w:vAlign w:val="center"/>
          </w:tcPr>
          <w:p w14:paraId="3CB04D1E">
            <w:pPr>
              <w:pStyle w:val="122"/>
              <w:spacing w:line="360" w:lineRule="auto"/>
              <w:ind w:firstLine="360"/>
              <w:jc w:val="center"/>
              <w:rPr>
                <w:b/>
                <w:sz w:val="18"/>
                <w:szCs w:val="18"/>
              </w:rPr>
            </w:pPr>
          </w:p>
        </w:tc>
        <w:tc>
          <w:tcPr>
            <w:tcW w:w="709" w:type="dxa"/>
            <w:vAlign w:val="center"/>
          </w:tcPr>
          <w:p w14:paraId="528B5D5A">
            <w:pPr>
              <w:pStyle w:val="122"/>
              <w:spacing w:line="360" w:lineRule="auto"/>
              <w:ind w:firstLine="360"/>
              <w:jc w:val="center"/>
              <w:rPr>
                <w:b/>
                <w:sz w:val="18"/>
                <w:szCs w:val="18"/>
              </w:rPr>
            </w:pPr>
          </w:p>
        </w:tc>
        <w:tc>
          <w:tcPr>
            <w:tcW w:w="851" w:type="dxa"/>
            <w:vAlign w:val="center"/>
          </w:tcPr>
          <w:p w14:paraId="47891D49">
            <w:pPr>
              <w:spacing w:line="360" w:lineRule="auto"/>
              <w:ind w:firstLine="306"/>
              <w:jc w:val="center"/>
              <w:rPr>
                <w:b/>
                <w:sz w:val="18"/>
                <w:szCs w:val="18"/>
              </w:rPr>
            </w:pPr>
          </w:p>
        </w:tc>
        <w:tc>
          <w:tcPr>
            <w:tcW w:w="708" w:type="dxa"/>
            <w:vAlign w:val="center"/>
          </w:tcPr>
          <w:p w14:paraId="72356052">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04BD0BB9">
            <w:pPr>
              <w:pStyle w:val="122"/>
              <w:spacing w:line="360" w:lineRule="auto"/>
              <w:ind w:firstLine="360"/>
              <w:jc w:val="center"/>
              <w:rPr>
                <w:b/>
                <w:sz w:val="18"/>
                <w:szCs w:val="18"/>
              </w:rPr>
            </w:pPr>
          </w:p>
        </w:tc>
        <w:tc>
          <w:tcPr>
            <w:tcW w:w="851" w:type="dxa"/>
            <w:vAlign w:val="center"/>
          </w:tcPr>
          <w:p w14:paraId="63777B44">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79C0CF58">
            <w:pPr>
              <w:pStyle w:val="122"/>
              <w:spacing w:line="360" w:lineRule="auto"/>
              <w:ind w:firstLine="360"/>
              <w:jc w:val="center"/>
              <w:rPr>
                <w:b/>
                <w:sz w:val="18"/>
                <w:szCs w:val="18"/>
              </w:rPr>
            </w:pPr>
          </w:p>
        </w:tc>
        <w:tc>
          <w:tcPr>
            <w:tcW w:w="1134" w:type="dxa"/>
            <w:vAlign w:val="center"/>
          </w:tcPr>
          <w:p w14:paraId="74DF5588">
            <w:pPr>
              <w:pStyle w:val="122"/>
              <w:spacing w:line="360" w:lineRule="auto"/>
              <w:ind w:firstLine="360"/>
              <w:jc w:val="center"/>
              <w:rPr>
                <w:b/>
                <w:sz w:val="18"/>
                <w:szCs w:val="18"/>
              </w:rPr>
            </w:pPr>
          </w:p>
        </w:tc>
        <w:tc>
          <w:tcPr>
            <w:tcW w:w="709" w:type="dxa"/>
            <w:vAlign w:val="center"/>
          </w:tcPr>
          <w:p w14:paraId="36E13845">
            <w:pPr>
              <w:pStyle w:val="122"/>
              <w:spacing w:line="360" w:lineRule="auto"/>
              <w:ind w:firstLine="360"/>
              <w:jc w:val="center"/>
              <w:rPr>
                <w:b/>
                <w:sz w:val="18"/>
                <w:szCs w:val="18"/>
              </w:rPr>
            </w:pPr>
          </w:p>
        </w:tc>
        <w:tc>
          <w:tcPr>
            <w:tcW w:w="992" w:type="dxa"/>
            <w:vAlign w:val="center"/>
          </w:tcPr>
          <w:p w14:paraId="79387E43">
            <w:pPr>
              <w:pStyle w:val="122"/>
              <w:spacing w:line="360" w:lineRule="auto"/>
              <w:ind w:firstLine="360"/>
              <w:jc w:val="center"/>
              <w:rPr>
                <w:b/>
                <w:sz w:val="18"/>
                <w:szCs w:val="18"/>
              </w:rPr>
            </w:pPr>
          </w:p>
        </w:tc>
        <w:tc>
          <w:tcPr>
            <w:tcW w:w="851" w:type="dxa"/>
            <w:vAlign w:val="center"/>
          </w:tcPr>
          <w:p w14:paraId="0750D052">
            <w:pPr>
              <w:pStyle w:val="122"/>
              <w:spacing w:line="360" w:lineRule="auto"/>
              <w:ind w:firstLine="360"/>
              <w:jc w:val="center"/>
              <w:rPr>
                <w:b/>
                <w:sz w:val="18"/>
                <w:szCs w:val="18"/>
              </w:rPr>
            </w:pPr>
          </w:p>
        </w:tc>
        <w:tc>
          <w:tcPr>
            <w:tcW w:w="708" w:type="dxa"/>
            <w:vAlign w:val="center"/>
          </w:tcPr>
          <w:p w14:paraId="4254968E">
            <w:pPr>
              <w:pStyle w:val="122"/>
              <w:spacing w:line="360" w:lineRule="auto"/>
              <w:ind w:firstLine="360"/>
              <w:jc w:val="center"/>
              <w:rPr>
                <w:b/>
                <w:sz w:val="18"/>
                <w:szCs w:val="18"/>
              </w:rPr>
            </w:pPr>
          </w:p>
        </w:tc>
        <w:tc>
          <w:tcPr>
            <w:tcW w:w="713" w:type="dxa"/>
            <w:vAlign w:val="center"/>
          </w:tcPr>
          <w:p w14:paraId="4220AB57">
            <w:pPr>
              <w:pStyle w:val="122"/>
              <w:spacing w:line="360" w:lineRule="auto"/>
              <w:ind w:firstLine="360"/>
              <w:jc w:val="center"/>
              <w:rPr>
                <w:b/>
                <w:sz w:val="18"/>
                <w:szCs w:val="18"/>
              </w:rPr>
            </w:pPr>
          </w:p>
        </w:tc>
      </w:tr>
      <w:tr w14:paraId="2A42DE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6833F712">
            <w:pPr>
              <w:spacing w:line="360" w:lineRule="auto"/>
              <w:rPr>
                <w:rFonts w:ascii="宋体" w:hAnsi="宋体" w:eastAsia="宋体" w:cs="宋体"/>
                <w:sz w:val="18"/>
                <w:szCs w:val="18"/>
              </w:rPr>
            </w:pPr>
            <w:r>
              <w:rPr>
                <w:rFonts w:ascii="宋体" w:hAnsi="宋体" w:eastAsia="宋体" w:cs="宋体"/>
                <w:spacing w:val="-2"/>
                <w:sz w:val="18"/>
                <w:szCs w:val="18"/>
              </w:rPr>
              <w:t>紫外荧光</w:t>
            </w:r>
          </w:p>
        </w:tc>
        <w:tc>
          <w:tcPr>
            <w:tcW w:w="851" w:type="dxa"/>
            <w:vAlign w:val="center"/>
          </w:tcPr>
          <w:p w14:paraId="2C9A50F8">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3721155B">
            <w:pPr>
              <w:pStyle w:val="122"/>
              <w:spacing w:line="360" w:lineRule="auto"/>
              <w:ind w:firstLine="360"/>
              <w:jc w:val="center"/>
              <w:rPr>
                <w:b/>
                <w:sz w:val="18"/>
                <w:szCs w:val="18"/>
              </w:rPr>
            </w:pPr>
          </w:p>
        </w:tc>
        <w:tc>
          <w:tcPr>
            <w:tcW w:w="851" w:type="dxa"/>
            <w:vAlign w:val="center"/>
          </w:tcPr>
          <w:p w14:paraId="0B3D270B">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440F8273">
            <w:pPr>
              <w:pStyle w:val="122"/>
              <w:spacing w:line="360" w:lineRule="auto"/>
              <w:ind w:firstLine="360"/>
              <w:jc w:val="center"/>
              <w:rPr>
                <w:b/>
                <w:sz w:val="18"/>
                <w:szCs w:val="18"/>
              </w:rPr>
            </w:pPr>
          </w:p>
        </w:tc>
        <w:tc>
          <w:tcPr>
            <w:tcW w:w="1134" w:type="dxa"/>
            <w:vAlign w:val="center"/>
          </w:tcPr>
          <w:p w14:paraId="220C4B1F">
            <w:pPr>
              <w:pStyle w:val="122"/>
              <w:spacing w:line="360" w:lineRule="auto"/>
              <w:ind w:firstLine="360"/>
              <w:jc w:val="center"/>
              <w:rPr>
                <w:b/>
                <w:sz w:val="18"/>
                <w:szCs w:val="18"/>
              </w:rPr>
            </w:pPr>
          </w:p>
        </w:tc>
        <w:tc>
          <w:tcPr>
            <w:tcW w:w="709" w:type="dxa"/>
            <w:vAlign w:val="center"/>
          </w:tcPr>
          <w:p w14:paraId="4CAAB9D4">
            <w:pPr>
              <w:pStyle w:val="122"/>
              <w:spacing w:line="360" w:lineRule="auto"/>
              <w:ind w:firstLine="360"/>
              <w:jc w:val="center"/>
              <w:rPr>
                <w:b/>
                <w:sz w:val="18"/>
                <w:szCs w:val="18"/>
              </w:rPr>
            </w:pPr>
          </w:p>
        </w:tc>
        <w:tc>
          <w:tcPr>
            <w:tcW w:w="851" w:type="dxa"/>
            <w:vAlign w:val="center"/>
          </w:tcPr>
          <w:p w14:paraId="4CA7E47D">
            <w:pPr>
              <w:pStyle w:val="122"/>
              <w:spacing w:line="360" w:lineRule="auto"/>
              <w:ind w:firstLine="360"/>
              <w:jc w:val="center"/>
              <w:rPr>
                <w:b/>
                <w:sz w:val="18"/>
                <w:szCs w:val="18"/>
              </w:rPr>
            </w:pPr>
          </w:p>
        </w:tc>
        <w:tc>
          <w:tcPr>
            <w:tcW w:w="708" w:type="dxa"/>
            <w:vAlign w:val="center"/>
          </w:tcPr>
          <w:p w14:paraId="5FF56D85">
            <w:pPr>
              <w:pStyle w:val="122"/>
              <w:spacing w:line="360" w:lineRule="auto"/>
              <w:ind w:firstLine="360"/>
              <w:jc w:val="center"/>
              <w:rPr>
                <w:b/>
                <w:sz w:val="18"/>
                <w:szCs w:val="18"/>
              </w:rPr>
            </w:pPr>
          </w:p>
        </w:tc>
        <w:tc>
          <w:tcPr>
            <w:tcW w:w="709" w:type="dxa"/>
            <w:vAlign w:val="center"/>
          </w:tcPr>
          <w:p w14:paraId="6577668C">
            <w:pPr>
              <w:pStyle w:val="122"/>
              <w:spacing w:line="360" w:lineRule="auto"/>
              <w:ind w:firstLine="360"/>
              <w:jc w:val="center"/>
              <w:rPr>
                <w:b/>
                <w:sz w:val="18"/>
                <w:szCs w:val="18"/>
              </w:rPr>
            </w:pPr>
          </w:p>
        </w:tc>
        <w:tc>
          <w:tcPr>
            <w:tcW w:w="851" w:type="dxa"/>
            <w:vAlign w:val="center"/>
          </w:tcPr>
          <w:p w14:paraId="30A603E5">
            <w:pPr>
              <w:pStyle w:val="122"/>
              <w:spacing w:line="360" w:lineRule="auto"/>
              <w:ind w:firstLine="360"/>
              <w:jc w:val="center"/>
              <w:rPr>
                <w:b/>
                <w:sz w:val="18"/>
                <w:szCs w:val="18"/>
              </w:rPr>
            </w:pPr>
          </w:p>
        </w:tc>
        <w:tc>
          <w:tcPr>
            <w:tcW w:w="708" w:type="dxa"/>
            <w:vAlign w:val="center"/>
          </w:tcPr>
          <w:p w14:paraId="6BF02568">
            <w:pPr>
              <w:pStyle w:val="122"/>
              <w:spacing w:line="360" w:lineRule="auto"/>
              <w:ind w:firstLine="360"/>
              <w:jc w:val="center"/>
              <w:rPr>
                <w:b/>
                <w:sz w:val="18"/>
                <w:szCs w:val="18"/>
              </w:rPr>
            </w:pPr>
          </w:p>
        </w:tc>
        <w:tc>
          <w:tcPr>
            <w:tcW w:w="1134" w:type="dxa"/>
            <w:vAlign w:val="center"/>
          </w:tcPr>
          <w:p w14:paraId="76D7EFFA">
            <w:pPr>
              <w:pStyle w:val="122"/>
              <w:spacing w:line="360" w:lineRule="auto"/>
              <w:ind w:firstLine="360"/>
              <w:jc w:val="center"/>
              <w:rPr>
                <w:b/>
                <w:sz w:val="18"/>
                <w:szCs w:val="18"/>
              </w:rPr>
            </w:pPr>
          </w:p>
        </w:tc>
        <w:tc>
          <w:tcPr>
            <w:tcW w:w="709" w:type="dxa"/>
            <w:vAlign w:val="center"/>
          </w:tcPr>
          <w:p w14:paraId="551E4AEC">
            <w:pPr>
              <w:pStyle w:val="122"/>
              <w:spacing w:line="360" w:lineRule="auto"/>
              <w:ind w:firstLine="360"/>
              <w:jc w:val="center"/>
              <w:rPr>
                <w:b/>
                <w:sz w:val="18"/>
                <w:szCs w:val="18"/>
              </w:rPr>
            </w:pPr>
          </w:p>
        </w:tc>
        <w:tc>
          <w:tcPr>
            <w:tcW w:w="992" w:type="dxa"/>
            <w:vAlign w:val="center"/>
          </w:tcPr>
          <w:p w14:paraId="062D1861">
            <w:pPr>
              <w:pStyle w:val="122"/>
              <w:spacing w:line="360" w:lineRule="auto"/>
              <w:ind w:firstLine="360"/>
              <w:jc w:val="center"/>
              <w:rPr>
                <w:b/>
                <w:sz w:val="18"/>
                <w:szCs w:val="18"/>
              </w:rPr>
            </w:pPr>
          </w:p>
        </w:tc>
        <w:tc>
          <w:tcPr>
            <w:tcW w:w="851" w:type="dxa"/>
            <w:vAlign w:val="center"/>
          </w:tcPr>
          <w:p w14:paraId="0B0CF026">
            <w:pPr>
              <w:pStyle w:val="122"/>
              <w:spacing w:line="360" w:lineRule="auto"/>
              <w:ind w:firstLine="360"/>
              <w:jc w:val="center"/>
              <w:rPr>
                <w:b/>
                <w:sz w:val="18"/>
                <w:szCs w:val="18"/>
              </w:rPr>
            </w:pPr>
          </w:p>
        </w:tc>
        <w:tc>
          <w:tcPr>
            <w:tcW w:w="708" w:type="dxa"/>
            <w:vAlign w:val="center"/>
          </w:tcPr>
          <w:p w14:paraId="0A658A0B">
            <w:pPr>
              <w:pStyle w:val="122"/>
              <w:spacing w:line="360" w:lineRule="auto"/>
              <w:ind w:firstLine="360"/>
              <w:jc w:val="center"/>
              <w:rPr>
                <w:b/>
                <w:sz w:val="18"/>
                <w:szCs w:val="18"/>
              </w:rPr>
            </w:pPr>
          </w:p>
        </w:tc>
        <w:tc>
          <w:tcPr>
            <w:tcW w:w="713" w:type="dxa"/>
            <w:vAlign w:val="center"/>
          </w:tcPr>
          <w:p w14:paraId="746D9039">
            <w:pPr>
              <w:pStyle w:val="122"/>
              <w:spacing w:line="360" w:lineRule="auto"/>
              <w:ind w:firstLine="360"/>
              <w:jc w:val="center"/>
              <w:rPr>
                <w:b/>
                <w:sz w:val="18"/>
                <w:szCs w:val="18"/>
              </w:rPr>
            </w:pPr>
          </w:p>
        </w:tc>
      </w:tr>
      <w:tr w14:paraId="4A3A4E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2099" w:type="dxa"/>
          </w:tcPr>
          <w:p w14:paraId="626A67AA">
            <w:pPr>
              <w:spacing w:line="360" w:lineRule="auto"/>
              <w:rPr>
                <w:rFonts w:ascii="宋体" w:hAnsi="宋体" w:eastAsia="宋体" w:cs="宋体"/>
                <w:sz w:val="18"/>
                <w:szCs w:val="18"/>
              </w:rPr>
            </w:pPr>
            <w:r>
              <w:rPr>
                <w:rFonts w:ascii="宋体" w:hAnsi="宋体" w:eastAsia="宋体" w:cs="宋体"/>
                <w:spacing w:val="-1"/>
                <w:sz w:val="18"/>
                <w:szCs w:val="18"/>
              </w:rPr>
              <w:t>化学发光</w:t>
            </w:r>
          </w:p>
        </w:tc>
        <w:tc>
          <w:tcPr>
            <w:tcW w:w="851" w:type="dxa"/>
            <w:vAlign w:val="center"/>
          </w:tcPr>
          <w:p w14:paraId="2717D50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58533E96">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C94D55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44C82937">
            <w:pPr>
              <w:pStyle w:val="122"/>
              <w:spacing w:line="360" w:lineRule="auto"/>
              <w:ind w:firstLine="360"/>
              <w:jc w:val="center"/>
              <w:rPr>
                <w:b/>
                <w:sz w:val="18"/>
                <w:szCs w:val="18"/>
              </w:rPr>
            </w:pPr>
          </w:p>
        </w:tc>
        <w:tc>
          <w:tcPr>
            <w:tcW w:w="1134" w:type="dxa"/>
            <w:vAlign w:val="center"/>
          </w:tcPr>
          <w:p w14:paraId="4DE203F0">
            <w:pPr>
              <w:pStyle w:val="122"/>
              <w:spacing w:line="360" w:lineRule="auto"/>
              <w:ind w:firstLine="360"/>
              <w:jc w:val="center"/>
              <w:rPr>
                <w:b/>
                <w:sz w:val="18"/>
                <w:szCs w:val="18"/>
              </w:rPr>
            </w:pPr>
          </w:p>
        </w:tc>
        <w:tc>
          <w:tcPr>
            <w:tcW w:w="709" w:type="dxa"/>
            <w:vAlign w:val="center"/>
          </w:tcPr>
          <w:p w14:paraId="72BDE9AC">
            <w:pPr>
              <w:pStyle w:val="122"/>
              <w:spacing w:line="360" w:lineRule="auto"/>
              <w:ind w:firstLine="360"/>
              <w:jc w:val="center"/>
              <w:rPr>
                <w:b/>
                <w:sz w:val="18"/>
                <w:szCs w:val="18"/>
              </w:rPr>
            </w:pPr>
          </w:p>
        </w:tc>
        <w:tc>
          <w:tcPr>
            <w:tcW w:w="851" w:type="dxa"/>
            <w:vAlign w:val="center"/>
          </w:tcPr>
          <w:p w14:paraId="7ABA635E">
            <w:pPr>
              <w:pStyle w:val="122"/>
              <w:spacing w:line="360" w:lineRule="auto"/>
              <w:ind w:firstLine="360"/>
              <w:jc w:val="center"/>
              <w:rPr>
                <w:b/>
                <w:sz w:val="18"/>
                <w:szCs w:val="18"/>
              </w:rPr>
            </w:pPr>
          </w:p>
        </w:tc>
        <w:tc>
          <w:tcPr>
            <w:tcW w:w="708" w:type="dxa"/>
            <w:vAlign w:val="center"/>
          </w:tcPr>
          <w:p w14:paraId="5B82FEF7">
            <w:pPr>
              <w:pStyle w:val="122"/>
              <w:spacing w:line="360" w:lineRule="auto"/>
              <w:ind w:firstLine="360"/>
              <w:jc w:val="center"/>
              <w:rPr>
                <w:b/>
                <w:sz w:val="18"/>
                <w:szCs w:val="18"/>
              </w:rPr>
            </w:pPr>
          </w:p>
        </w:tc>
        <w:tc>
          <w:tcPr>
            <w:tcW w:w="709" w:type="dxa"/>
            <w:vAlign w:val="center"/>
          </w:tcPr>
          <w:p w14:paraId="4B7C2046">
            <w:pPr>
              <w:pStyle w:val="122"/>
              <w:spacing w:line="360" w:lineRule="auto"/>
              <w:ind w:firstLine="360"/>
              <w:jc w:val="center"/>
              <w:rPr>
                <w:b/>
                <w:sz w:val="18"/>
                <w:szCs w:val="18"/>
              </w:rPr>
            </w:pPr>
          </w:p>
        </w:tc>
        <w:tc>
          <w:tcPr>
            <w:tcW w:w="851" w:type="dxa"/>
            <w:vAlign w:val="center"/>
          </w:tcPr>
          <w:p w14:paraId="73EEEF66">
            <w:pPr>
              <w:pStyle w:val="122"/>
              <w:spacing w:line="360" w:lineRule="auto"/>
              <w:ind w:firstLine="360"/>
              <w:jc w:val="center"/>
              <w:rPr>
                <w:b/>
                <w:sz w:val="18"/>
                <w:szCs w:val="18"/>
              </w:rPr>
            </w:pPr>
          </w:p>
        </w:tc>
        <w:tc>
          <w:tcPr>
            <w:tcW w:w="708" w:type="dxa"/>
            <w:vAlign w:val="center"/>
          </w:tcPr>
          <w:p w14:paraId="30631152">
            <w:pPr>
              <w:pStyle w:val="122"/>
              <w:spacing w:line="360" w:lineRule="auto"/>
              <w:ind w:firstLine="360"/>
              <w:jc w:val="center"/>
              <w:rPr>
                <w:b/>
                <w:sz w:val="18"/>
                <w:szCs w:val="18"/>
              </w:rPr>
            </w:pPr>
          </w:p>
        </w:tc>
        <w:tc>
          <w:tcPr>
            <w:tcW w:w="1134" w:type="dxa"/>
            <w:vAlign w:val="center"/>
          </w:tcPr>
          <w:p w14:paraId="639C349A">
            <w:pPr>
              <w:pStyle w:val="122"/>
              <w:spacing w:line="360" w:lineRule="auto"/>
              <w:ind w:firstLine="360"/>
              <w:jc w:val="center"/>
              <w:rPr>
                <w:b/>
                <w:sz w:val="18"/>
                <w:szCs w:val="18"/>
              </w:rPr>
            </w:pPr>
          </w:p>
        </w:tc>
        <w:tc>
          <w:tcPr>
            <w:tcW w:w="709" w:type="dxa"/>
            <w:vAlign w:val="center"/>
          </w:tcPr>
          <w:p w14:paraId="7A9AF286">
            <w:pPr>
              <w:pStyle w:val="122"/>
              <w:spacing w:line="360" w:lineRule="auto"/>
              <w:ind w:firstLine="360"/>
              <w:jc w:val="center"/>
              <w:rPr>
                <w:b/>
                <w:sz w:val="18"/>
                <w:szCs w:val="18"/>
              </w:rPr>
            </w:pPr>
          </w:p>
        </w:tc>
        <w:tc>
          <w:tcPr>
            <w:tcW w:w="992" w:type="dxa"/>
            <w:vAlign w:val="center"/>
          </w:tcPr>
          <w:p w14:paraId="2557052E">
            <w:pPr>
              <w:pStyle w:val="122"/>
              <w:spacing w:line="360" w:lineRule="auto"/>
              <w:ind w:firstLine="360"/>
              <w:jc w:val="center"/>
              <w:rPr>
                <w:b/>
                <w:sz w:val="18"/>
                <w:szCs w:val="18"/>
              </w:rPr>
            </w:pPr>
          </w:p>
        </w:tc>
        <w:tc>
          <w:tcPr>
            <w:tcW w:w="851" w:type="dxa"/>
            <w:vAlign w:val="center"/>
          </w:tcPr>
          <w:p w14:paraId="166E6AFD">
            <w:pPr>
              <w:pStyle w:val="122"/>
              <w:spacing w:line="360" w:lineRule="auto"/>
              <w:ind w:firstLine="360"/>
              <w:jc w:val="center"/>
              <w:rPr>
                <w:b/>
                <w:sz w:val="18"/>
                <w:szCs w:val="18"/>
              </w:rPr>
            </w:pPr>
          </w:p>
        </w:tc>
        <w:tc>
          <w:tcPr>
            <w:tcW w:w="708" w:type="dxa"/>
            <w:vAlign w:val="center"/>
          </w:tcPr>
          <w:p w14:paraId="250B2502">
            <w:pPr>
              <w:pStyle w:val="122"/>
              <w:spacing w:line="360" w:lineRule="auto"/>
              <w:ind w:firstLine="360"/>
              <w:jc w:val="center"/>
              <w:rPr>
                <w:b/>
                <w:sz w:val="18"/>
                <w:szCs w:val="18"/>
              </w:rPr>
            </w:pPr>
          </w:p>
        </w:tc>
        <w:tc>
          <w:tcPr>
            <w:tcW w:w="713" w:type="dxa"/>
            <w:vAlign w:val="center"/>
          </w:tcPr>
          <w:p w14:paraId="379780F0">
            <w:pPr>
              <w:pStyle w:val="122"/>
              <w:spacing w:line="360" w:lineRule="auto"/>
              <w:ind w:firstLine="360"/>
              <w:jc w:val="center"/>
              <w:rPr>
                <w:b/>
                <w:sz w:val="18"/>
                <w:szCs w:val="18"/>
              </w:rPr>
            </w:pPr>
          </w:p>
        </w:tc>
      </w:tr>
      <w:tr w14:paraId="614EFF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2099" w:type="dxa"/>
          </w:tcPr>
          <w:p w14:paraId="39DEAFBE">
            <w:pPr>
              <w:pStyle w:val="122"/>
              <w:spacing w:line="360" w:lineRule="auto"/>
              <w:rPr>
                <w:rFonts w:ascii="宋体" w:hAnsi="宋体" w:eastAsia="宋体" w:cs="宋体"/>
                <w:sz w:val="18"/>
                <w:szCs w:val="18"/>
              </w:rPr>
            </w:pPr>
            <w:r>
              <w:rPr>
                <w:rFonts w:ascii="宋体" w:hAnsi="宋体" w:eastAsia="宋体" w:cs="宋体"/>
                <w:spacing w:val="-2"/>
                <w:sz w:val="18"/>
                <w:szCs w:val="18"/>
              </w:rPr>
              <w:t>紫外差分（</w:t>
            </w:r>
            <w:r>
              <w:rPr>
                <w:b/>
                <w:bCs/>
                <w:spacing w:val="-2"/>
                <w:sz w:val="18"/>
                <w:szCs w:val="18"/>
              </w:rPr>
              <w:t>DOAS</w:t>
            </w:r>
            <w:r>
              <w:rPr>
                <w:rFonts w:ascii="宋体" w:hAnsi="宋体" w:eastAsia="宋体" w:cs="宋体"/>
                <w:b/>
                <w:bCs/>
                <w:spacing w:val="-2"/>
                <w:sz w:val="18"/>
                <w:szCs w:val="18"/>
              </w:rPr>
              <w:t>）</w:t>
            </w:r>
          </w:p>
        </w:tc>
        <w:tc>
          <w:tcPr>
            <w:tcW w:w="851" w:type="dxa"/>
            <w:vAlign w:val="center"/>
          </w:tcPr>
          <w:p w14:paraId="2F08DC33">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1F451A5">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14ECD480">
            <w:pPr>
              <w:spacing w:line="360" w:lineRule="auto"/>
              <w:jc w:val="center"/>
              <w:rPr>
                <w:rFonts w:ascii="宋体" w:hAnsi="宋体" w:eastAsia="宋体" w:cs="宋体"/>
                <w:b/>
                <w:sz w:val="18"/>
                <w:szCs w:val="18"/>
              </w:rPr>
            </w:pPr>
            <w:r>
              <w:rPr>
                <w:rFonts w:ascii="宋体" w:hAnsi="宋体" w:eastAsia="宋体" w:cs="宋体"/>
                <w:b/>
                <w:spacing w:val="-18"/>
                <w:sz w:val="18"/>
                <w:szCs w:val="18"/>
              </w:rPr>
              <w:t>√</w:t>
            </w:r>
            <w:r>
              <w:rPr>
                <w:rFonts w:ascii="宋体" w:hAnsi="宋体" w:eastAsia="宋体" w:cs="宋体"/>
                <w:b/>
                <w:spacing w:val="-43"/>
                <w:sz w:val="18"/>
                <w:szCs w:val="18"/>
              </w:rPr>
              <w:t xml:space="preserve"> </w:t>
            </w:r>
            <w:r>
              <w:rPr>
                <w:rFonts w:ascii="宋体" w:hAnsi="宋体" w:eastAsia="宋体" w:cs="宋体"/>
                <w:b/>
                <w:spacing w:val="-18"/>
                <w:sz w:val="18"/>
                <w:szCs w:val="18"/>
              </w:rPr>
              <w:t>?</w:t>
            </w:r>
          </w:p>
        </w:tc>
        <w:tc>
          <w:tcPr>
            <w:tcW w:w="643" w:type="dxa"/>
            <w:vAlign w:val="center"/>
          </w:tcPr>
          <w:p w14:paraId="5CA0F6C3">
            <w:pPr>
              <w:pStyle w:val="122"/>
              <w:spacing w:line="360" w:lineRule="auto"/>
              <w:ind w:firstLine="360"/>
              <w:jc w:val="center"/>
              <w:rPr>
                <w:b/>
                <w:sz w:val="18"/>
                <w:szCs w:val="18"/>
              </w:rPr>
            </w:pPr>
          </w:p>
        </w:tc>
        <w:tc>
          <w:tcPr>
            <w:tcW w:w="1134" w:type="dxa"/>
            <w:vAlign w:val="center"/>
          </w:tcPr>
          <w:p w14:paraId="26277387">
            <w:pPr>
              <w:pStyle w:val="122"/>
              <w:spacing w:line="360" w:lineRule="auto"/>
              <w:ind w:firstLine="360"/>
              <w:jc w:val="center"/>
              <w:rPr>
                <w:b/>
                <w:sz w:val="18"/>
                <w:szCs w:val="18"/>
              </w:rPr>
            </w:pPr>
          </w:p>
        </w:tc>
        <w:tc>
          <w:tcPr>
            <w:tcW w:w="709" w:type="dxa"/>
            <w:vAlign w:val="center"/>
          </w:tcPr>
          <w:p w14:paraId="5287CFF8">
            <w:pPr>
              <w:pStyle w:val="122"/>
              <w:spacing w:line="360" w:lineRule="auto"/>
              <w:ind w:firstLine="360"/>
              <w:jc w:val="center"/>
              <w:rPr>
                <w:b/>
                <w:sz w:val="18"/>
                <w:szCs w:val="18"/>
              </w:rPr>
            </w:pPr>
          </w:p>
        </w:tc>
        <w:tc>
          <w:tcPr>
            <w:tcW w:w="851" w:type="dxa"/>
            <w:vAlign w:val="center"/>
          </w:tcPr>
          <w:p w14:paraId="3F423356">
            <w:pPr>
              <w:spacing w:line="360" w:lineRule="auto"/>
              <w:ind w:firstLine="306"/>
              <w:jc w:val="center"/>
              <w:rPr>
                <w:b/>
                <w:sz w:val="18"/>
                <w:szCs w:val="18"/>
              </w:rPr>
            </w:pPr>
          </w:p>
        </w:tc>
        <w:tc>
          <w:tcPr>
            <w:tcW w:w="708" w:type="dxa"/>
            <w:vAlign w:val="center"/>
          </w:tcPr>
          <w:p w14:paraId="69B846B4">
            <w:pPr>
              <w:pStyle w:val="122"/>
              <w:spacing w:line="360" w:lineRule="auto"/>
              <w:ind w:firstLine="360"/>
              <w:jc w:val="center"/>
              <w:rPr>
                <w:b/>
                <w:sz w:val="18"/>
                <w:szCs w:val="18"/>
              </w:rPr>
            </w:pPr>
          </w:p>
        </w:tc>
        <w:tc>
          <w:tcPr>
            <w:tcW w:w="709" w:type="dxa"/>
            <w:vAlign w:val="center"/>
          </w:tcPr>
          <w:p w14:paraId="5D7D46C6">
            <w:pPr>
              <w:pStyle w:val="122"/>
              <w:spacing w:line="360" w:lineRule="auto"/>
              <w:ind w:firstLine="360"/>
              <w:jc w:val="center"/>
              <w:rPr>
                <w:b/>
                <w:sz w:val="18"/>
                <w:szCs w:val="18"/>
              </w:rPr>
            </w:pPr>
          </w:p>
        </w:tc>
        <w:tc>
          <w:tcPr>
            <w:tcW w:w="851" w:type="dxa"/>
            <w:vAlign w:val="center"/>
          </w:tcPr>
          <w:p w14:paraId="2A10FC89">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68B4EF1B">
            <w:pPr>
              <w:pStyle w:val="122"/>
              <w:spacing w:line="360" w:lineRule="auto"/>
              <w:ind w:firstLine="360"/>
              <w:jc w:val="center"/>
              <w:rPr>
                <w:b/>
                <w:sz w:val="18"/>
                <w:szCs w:val="18"/>
              </w:rPr>
            </w:pPr>
          </w:p>
        </w:tc>
        <w:tc>
          <w:tcPr>
            <w:tcW w:w="1134" w:type="dxa"/>
            <w:vAlign w:val="center"/>
          </w:tcPr>
          <w:p w14:paraId="0045C8C3">
            <w:pPr>
              <w:pStyle w:val="122"/>
              <w:spacing w:line="360" w:lineRule="auto"/>
              <w:ind w:firstLine="360"/>
              <w:jc w:val="center"/>
              <w:rPr>
                <w:b/>
                <w:sz w:val="18"/>
                <w:szCs w:val="18"/>
              </w:rPr>
            </w:pPr>
          </w:p>
        </w:tc>
        <w:tc>
          <w:tcPr>
            <w:tcW w:w="709" w:type="dxa"/>
            <w:vAlign w:val="center"/>
          </w:tcPr>
          <w:p w14:paraId="10338E2D">
            <w:pPr>
              <w:pStyle w:val="122"/>
              <w:spacing w:line="360" w:lineRule="auto"/>
              <w:ind w:firstLine="360"/>
              <w:jc w:val="center"/>
              <w:rPr>
                <w:b/>
                <w:sz w:val="18"/>
                <w:szCs w:val="18"/>
              </w:rPr>
            </w:pPr>
          </w:p>
        </w:tc>
        <w:tc>
          <w:tcPr>
            <w:tcW w:w="992" w:type="dxa"/>
            <w:vAlign w:val="center"/>
          </w:tcPr>
          <w:p w14:paraId="24E203B5">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DB4F0CF">
            <w:pPr>
              <w:pStyle w:val="122"/>
              <w:spacing w:line="360" w:lineRule="auto"/>
              <w:ind w:firstLine="360"/>
              <w:jc w:val="center"/>
              <w:rPr>
                <w:b/>
                <w:sz w:val="18"/>
                <w:szCs w:val="18"/>
              </w:rPr>
            </w:pPr>
          </w:p>
        </w:tc>
        <w:tc>
          <w:tcPr>
            <w:tcW w:w="708" w:type="dxa"/>
            <w:vAlign w:val="center"/>
          </w:tcPr>
          <w:p w14:paraId="7186E7C6">
            <w:pPr>
              <w:pStyle w:val="122"/>
              <w:spacing w:line="360" w:lineRule="auto"/>
              <w:ind w:firstLine="360"/>
              <w:jc w:val="center"/>
              <w:rPr>
                <w:b/>
                <w:sz w:val="18"/>
                <w:szCs w:val="18"/>
              </w:rPr>
            </w:pPr>
          </w:p>
        </w:tc>
        <w:tc>
          <w:tcPr>
            <w:tcW w:w="713" w:type="dxa"/>
            <w:vAlign w:val="center"/>
          </w:tcPr>
          <w:p w14:paraId="5F768812">
            <w:pPr>
              <w:pStyle w:val="122"/>
              <w:spacing w:line="360" w:lineRule="auto"/>
              <w:ind w:firstLine="360"/>
              <w:jc w:val="center"/>
              <w:rPr>
                <w:b/>
                <w:sz w:val="18"/>
                <w:szCs w:val="18"/>
              </w:rPr>
            </w:pPr>
          </w:p>
        </w:tc>
      </w:tr>
      <w:tr w14:paraId="43139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2099" w:type="dxa"/>
          </w:tcPr>
          <w:p w14:paraId="2E9FEC4A">
            <w:pPr>
              <w:pStyle w:val="122"/>
              <w:spacing w:line="360" w:lineRule="auto"/>
              <w:rPr>
                <w:rFonts w:ascii="宋体" w:hAnsi="宋体" w:eastAsia="宋体" w:cs="宋体"/>
                <w:sz w:val="18"/>
                <w:szCs w:val="18"/>
                <w:lang w:eastAsia="zh-CN"/>
              </w:rPr>
            </w:pPr>
            <w:r>
              <w:rPr>
                <w:rFonts w:ascii="宋体" w:hAnsi="宋体" w:eastAsia="宋体" w:cs="宋体"/>
                <w:spacing w:val="-1"/>
                <w:sz w:val="18"/>
                <w:szCs w:val="18"/>
                <w:lang w:eastAsia="zh-CN"/>
              </w:rPr>
              <w:t>傅里叶红外光谱仪</w:t>
            </w:r>
            <w:r>
              <w:rPr>
                <w:rFonts w:ascii="宋体" w:hAnsi="宋体" w:eastAsia="宋体" w:cs="宋体"/>
                <w:spacing w:val="1"/>
                <w:sz w:val="18"/>
                <w:szCs w:val="18"/>
                <w:lang w:eastAsia="zh-CN"/>
              </w:rPr>
              <w:t xml:space="preserve"> </w:t>
            </w:r>
            <w:r>
              <w:rPr>
                <w:rFonts w:ascii="宋体" w:hAnsi="宋体" w:eastAsia="宋体" w:cs="宋体"/>
                <w:spacing w:val="-1"/>
                <w:sz w:val="18"/>
                <w:szCs w:val="18"/>
                <w:lang w:eastAsia="zh-CN"/>
              </w:rPr>
              <w:t>（</w:t>
            </w:r>
            <w:r>
              <w:rPr>
                <w:spacing w:val="-1"/>
                <w:sz w:val="18"/>
                <w:szCs w:val="18"/>
                <w:lang w:eastAsia="zh-CN"/>
              </w:rPr>
              <w:t>FTIR</w:t>
            </w:r>
            <w:r>
              <w:rPr>
                <w:rFonts w:ascii="宋体" w:hAnsi="宋体" w:eastAsia="宋体" w:cs="宋体"/>
                <w:spacing w:val="-1"/>
                <w:sz w:val="18"/>
                <w:szCs w:val="18"/>
                <w:lang w:eastAsia="zh-CN"/>
              </w:rPr>
              <w:t>）</w:t>
            </w:r>
          </w:p>
        </w:tc>
        <w:tc>
          <w:tcPr>
            <w:tcW w:w="851" w:type="dxa"/>
            <w:vAlign w:val="center"/>
          </w:tcPr>
          <w:p w14:paraId="48389A4A">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3E83E6B2">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6535FE06">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643" w:type="dxa"/>
            <w:vAlign w:val="center"/>
          </w:tcPr>
          <w:p w14:paraId="635F1155">
            <w:pPr>
              <w:pStyle w:val="122"/>
              <w:spacing w:line="360" w:lineRule="auto"/>
              <w:ind w:firstLine="360"/>
              <w:jc w:val="center"/>
              <w:rPr>
                <w:b/>
                <w:sz w:val="18"/>
                <w:szCs w:val="18"/>
              </w:rPr>
            </w:pPr>
          </w:p>
        </w:tc>
        <w:tc>
          <w:tcPr>
            <w:tcW w:w="1134" w:type="dxa"/>
            <w:vAlign w:val="center"/>
          </w:tcPr>
          <w:p w14:paraId="5128CBF6">
            <w:pPr>
              <w:pStyle w:val="122"/>
              <w:spacing w:line="360" w:lineRule="auto"/>
              <w:ind w:firstLine="360"/>
              <w:jc w:val="center"/>
              <w:rPr>
                <w:b/>
                <w:sz w:val="18"/>
                <w:szCs w:val="18"/>
              </w:rPr>
            </w:pPr>
            <w:r>
              <w:rPr>
                <w:b/>
                <w:sz w:val="18"/>
                <w:szCs w:val="18"/>
              </w:rPr>
              <w:t>?</w:t>
            </w:r>
          </w:p>
        </w:tc>
        <w:tc>
          <w:tcPr>
            <w:tcW w:w="709" w:type="dxa"/>
            <w:vAlign w:val="center"/>
          </w:tcPr>
          <w:p w14:paraId="25256D4B">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27DE9051">
            <w:pPr>
              <w:spacing w:line="360" w:lineRule="auto"/>
              <w:ind w:firstLine="306"/>
              <w:jc w:val="center"/>
              <w:rPr>
                <w:b/>
                <w:sz w:val="18"/>
                <w:szCs w:val="18"/>
              </w:rPr>
            </w:pPr>
          </w:p>
        </w:tc>
        <w:tc>
          <w:tcPr>
            <w:tcW w:w="708" w:type="dxa"/>
            <w:vAlign w:val="center"/>
          </w:tcPr>
          <w:p w14:paraId="20534480">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3577AA82">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4AD5060E">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69563634">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1134" w:type="dxa"/>
            <w:vAlign w:val="center"/>
          </w:tcPr>
          <w:p w14:paraId="2B6A510B">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28B3D8E8">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992" w:type="dxa"/>
            <w:vAlign w:val="center"/>
          </w:tcPr>
          <w:p w14:paraId="169501D1">
            <w:pPr>
              <w:pStyle w:val="122"/>
              <w:spacing w:line="360" w:lineRule="auto"/>
              <w:ind w:firstLine="360"/>
              <w:jc w:val="center"/>
              <w:rPr>
                <w:b/>
                <w:sz w:val="18"/>
                <w:szCs w:val="18"/>
              </w:rPr>
            </w:pPr>
          </w:p>
        </w:tc>
        <w:tc>
          <w:tcPr>
            <w:tcW w:w="851" w:type="dxa"/>
            <w:vAlign w:val="center"/>
          </w:tcPr>
          <w:p w14:paraId="6D7377FA">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8" w:type="dxa"/>
            <w:vAlign w:val="center"/>
          </w:tcPr>
          <w:p w14:paraId="01CEB5D9">
            <w:pPr>
              <w:pStyle w:val="122"/>
              <w:spacing w:line="360" w:lineRule="auto"/>
              <w:ind w:firstLine="360"/>
              <w:jc w:val="center"/>
              <w:rPr>
                <w:b/>
                <w:sz w:val="18"/>
                <w:szCs w:val="18"/>
              </w:rPr>
            </w:pPr>
          </w:p>
        </w:tc>
        <w:tc>
          <w:tcPr>
            <w:tcW w:w="713" w:type="dxa"/>
            <w:vAlign w:val="center"/>
          </w:tcPr>
          <w:p w14:paraId="7222FB67">
            <w:pPr>
              <w:spacing w:line="360" w:lineRule="auto"/>
              <w:jc w:val="center"/>
              <w:rPr>
                <w:rFonts w:ascii="宋体" w:hAnsi="宋体" w:eastAsia="宋体" w:cs="宋体"/>
                <w:b/>
                <w:sz w:val="18"/>
                <w:szCs w:val="18"/>
              </w:rPr>
            </w:pPr>
            <w:r>
              <w:rPr>
                <w:rFonts w:ascii="宋体" w:hAnsi="宋体" w:eastAsia="宋体" w:cs="宋体"/>
                <w:b/>
                <w:sz w:val="18"/>
                <w:szCs w:val="18"/>
              </w:rPr>
              <w:t>√</w:t>
            </w:r>
          </w:p>
        </w:tc>
      </w:tr>
      <w:tr w14:paraId="7852F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61FE4AEA">
            <w:pPr>
              <w:spacing w:line="360" w:lineRule="auto"/>
              <w:rPr>
                <w:rFonts w:ascii="宋体" w:hAnsi="宋体" w:eastAsia="宋体" w:cs="宋体"/>
                <w:sz w:val="18"/>
                <w:szCs w:val="18"/>
              </w:rPr>
            </w:pPr>
            <w:r>
              <w:rPr>
                <w:rFonts w:ascii="宋体" w:hAnsi="宋体" w:eastAsia="宋体" w:cs="宋体"/>
                <w:spacing w:val="-1"/>
                <w:sz w:val="18"/>
                <w:szCs w:val="18"/>
              </w:rPr>
              <w:t>前散射激光测尘仪</w:t>
            </w:r>
          </w:p>
        </w:tc>
        <w:tc>
          <w:tcPr>
            <w:tcW w:w="851" w:type="dxa"/>
            <w:vAlign w:val="center"/>
          </w:tcPr>
          <w:p w14:paraId="738CEFFC">
            <w:pPr>
              <w:pStyle w:val="122"/>
              <w:spacing w:line="360" w:lineRule="auto"/>
              <w:ind w:firstLine="360"/>
              <w:jc w:val="center"/>
              <w:rPr>
                <w:b/>
                <w:sz w:val="18"/>
                <w:szCs w:val="18"/>
              </w:rPr>
            </w:pPr>
          </w:p>
        </w:tc>
        <w:tc>
          <w:tcPr>
            <w:tcW w:w="851" w:type="dxa"/>
            <w:vAlign w:val="center"/>
          </w:tcPr>
          <w:p w14:paraId="00DF95DB">
            <w:pPr>
              <w:pStyle w:val="122"/>
              <w:spacing w:line="360" w:lineRule="auto"/>
              <w:ind w:firstLine="360"/>
              <w:jc w:val="center"/>
              <w:rPr>
                <w:b/>
                <w:sz w:val="18"/>
                <w:szCs w:val="18"/>
              </w:rPr>
            </w:pPr>
          </w:p>
        </w:tc>
        <w:tc>
          <w:tcPr>
            <w:tcW w:w="851" w:type="dxa"/>
            <w:vAlign w:val="center"/>
          </w:tcPr>
          <w:p w14:paraId="1C84970D">
            <w:pPr>
              <w:pStyle w:val="122"/>
              <w:spacing w:line="360" w:lineRule="auto"/>
              <w:ind w:firstLine="360"/>
              <w:jc w:val="center"/>
              <w:rPr>
                <w:b/>
                <w:sz w:val="18"/>
                <w:szCs w:val="18"/>
              </w:rPr>
            </w:pPr>
          </w:p>
        </w:tc>
        <w:tc>
          <w:tcPr>
            <w:tcW w:w="643" w:type="dxa"/>
            <w:vAlign w:val="center"/>
          </w:tcPr>
          <w:p w14:paraId="25A392CF">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1134" w:type="dxa"/>
            <w:vAlign w:val="center"/>
          </w:tcPr>
          <w:p w14:paraId="0F43E050">
            <w:pPr>
              <w:pStyle w:val="122"/>
              <w:spacing w:line="360" w:lineRule="auto"/>
              <w:ind w:firstLine="360"/>
              <w:jc w:val="center"/>
              <w:rPr>
                <w:b/>
                <w:sz w:val="18"/>
                <w:szCs w:val="18"/>
              </w:rPr>
            </w:pPr>
          </w:p>
        </w:tc>
        <w:tc>
          <w:tcPr>
            <w:tcW w:w="709" w:type="dxa"/>
            <w:vAlign w:val="center"/>
          </w:tcPr>
          <w:p w14:paraId="3A01155F">
            <w:pPr>
              <w:pStyle w:val="122"/>
              <w:spacing w:line="360" w:lineRule="auto"/>
              <w:ind w:firstLine="360"/>
              <w:jc w:val="center"/>
              <w:rPr>
                <w:b/>
                <w:sz w:val="18"/>
                <w:szCs w:val="18"/>
              </w:rPr>
            </w:pPr>
          </w:p>
        </w:tc>
        <w:tc>
          <w:tcPr>
            <w:tcW w:w="851" w:type="dxa"/>
            <w:vAlign w:val="center"/>
          </w:tcPr>
          <w:p w14:paraId="569DB776">
            <w:pPr>
              <w:pStyle w:val="122"/>
              <w:spacing w:line="360" w:lineRule="auto"/>
              <w:ind w:firstLine="360"/>
              <w:jc w:val="center"/>
              <w:rPr>
                <w:b/>
                <w:sz w:val="18"/>
                <w:szCs w:val="18"/>
              </w:rPr>
            </w:pPr>
          </w:p>
        </w:tc>
        <w:tc>
          <w:tcPr>
            <w:tcW w:w="708" w:type="dxa"/>
            <w:vAlign w:val="center"/>
          </w:tcPr>
          <w:p w14:paraId="7B941935">
            <w:pPr>
              <w:pStyle w:val="122"/>
              <w:spacing w:line="360" w:lineRule="auto"/>
              <w:ind w:firstLine="360"/>
              <w:jc w:val="center"/>
              <w:rPr>
                <w:b/>
                <w:sz w:val="18"/>
                <w:szCs w:val="18"/>
              </w:rPr>
            </w:pPr>
          </w:p>
        </w:tc>
        <w:tc>
          <w:tcPr>
            <w:tcW w:w="709" w:type="dxa"/>
            <w:vAlign w:val="center"/>
          </w:tcPr>
          <w:p w14:paraId="7B98034E">
            <w:pPr>
              <w:pStyle w:val="122"/>
              <w:spacing w:line="360" w:lineRule="auto"/>
              <w:ind w:firstLine="360"/>
              <w:jc w:val="center"/>
              <w:rPr>
                <w:b/>
                <w:sz w:val="18"/>
                <w:szCs w:val="18"/>
              </w:rPr>
            </w:pPr>
          </w:p>
        </w:tc>
        <w:tc>
          <w:tcPr>
            <w:tcW w:w="851" w:type="dxa"/>
            <w:vAlign w:val="center"/>
          </w:tcPr>
          <w:p w14:paraId="11C3CDAF">
            <w:pPr>
              <w:pStyle w:val="122"/>
              <w:spacing w:line="360" w:lineRule="auto"/>
              <w:ind w:firstLine="360"/>
              <w:jc w:val="center"/>
              <w:rPr>
                <w:b/>
                <w:sz w:val="18"/>
                <w:szCs w:val="18"/>
              </w:rPr>
            </w:pPr>
          </w:p>
        </w:tc>
        <w:tc>
          <w:tcPr>
            <w:tcW w:w="708" w:type="dxa"/>
            <w:vAlign w:val="center"/>
          </w:tcPr>
          <w:p w14:paraId="1FB68047">
            <w:pPr>
              <w:pStyle w:val="122"/>
              <w:spacing w:line="360" w:lineRule="auto"/>
              <w:ind w:firstLine="360"/>
              <w:jc w:val="center"/>
              <w:rPr>
                <w:b/>
                <w:sz w:val="18"/>
                <w:szCs w:val="18"/>
              </w:rPr>
            </w:pPr>
          </w:p>
        </w:tc>
        <w:tc>
          <w:tcPr>
            <w:tcW w:w="1134" w:type="dxa"/>
            <w:vAlign w:val="center"/>
          </w:tcPr>
          <w:p w14:paraId="3763E522">
            <w:pPr>
              <w:pStyle w:val="122"/>
              <w:spacing w:line="360" w:lineRule="auto"/>
              <w:ind w:firstLine="360"/>
              <w:jc w:val="center"/>
              <w:rPr>
                <w:b/>
                <w:sz w:val="18"/>
                <w:szCs w:val="18"/>
              </w:rPr>
            </w:pPr>
          </w:p>
        </w:tc>
        <w:tc>
          <w:tcPr>
            <w:tcW w:w="709" w:type="dxa"/>
            <w:vAlign w:val="center"/>
          </w:tcPr>
          <w:p w14:paraId="0E5A0BD1">
            <w:pPr>
              <w:pStyle w:val="122"/>
              <w:spacing w:line="360" w:lineRule="auto"/>
              <w:ind w:firstLine="360"/>
              <w:jc w:val="center"/>
              <w:rPr>
                <w:b/>
                <w:sz w:val="18"/>
                <w:szCs w:val="18"/>
              </w:rPr>
            </w:pPr>
          </w:p>
        </w:tc>
        <w:tc>
          <w:tcPr>
            <w:tcW w:w="992" w:type="dxa"/>
            <w:vAlign w:val="center"/>
          </w:tcPr>
          <w:p w14:paraId="2F8408D3">
            <w:pPr>
              <w:pStyle w:val="122"/>
              <w:spacing w:line="360" w:lineRule="auto"/>
              <w:ind w:firstLine="360"/>
              <w:jc w:val="center"/>
              <w:rPr>
                <w:b/>
                <w:sz w:val="18"/>
                <w:szCs w:val="18"/>
              </w:rPr>
            </w:pPr>
          </w:p>
        </w:tc>
        <w:tc>
          <w:tcPr>
            <w:tcW w:w="851" w:type="dxa"/>
            <w:vAlign w:val="center"/>
          </w:tcPr>
          <w:p w14:paraId="77534D75">
            <w:pPr>
              <w:pStyle w:val="122"/>
              <w:spacing w:line="360" w:lineRule="auto"/>
              <w:ind w:firstLine="360"/>
              <w:jc w:val="center"/>
              <w:rPr>
                <w:b/>
                <w:sz w:val="18"/>
                <w:szCs w:val="18"/>
              </w:rPr>
            </w:pPr>
          </w:p>
        </w:tc>
        <w:tc>
          <w:tcPr>
            <w:tcW w:w="708" w:type="dxa"/>
            <w:vAlign w:val="center"/>
          </w:tcPr>
          <w:p w14:paraId="51CF744B">
            <w:pPr>
              <w:pStyle w:val="122"/>
              <w:spacing w:line="360" w:lineRule="auto"/>
              <w:ind w:firstLine="360"/>
              <w:jc w:val="center"/>
              <w:rPr>
                <w:b/>
                <w:sz w:val="18"/>
                <w:szCs w:val="18"/>
              </w:rPr>
            </w:pPr>
          </w:p>
        </w:tc>
        <w:tc>
          <w:tcPr>
            <w:tcW w:w="713" w:type="dxa"/>
            <w:vAlign w:val="center"/>
          </w:tcPr>
          <w:p w14:paraId="1EAD4594">
            <w:pPr>
              <w:pStyle w:val="122"/>
              <w:spacing w:line="360" w:lineRule="auto"/>
              <w:ind w:firstLine="360"/>
              <w:jc w:val="center"/>
              <w:rPr>
                <w:b/>
                <w:sz w:val="18"/>
                <w:szCs w:val="18"/>
              </w:rPr>
            </w:pPr>
          </w:p>
        </w:tc>
      </w:tr>
      <w:tr w14:paraId="62176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226317D8">
            <w:pPr>
              <w:spacing w:line="360" w:lineRule="auto"/>
              <w:rPr>
                <w:rFonts w:ascii="宋体" w:hAnsi="宋体" w:eastAsia="宋体" w:cs="宋体"/>
                <w:sz w:val="18"/>
                <w:szCs w:val="18"/>
              </w:rPr>
            </w:pPr>
            <w:r>
              <w:rPr>
                <w:rFonts w:ascii="宋体" w:hAnsi="宋体" w:eastAsia="宋体" w:cs="宋体"/>
                <w:spacing w:val="-1"/>
                <w:sz w:val="18"/>
                <w:szCs w:val="18"/>
              </w:rPr>
              <w:t>后散射激光测尘仪</w:t>
            </w:r>
          </w:p>
        </w:tc>
        <w:tc>
          <w:tcPr>
            <w:tcW w:w="851" w:type="dxa"/>
            <w:vAlign w:val="center"/>
          </w:tcPr>
          <w:p w14:paraId="4E966F7E">
            <w:pPr>
              <w:pStyle w:val="122"/>
              <w:spacing w:line="360" w:lineRule="auto"/>
              <w:ind w:firstLine="360"/>
              <w:jc w:val="center"/>
              <w:rPr>
                <w:b/>
                <w:sz w:val="18"/>
                <w:szCs w:val="18"/>
              </w:rPr>
            </w:pPr>
          </w:p>
        </w:tc>
        <w:tc>
          <w:tcPr>
            <w:tcW w:w="851" w:type="dxa"/>
            <w:vAlign w:val="center"/>
          </w:tcPr>
          <w:p w14:paraId="7C400D2F">
            <w:pPr>
              <w:pStyle w:val="122"/>
              <w:spacing w:line="360" w:lineRule="auto"/>
              <w:ind w:firstLine="360"/>
              <w:jc w:val="center"/>
              <w:rPr>
                <w:b/>
                <w:sz w:val="18"/>
                <w:szCs w:val="18"/>
              </w:rPr>
            </w:pPr>
          </w:p>
        </w:tc>
        <w:tc>
          <w:tcPr>
            <w:tcW w:w="851" w:type="dxa"/>
            <w:vAlign w:val="center"/>
          </w:tcPr>
          <w:p w14:paraId="4046D12A">
            <w:pPr>
              <w:pStyle w:val="122"/>
              <w:spacing w:line="360" w:lineRule="auto"/>
              <w:ind w:firstLine="360"/>
              <w:jc w:val="center"/>
              <w:rPr>
                <w:b/>
                <w:sz w:val="18"/>
                <w:szCs w:val="18"/>
              </w:rPr>
            </w:pPr>
          </w:p>
        </w:tc>
        <w:tc>
          <w:tcPr>
            <w:tcW w:w="643" w:type="dxa"/>
            <w:vAlign w:val="center"/>
          </w:tcPr>
          <w:p w14:paraId="77D3134B">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1134" w:type="dxa"/>
            <w:vAlign w:val="center"/>
          </w:tcPr>
          <w:p w14:paraId="779818AE">
            <w:pPr>
              <w:pStyle w:val="122"/>
              <w:spacing w:line="360" w:lineRule="auto"/>
              <w:ind w:firstLine="360"/>
              <w:jc w:val="center"/>
              <w:rPr>
                <w:b/>
                <w:sz w:val="18"/>
                <w:szCs w:val="18"/>
              </w:rPr>
            </w:pPr>
          </w:p>
        </w:tc>
        <w:tc>
          <w:tcPr>
            <w:tcW w:w="709" w:type="dxa"/>
            <w:vAlign w:val="center"/>
          </w:tcPr>
          <w:p w14:paraId="20F7D5E8">
            <w:pPr>
              <w:pStyle w:val="122"/>
              <w:spacing w:line="360" w:lineRule="auto"/>
              <w:ind w:firstLine="360"/>
              <w:jc w:val="center"/>
              <w:rPr>
                <w:b/>
                <w:sz w:val="18"/>
                <w:szCs w:val="18"/>
              </w:rPr>
            </w:pPr>
          </w:p>
        </w:tc>
        <w:tc>
          <w:tcPr>
            <w:tcW w:w="851" w:type="dxa"/>
            <w:vAlign w:val="center"/>
          </w:tcPr>
          <w:p w14:paraId="5ED5E126">
            <w:pPr>
              <w:pStyle w:val="122"/>
              <w:spacing w:line="360" w:lineRule="auto"/>
              <w:ind w:firstLine="360"/>
              <w:jc w:val="center"/>
              <w:rPr>
                <w:b/>
                <w:sz w:val="18"/>
                <w:szCs w:val="18"/>
              </w:rPr>
            </w:pPr>
          </w:p>
        </w:tc>
        <w:tc>
          <w:tcPr>
            <w:tcW w:w="708" w:type="dxa"/>
            <w:vAlign w:val="center"/>
          </w:tcPr>
          <w:p w14:paraId="4E2B4DAA">
            <w:pPr>
              <w:pStyle w:val="122"/>
              <w:spacing w:line="360" w:lineRule="auto"/>
              <w:ind w:firstLine="360"/>
              <w:jc w:val="center"/>
              <w:rPr>
                <w:b/>
                <w:sz w:val="18"/>
                <w:szCs w:val="18"/>
              </w:rPr>
            </w:pPr>
          </w:p>
        </w:tc>
        <w:tc>
          <w:tcPr>
            <w:tcW w:w="709" w:type="dxa"/>
            <w:vAlign w:val="center"/>
          </w:tcPr>
          <w:p w14:paraId="6E4F4AF2">
            <w:pPr>
              <w:pStyle w:val="122"/>
              <w:spacing w:line="360" w:lineRule="auto"/>
              <w:ind w:firstLine="360"/>
              <w:jc w:val="center"/>
              <w:rPr>
                <w:b/>
                <w:sz w:val="18"/>
                <w:szCs w:val="18"/>
              </w:rPr>
            </w:pPr>
          </w:p>
        </w:tc>
        <w:tc>
          <w:tcPr>
            <w:tcW w:w="851" w:type="dxa"/>
            <w:vAlign w:val="center"/>
          </w:tcPr>
          <w:p w14:paraId="72FB1E19">
            <w:pPr>
              <w:pStyle w:val="122"/>
              <w:spacing w:line="360" w:lineRule="auto"/>
              <w:ind w:firstLine="360"/>
              <w:jc w:val="center"/>
              <w:rPr>
                <w:b/>
                <w:sz w:val="18"/>
                <w:szCs w:val="18"/>
              </w:rPr>
            </w:pPr>
          </w:p>
        </w:tc>
        <w:tc>
          <w:tcPr>
            <w:tcW w:w="708" w:type="dxa"/>
            <w:vAlign w:val="center"/>
          </w:tcPr>
          <w:p w14:paraId="26BE8C69">
            <w:pPr>
              <w:pStyle w:val="122"/>
              <w:spacing w:line="360" w:lineRule="auto"/>
              <w:ind w:firstLine="360"/>
              <w:jc w:val="center"/>
              <w:rPr>
                <w:b/>
                <w:sz w:val="18"/>
                <w:szCs w:val="18"/>
              </w:rPr>
            </w:pPr>
          </w:p>
        </w:tc>
        <w:tc>
          <w:tcPr>
            <w:tcW w:w="1134" w:type="dxa"/>
            <w:vAlign w:val="center"/>
          </w:tcPr>
          <w:p w14:paraId="771D5E33">
            <w:pPr>
              <w:pStyle w:val="122"/>
              <w:spacing w:line="360" w:lineRule="auto"/>
              <w:ind w:firstLine="360"/>
              <w:jc w:val="center"/>
              <w:rPr>
                <w:b/>
                <w:sz w:val="18"/>
                <w:szCs w:val="18"/>
              </w:rPr>
            </w:pPr>
          </w:p>
        </w:tc>
        <w:tc>
          <w:tcPr>
            <w:tcW w:w="709" w:type="dxa"/>
            <w:vAlign w:val="center"/>
          </w:tcPr>
          <w:p w14:paraId="3CB3C45C">
            <w:pPr>
              <w:pStyle w:val="122"/>
              <w:spacing w:line="360" w:lineRule="auto"/>
              <w:ind w:firstLine="360"/>
              <w:jc w:val="center"/>
              <w:rPr>
                <w:b/>
                <w:sz w:val="18"/>
                <w:szCs w:val="18"/>
              </w:rPr>
            </w:pPr>
          </w:p>
        </w:tc>
        <w:tc>
          <w:tcPr>
            <w:tcW w:w="992" w:type="dxa"/>
            <w:vAlign w:val="center"/>
          </w:tcPr>
          <w:p w14:paraId="5780E4BF">
            <w:pPr>
              <w:pStyle w:val="122"/>
              <w:spacing w:line="360" w:lineRule="auto"/>
              <w:ind w:firstLine="360"/>
              <w:jc w:val="center"/>
              <w:rPr>
                <w:b/>
                <w:sz w:val="18"/>
                <w:szCs w:val="18"/>
              </w:rPr>
            </w:pPr>
          </w:p>
        </w:tc>
        <w:tc>
          <w:tcPr>
            <w:tcW w:w="851" w:type="dxa"/>
            <w:vAlign w:val="center"/>
          </w:tcPr>
          <w:p w14:paraId="06D45FBD">
            <w:pPr>
              <w:pStyle w:val="122"/>
              <w:spacing w:line="360" w:lineRule="auto"/>
              <w:ind w:firstLine="360"/>
              <w:jc w:val="center"/>
              <w:rPr>
                <w:b/>
                <w:sz w:val="18"/>
                <w:szCs w:val="18"/>
              </w:rPr>
            </w:pPr>
          </w:p>
        </w:tc>
        <w:tc>
          <w:tcPr>
            <w:tcW w:w="708" w:type="dxa"/>
            <w:vAlign w:val="center"/>
          </w:tcPr>
          <w:p w14:paraId="1C697BCD">
            <w:pPr>
              <w:pStyle w:val="122"/>
              <w:spacing w:line="360" w:lineRule="auto"/>
              <w:ind w:firstLine="360"/>
              <w:jc w:val="center"/>
              <w:rPr>
                <w:b/>
                <w:sz w:val="18"/>
                <w:szCs w:val="18"/>
              </w:rPr>
            </w:pPr>
          </w:p>
        </w:tc>
        <w:tc>
          <w:tcPr>
            <w:tcW w:w="713" w:type="dxa"/>
            <w:vAlign w:val="center"/>
          </w:tcPr>
          <w:p w14:paraId="15BF2C69">
            <w:pPr>
              <w:pStyle w:val="122"/>
              <w:spacing w:line="360" w:lineRule="auto"/>
              <w:ind w:firstLine="360"/>
              <w:jc w:val="center"/>
              <w:rPr>
                <w:b/>
                <w:sz w:val="18"/>
                <w:szCs w:val="18"/>
              </w:rPr>
            </w:pPr>
          </w:p>
        </w:tc>
      </w:tr>
      <w:tr w14:paraId="6658A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38297D31">
            <w:pPr>
              <w:pStyle w:val="122"/>
              <w:spacing w:line="360" w:lineRule="auto"/>
              <w:rPr>
                <w:sz w:val="18"/>
                <w:szCs w:val="18"/>
              </w:rPr>
            </w:pPr>
            <w:r>
              <w:rPr>
                <w:rFonts w:ascii="宋体" w:hAnsi="宋体" w:eastAsia="宋体" w:cs="宋体"/>
                <w:spacing w:val="-1"/>
                <w:sz w:val="18"/>
                <w:szCs w:val="18"/>
              </w:rPr>
              <w:t>氢火焰离子化检测器</w:t>
            </w:r>
          </w:p>
        </w:tc>
        <w:tc>
          <w:tcPr>
            <w:tcW w:w="851" w:type="dxa"/>
            <w:vAlign w:val="center"/>
          </w:tcPr>
          <w:p w14:paraId="2AB49998">
            <w:pPr>
              <w:pStyle w:val="122"/>
              <w:spacing w:line="360" w:lineRule="auto"/>
              <w:ind w:firstLine="360"/>
              <w:jc w:val="center"/>
              <w:rPr>
                <w:b/>
                <w:sz w:val="18"/>
                <w:szCs w:val="18"/>
              </w:rPr>
            </w:pPr>
          </w:p>
        </w:tc>
        <w:tc>
          <w:tcPr>
            <w:tcW w:w="851" w:type="dxa"/>
            <w:vAlign w:val="center"/>
          </w:tcPr>
          <w:p w14:paraId="6D75190F">
            <w:pPr>
              <w:pStyle w:val="122"/>
              <w:spacing w:line="360" w:lineRule="auto"/>
              <w:ind w:firstLine="360"/>
              <w:jc w:val="center"/>
              <w:rPr>
                <w:b/>
                <w:sz w:val="18"/>
                <w:szCs w:val="18"/>
              </w:rPr>
            </w:pPr>
          </w:p>
        </w:tc>
        <w:tc>
          <w:tcPr>
            <w:tcW w:w="851" w:type="dxa"/>
            <w:vAlign w:val="center"/>
          </w:tcPr>
          <w:p w14:paraId="404F412C">
            <w:pPr>
              <w:pStyle w:val="122"/>
              <w:spacing w:line="360" w:lineRule="auto"/>
              <w:ind w:firstLine="360"/>
              <w:jc w:val="center"/>
              <w:rPr>
                <w:b/>
                <w:sz w:val="18"/>
                <w:szCs w:val="18"/>
              </w:rPr>
            </w:pPr>
          </w:p>
        </w:tc>
        <w:tc>
          <w:tcPr>
            <w:tcW w:w="643" w:type="dxa"/>
            <w:vAlign w:val="center"/>
          </w:tcPr>
          <w:p w14:paraId="3B83FE0A">
            <w:pPr>
              <w:pStyle w:val="122"/>
              <w:spacing w:line="360" w:lineRule="auto"/>
              <w:ind w:firstLine="360"/>
              <w:jc w:val="center"/>
              <w:rPr>
                <w:b/>
                <w:sz w:val="18"/>
                <w:szCs w:val="18"/>
              </w:rPr>
            </w:pPr>
          </w:p>
        </w:tc>
        <w:tc>
          <w:tcPr>
            <w:tcW w:w="1134" w:type="dxa"/>
            <w:vAlign w:val="center"/>
          </w:tcPr>
          <w:p w14:paraId="51B5A34B">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40465009">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6479304D">
            <w:pPr>
              <w:pStyle w:val="122"/>
              <w:spacing w:line="360" w:lineRule="auto"/>
              <w:ind w:firstLine="360"/>
              <w:jc w:val="center"/>
              <w:rPr>
                <w:b/>
                <w:sz w:val="18"/>
                <w:szCs w:val="18"/>
              </w:rPr>
            </w:pPr>
          </w:p>
        </w:tc>
        <w:tc>
          <w:tcPr>
            <w:tcW w:w="708" w:type="dxa"/>
            <w:vAlign w:val="center"/>
          </w:tcPr>
          <w:p w14:paraId="183EDB4F">
            <w:pPr>
              <w:pStyle w:val="122"/>
              <w:spacing w:line="360" w:lineRule="auto"/>
              <w:ind w:firstLine="360"/>
              <w:jc w:val="center"/>
              <w:rPr>
                <w:b/>
                <w:sz w:val="18"/>
                <w:szCs w:val="18"/>
              </w:rPr>
            </w:pPr>
          </w:p>
        </w:tc>
        <w:tc>
          <w:tcPr>
            <w:tcW w:w="709" w:type="dxa"/>
            <w:vAlign w:val="center"/>
          </w:tcPr>
          <w:p w14:paraId="3E70174D">
            <w:pPr>
              <w:pStyle w:val="122"/>
              <w:spacing w:line="360" w:lineRule="auto"/>
              <w:ind w:firstLine="360"/>
              <w:jc w:val="center"/>
              <w:rPr>
                <w:b/>
                <w:sz w:val="18"/>
                <w:szCs w:val="18"/>
              </w:rPr>
            </w:pPr>
          </w:p>
        </w:tc>
        <w:tc>
          <w:tcPr>
            <w:tcW w:w="851" w:type="dxa"/>
            <w:vAlign w:val="center"/>
          </w:tcPr>
          <w:p w14:paraId="6D3AC840">
            <w:pPr>
              <w:pStyle w:val="122"/>
              <w:spacing w:line="360" w:lineRule="auto"/>
              <w:ind w:firstLine="360"/>
              <w:jc w:val="center"/>
              <w:rPr>
                <w:b/>
                <w:sz w:val="18"/>
                <w:szCs w:val="18"/>
              </w:rPr>
            </w:pPr>
          </w:p>
        </w:tc>
        <w:tc>
          <w:tcPr>
            <w:tcW w:w="708" w:type="dxa"/>
            <w:vAlign w:val="center"/>
          </w:tcPr>
          <w:p w14:paraId="032132F1">
            <w:pPr>
              <w:pStyle w:val="122"/>
              <w:spacing w:line="360" w:lineRule="auto"/>
              <w:ind w:firstLine="360"/>
              <w:jc w:val="center"/>
              <w:rPr>
                <w:b/>
                <w:sz w:val="18"/>
                <w:szCs w:val="18"/>
              </w:rPr>
            </w:pPr>
          </w:p>
        </w:tc>
        <w:tc>
          <w:tcPr>
            <w:tcW w:w="1134" w:type="dxa"/>
            <w:vAlign w:val="center"/>
          </w:tcPr>
          <w:p w14:paraId="2BAC0C69">
            <w:pPr>
              <w:pStyle w:val="122"/>
              <w:spacing w:line="360" w:lineRule="auto"/>
              <w:ind w:firstLine="360"/>
              <w:jc w:val="center"/>
              <w:rPr>
                <w:b/>
                <w:sz w:val="18"/>
                <w:szCs w:val="18"/>
              </w:rPr>
            </w:pPr>
          </w:p>
        </w:tc>
        <w:tc>
          <w:tcPr>
            <w:tcW w:w="709" w:type="dxa"/>
            <w:vAlign w:val="center"/>
          </w:tcPr>
          <w:p w14:paraId="0264EF38">
            <w:pPr>
              <w:pStyle w:val="122"/>
              <w:spacing w:line="360" w:lineRule="auto"/>
              <w:ind w:firstLine="360"/>
              <w:jc w:val="center"/>
              <w:rPr>
                <w:b/>
                <w:sz w:val="18"/>
                <w:szCs w:val="18"/>
              </w:rPr>
            </w:pPr>
          </w:p>
        </w:tc>
        <w:tc>
          <w:tcPr>
            <w:tcW w:w="992" w:type="dxa"/>
            <w:vAlign w:val="center"/>
          </w:tcPr>
          <w:p w14:paraId="7539DE01">
            <w:pPr>
              <w:pStyle w:val="122"/>
              <w:spacing w:line="360" w:lineRule="auto"/>
              <w:ind w:firstLine="360"/>
              <w:jc w:val="center"/>
              <w:rPr>
                <w:b/>
                <w:sz w:val="18"/>
                <w:szCs w:val="18"/>
              </w:rPr>
            </w:pPr>
          </w:p>
        </w:tc>
        <w:tc>
          <w:tcPr>
            <w:tcW w:w="851" w:type="dxa"/>
            <w:vAlign w:val="center"/>
          </w:tcPr>
          <w:p w14:paraId="4806C214">
            <w:pPr>
              <w:pStyle w:val="122"/>
              <w:spacing w:line="360" w:lineRule="auto"/>
              <w:ind w:firstLine="360"/>
              <w:jc w:val="center"/>
              <w:rPr>
                <w:b/>
                <w:sz w:val="18"/>
                <w:szCs w:val="18"/>
              </w:rPr>
            </w:pPr>
          </w:p>
        </w:tc>
        <w:tc>
          <w:tcPr>
            <w:tcW w:w="708" w:type="dxa"/>
            <w:vAlign w:val="center"/>
          </w:tcPr>
          <w:p w14:paraId="46505175">
            <w:pPr>
              <w:pStyle w:val="122"/>
              <w:spacing w:line="360" w:lineRule="auto"/>
              <w:ind w:firstLine="360"/>
              <w:jc w:val="center"/>
              <w:rPr>
                <w:b/>
                <w:sz w:val="18"/>
                <w:szCs w:val="18"/>
              </w:rPr>
            </w:pPr>
          </w:p>
        </w:tc>
        <w:tc>
          <w:tcPr>
            <w:tcW w:w="713" w:type="dxa"/>
            <w:vAlign w:val="center"/>
          </w:tcPr>
          <w:p w14:paraId="1251C754">
            <w:pPr>
              <w:pStyle w:val="122"/>
              <w:spacing w:line="360" w:lineRule="auto"/>
              <w:ind w:firstLine="360"/>
              <w:jc w:val="center"/>
              <w:rPr>
                <w:b/>
                <w:sz w:val="18"/>
                <w:szCs w:val="18"/>
              </w:rPr>
            </w:pPr>
          </w:p>
        </w:tc>
      </w:tr>
      <w:tr w14:paraId="69C4D4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7" w:hRule="atLeast"/>
          <w:jc w:val="center"/>
        </w:trPr>
        <w:tc>
          <w:tcPr>
            <w:tcW w:w="2099" w:type="dxa"/>
          </w:tcPr>
          <w:p w14:paraId="715E0EAA">
            <w:pPr>
              <w:spacing w:line="360" w:lineRule="auto"/>
              <w:rPr>
                <w:sz w:val="18"/>
                <w:szCs w:val="18"/>
              </w:rPr>
            </w:pPr>
            <w:r>
              <w:rPr>
                <w:rFonts w:hint="eastAsia"/>
                <w:sz w:val="18"/>
                <w:szCs w:val="18"/>
              </w:rPr>
              <w:t>气相色谱</w:t>
            </w:r>
          </w:p>
        </w:tc>
        <w:tc>
          <w:tcPr>
            <w:tcW w:w="851" w:type="dxa"/>
            <w:vAlign w:val="center"/>
          </w:tcPr>
          <w:p w14:paraId="406582A0">
            <w:pPr>
              <w:pStyle w:val="122"/>
              <w:spacing w:line="360" w:lineRule="auto"/>
              <w:ind w:firstLine="360"/>
              <w:jc w:val="center"/>
              <w:rPr>
                <w:b/>
                <w:sz w:val="18"/>
                <w:szCs w:val="18"/>
              </w:rPr>
            </w:pPr>
          </w:p>
        </w:tc>
        <w:tc>
          <w:tcPr>
            <w:tcW w:w="851" w:type="dxa"/>
            <w:vAlign w:val="center"/>
          </w:tcPr>
          <w:p w14:paraId="1150F923">
            <w:pPr>
              <w:pStyle w:val="122"/>
              <w:spacing w:line="360" w:lineRule="auto"/>
              <w:ind w:firstLine="360"/>
              <w:jc w:val="center"/>
              <w:rPr>
                <w:b/>
                <w:sz w:val="18"/>
                <w:szCs w:val="18"/>
              </w:rPr>
            </w:pPr>
          </w:p>
        </w:tc>
        <w:tc>
          <w:tcPr>
            <w:tcW w:w="851" w:type="dxa"/>
            <w:vAlign w:val="center"/>
          </w:tcPr>
          <w:p w14:paraId="6A72725A">
            <w:pPr>
              <w:pStyle w:val="122"/>
              <w:spacing w:line="360" w:lineRule="auto"/>
              <w:ind w:firstLine="360"/>
              <w:jc w:val="center"/>
              <w:rPr>
                <w:b/>
                <w:sz w:val="18"/>
                <w:szCs w:val="18"/>
              </w:rPr>
            </w:pPr>
          </w:p>
        </w:tc>
        <w:tc>
          <w:tcPr>
            <w:tcW w:w="643" w:type="dxa"/>
            <w:vAlign w:val="center"/>
          </w:tcPr>
          <w:p w14:paraId="4399E134">
            <w:pPr>
              <w:pStyle w:val="122"/>
              <w:spacing w:line="360" w:lineRule="auto"/>
              <w:ind w:firstLine="360"/>
              <w:jc w:val="center"/>
              <w:rPr>
                <w:b/>
                <w:sz w:val="18"/>
                <w:szCs w:val="18"/>
              </w:rPr>
            </w:pPr>
          </w:p>
        </w:tc>
        <w:tc>
          <w:tcPr>
            <w:tcW w:w="1134" w:type="dxa"/>
            <w:vAlign w:val="center"/>
          </w:tcPr>
          <w:p w14:paraId="0161610F">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0FD535C6">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17C9EB0">
            <w:pPr>
              <w:pStyle w:val="122"/>
              <w:spacing w:line="360" w:lineRule="auto"/>
              <w:ind w:firstLine="360"/>
              <w:jc w:val="center"/>
              <w:rPr>
                <w:b/>
                <w:sz w:val="18"/>
                <w:szCs w:val="18"/>
              </w:rPr>
            </w:pPr>
          </w:p>
        </w:tc>
        <w:tc>
          <w:tcPr>
            <w:tcW w:w="708" w:type="dxa"/>
            <w:vAlign w:val="center"/>
          </w:tcPr>
          <w:p w14:paraId="24E075EE">
            <w:pPr>
              <w:pStyle w:val="122"/>
              <w:spacing w:line="360" w:lineRule="auto"/>
              <w:ind w:firstLine="360"/>
              <w:jc w:val="center"/>
              <w:rPr>
                <w:b/>
                <w:sz w:val="18"/>
                <w:szCs w:val="18"/>
              </w:rPr>
            </w:pPr>
          </w:p>
        </w:tc>
        <w:tc>
          <w:tcPr>
            <w:tcW w:w="709" w:type="dxa"/>
            <w:vAlign w:val="center"/>
          </w:tcPr>
          <w:p w14:paraId="5218FF32">
            <w:pPr>
              <w:pStyle w:val="122"/>
              <w:spacing w:line="360" w:lineRule="auto"/>
              <w:ind w:firstLine="360"/>
              <w:jc w:val="center"/>
              <w:rPr>
                <w:b/>
                <w:sz w:val="18"/>
                <w:szCs w:val="18"/>
              </w:rPr>
            </w:pPr>
          </w:p>
        </w:tc>
        <w:tc>
          <w:tcPr>
            <w:tcW w:w="851" w:type="dxa"/>
            <w:vAlign w:val="center"/>
          </w:tcPr>
          <w:p w14:paraId="2402F2B0">
            <w:pPr>
              <w:pStyle w:val="122"/>
              <w:spacing w:line="360" w:lineRule="auto"/>
              <w:ind w:firstLine="360"/>
              <w:jc w:val="center"/>
              <w:rPr>
                <w:b/>
                <w:sz w:val="18"/>
                <w:szCs w:val="18"/>
              </w:rPr>
            </w:pPr>
          </w:p>
        </w:tc>
        <w:tc>
          <w:tcPr>
            <w:tcW w:w="708" w:type="dxa"/>
            <w:vAlign w:val="center"/>
          </w:tcPr>
          <w:p w14:paraId="20251564">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1134" w:type="dxa"/>
            <w:vAlign w:val="center"/>
          </w:tcPr>
          <w:p w14:paraId="49B273C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5E11241C">
            <w:pPr>
              <w:pStyle w:val="122"/>
              <w:spacing w:line="360" w:lineRule="auto"/>
              <w:ind w:firstLine="360"/>
              <w:jc w:val="center"/>
              <w:rPr>
                <w:b/>
                <w:sz w:val="18"/>
                <w:szCs w:val="18"/>
              </w:rPr>
            </w:pPr>
          </w:p>
        </w:tc>
        <w:tc>
          <w:tcPr>
            <w:tcW w:w="992" w:type="dxa"/>
            <w:vAlign w:val="center"/>
          </w:tcPr>
          <w:p w14:paraId="52A33F8E">
            <w:pPr>
              <w:pStyle w:val="122"/>
              <w:spacing w:line="360" w:lineRule="auto"/>
              <w:ind w:firstLine="360"/>
              <w:jc w:val="center"/>
              <w:rPr>
                <w:b/>
                <w:sz w:val="18"/>
                <w:szCs w:val="18"/>
              </w:rPr>
            </w:pPr>
          </w:p>
        </w:tc>
        <w:tc>
          <w:tcPr>
            <w:tcW w:w="851" w:type="dxa"/>
            <w:vAlign w:val="center"/>
          </w:tcPr>
          <w:p w14:paraId="5BCA0E50">
            <w:pPr>
              <w:pStyle w:val="122"/>
              <w:spacing w:line="360" w:lineRule="auto"/>
              <w:ind w:firstLine="360"/>
              <w:jc w:val="center"/>
              <w:rPr>
                <w:b/>
                <w:sz w:val="18"/>
                <w:szCs w:val="18"/>
              </w:rPr>
            </w:pPr>
          </w:p>
        </w:tc>
        <w:tc>
          <w:tcPr>
            <w:tcW w:w="708" w:type="dxa"/>
            <w:vAlign w:val="center"/>
          </w:tcPr>
          <w:p w14:paraId="71940A32">
            <w:pPr>
              <w:pStyle w:val="122"/>
              <w:spacing w:line="360" w:lineRule="auto"/>
              <w:ind w:firstLine="360"/>
              <w:jc w:val="center"/>
              <w:rPr>
                <w:b/>
                <w:sz w:val="18"/>
                <w:szCs w:val="18"/>
              </w:rPr>
            </w:pPr>
          </w:p>
        </w:tc>
        <w:tc>
          <w:tcPr>
            <w:tcW w:w="713" w:type="dxa"/>
            <w:vAlign w:val="center"/>
          </w:tcPr>
          <w:p w14:paraId="57581906">
            <w:pPr>
              <w:pStyle w:val="122"/>
              <w:spacing w:line="360" w:lineRule="auto"/>
              <w:ind w:firstLine="360"/>
              <w:jc w:val="center"/>
              <w:rPr>
                <w:b/>
                <w:sz w:val="18"/>
                <w:szCs w:val="18"/>
              </w:rPr>
            </w:pPr>
          </w:p>
        </w:tc>
      </w:tr>
      <w:tr w14:paraId="4443E8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2099" w:type="dxa"/>
          </w:tcPr>
          <w:p w14:paraId="3F1BB344">
            <w:pPr>
              <w:pStyle w:val="122"/>
              <w:spacing w:line="360" w:lineRule="auto"/>
              <w:rPr>
                <w:rFonts w:ascii="宋体" w:hAnsi="宋体" w:eastAsia="宋体" w:cs="宋体"/>
                <w:sz w:val="18"/>
                <w:szCs w:val="18"/>
                <w:lang w:eastAsia="zh-CN"/>
              </w:rPr>
            </w:pPr>
            <w:r>
              <w:rPr>
                <w:spacing w:val="-1"/>
                <w:sz w:val="18"/>
                <w:szCs w:val="18"/>
                <w:lang w:eastAsia="zh-CN"/>
              </w:rPr>
              <w:t>TDLS</w:t>
            </w:r>
            <w:r>
              <w:rPr>
                <w:rFonts w:ascii="宋体" w:hAnsi="宋体" w:eastAsia="宋体" w:cs="宋体"/>
                <w:spacing w:val="-1"/>
                <w:sz w:val="18"/>
                <w:szCs w:val="18"/>
                <w:lang w:eastAsia="zh-CN"/>
              </w:rPr>
              <w:t>可调谐二极管激光气体分析仪</w:t>
            </w:r>
          </w:p>
        </w:tc>
        <w:tc>
          <w:tcPr>
            <w:tcW w:w="851" w:type="dxa"/>
            <w:vAlign w:val="center"/>
          </w:tcPr>
          <w:p w14:paraId="24B90375">
            <w:pPr>
              <w:pStyle w:val="122"/>
              <w:spacing w:line="360" w:lineRule="auto"/>
              <w:ind w:firstLine="360"/>
              <w:jc w:val="center"/>
              <w:rPr>
                <w:b/>
                <w:sz w:val="18"/>
                <w:szCs w:val="18"/>
                <w:lang w:eastAsia="zh-CN"/>
              </w:rPr>
            </w:pPr>
          </w:p>
        </w:tc>
        <w:tc>
          <w:tcPr>
            <w:tcW w:w="851" w:type="dxa"/>
            <w:vAlign w:val="center"/>
          </w:tcPr>
          <w:p w14:paraId="68C66B7B">
            <w:pPr>
              <w:pStyle w:val="122"/>
              <w:spacing w:line="360" w:lineRule="auto"/>
              <w:ind w:firstLine="360"/>
              <w:jc w:val="center"/>
              <w:rPr>
                <w:b/>
                <w:sz w:val="18"/>
                <w:szCs w:val="18"/>
                <w:lang w:eastAsia="zh-CN"/>
              </w:rPr>
            </w:pPr>
          </w:p>
        </w:tc>
        <w:tc>
          <w:tcPr>
            <w:tcW w:w="851" w:type="dxa"/>
            <w:vAlign w:val="center"/>
          </w:tcPr>
          <w:p w14:paraId="1F162E91">
            <w:pPr>
              <w:pStyle w:val="122"/>
              <w:spacing w:line="360" w:lineRule="auto"/>
              <w:ind w:firstLine="360"/>
              <w:jc w:val="center"/>
              <w:rPr>
                <w:b/>
                <w:sz w:val="18"/>
                <w:szCs w:val="18"/>
                <w:lang w:eastAsia="zh-CN"/>
              </w:rPr>
            </w:pPr>
          </w:p>
        </w:tc>
        <w:tc>
          <w:tcPr>
            <w:tcW w:w="643" w:type="dxa"/>
            <w:vAlign w:val="center"/>
          </w:tcPr>
          <w:p w14:paraId="31054532">
            <w:pPr>
              <w:pStyle w:val="122"/>
              <w:spacing w:line="360" w:lineRule="auto"/>
              <w:ind w:firstLine="360"/>
              <w:jc w:val="center"/>
              <w:rPr>
                <w:b/>
                <w:sz w:val="18"/>
                <w:szCs w:val="18"/>
                <w:lang w:eastAsia="zh-CN"/>
              </w:rPr>
            </w:pPr>
          </w:p>
        </w:tc>
        <w:tc>
          <w:tcPr>
            <w:tcW w:w="1134" w:type="dxa"/>
            <w:vAlign w:val="center"/>
          </w:tcPr>
          <w:p w14:paraId="323C64CF">
            <w:pPr>
              <w:pStyle w:val="122"/>
              <w:spacing w:line="360" w:lineRule="auto"/>
              <w:ind w:firstLine="360"/>
              <w:jc w:val="center"/>
              <w:rPr>
                <w:b/>
                <w:sz w:val="18"/>
                <w:szCs w:val="18"/>
                <w:lang w:eastAsia="zh-CN"/>
              </w:rPr>
            </w:pPr>
          </w:p>
        </w:tc>
        <w:tc>
          <w:tcPr>
            <w:tcW w:w="709" w:type="dxa"/>
            <w:vAlign w:val="center"/>
          </w:tcPr>
          <w:p w14:paraId="51F42447">
            <w:pPr>
              <w:pStyle w:val="122"/>
              <w:spacing w:line="360" w:lineRule="auto"/>
              <w:ind w:firstLine="360"/>
              <w:jc w:val="center"/>
              <w:rPr>
                <w:b/>
                <w:sz w:val="18"/>
                <w:szCs w:val="18"/>
                <w:lang w:eastAsia="zh-CN"/>
              </w:rPr>
            </w:pPr>
          </w:p>
        </w:tc>
        <w:tc>
          <w:tcPr>
            <w:tcW w:w="851" w:type="dxa"/>
            <w:vAlign w:val="center"/>
          </w:tcPr>
          <w:p w14:paraId="1E2091C9">
            <w:pPr>
              <w:pStyle w:val="122"/>
              <w:spacing w:line="360" w:lineRule="auto"/>
              <w:ind w:firstLine="360"/>
              <w:jc w:val="center"/>
              <w:rPr>
                <w:b/>
                <w:sz w:val="18"/>
                <w:szCs w:val="18"/>
                <w:lang w:eastAsia="zh-CN"/>
              </w:rPr>
            </w:pPr>
          </w:p>
        </w:tc>
        <w:tc>
          <w:tcPr>
            <w:tcW w:w="708" w:type="dxa"/>
            <w:vAlign w:val="center"/>
          </w:tcPr>
          <w:p w14:paraId="62858543">
            <w:pPr>
              <w:spacing w:line="360" w:lineRule="auto"/>
              <w:ind w:firstLine="306"/>
              <w:jc w:val="center"/>
              <w:rPr>
                <w:b/>
                <w:sz w:val="18"/>
                <w:szCs w:val="18"/>
              </w:rPr>
            </w:pPr>
          </w:p>
        </w:tc>
        <w:tc>
          <w:tcPr>
            <w:tcW w:w="709" w:type="dxa"/>
            <w:vAlign w:val="center"/>
          </w:tcPr>
          <w:p w14:paraId="375652DA">
            <w:pPr>
              <w:pStyle w:val="122"/>
              <w:spacing w:line="360" w:lineRule="auto"/>
              <w:ind w:firstLine="360"/>
              <w:jc w:val="center"/>
              <w:rPr>
                <w:b/>
                <w:sz w:val="18"/>
                <w:szCs w:val="18"/>
                <w:lang w:eastAsia="zh-CN"/>
              </w:rPr>
            </w:pPr>
          </w:p>
        </w:tc>
        <w:tc>
          <w:tcPr>
            <w:tcW w:w="851" w:type="dxa"/>
            <w:vAlign w:val="center"/>
          </w:tcPr>
          <w:p w14:paraId="05B5442C">
            <w:pPr>
              <w:pStyle w:val="122"/>
              <w:spacing w:line="360" w:lineRule="auto"/>
              <w:ind w:firstLine="360"/>
              <w:jc w:val="center"/>
              <w:rPr>
                <w:b/>
                <w:sz w:val="18"/>
                <w:szCs w:val="18"/>
                <w:lang w:eastAsia="zh-CN"/>
              </w:rPr>
            </w:pPr>
          </w:p>
        </w:tc>
        <w:tc>
          <w:tcPr>
            <w:tcW w:w="708" w:type="dxa"/>
            <w:vAlign w:val="center"/>
          </w:tcPr>
          <w:p w14:paraId="160510B2">
            <w:pPr>
              <w:pStyle w:val="122"/>
              <w:spacing w:line="360" w:lineRule="auto"/>
              <w:ind w:firstLine="360"/>
              <w:jc w:val="center"/>
              <w:rPr>
                <w:b/>
                <w:sz w:val="18"/>
                <w:szCs w:val="18"/>
                <w:lang w:eastAsia="zh-CN"/>
              </w:rPr>
            </w:pPr>
          </w:p>
        </w:tc>
        <w:tc>
          <w:tcPr>
            <w:tcW w:w="1134" w:type="dxa"/>
            <w:vAlign w:val="center"/>
          </w:tcPr>
          <w:p w14:paraId="5B5E45CB">
            <w:pPr>
              <w:pStyle w:val="122"/>
              <w:spacing w:line="360" w:lineRule="auto"/>
              <w:ind w:firstLine="360"/>
              <w:jc w:val="center"/>
              <w:rPr>
                <w:b/>
                <w:sz w:val="18"/>
                <w:szCs w:val="18"/>
                <w:lang w:eastAsia="zh-CN"/>
              </w:rPr>
            </w:pPr>
          </w:p>
        </w:tc>
        <w:tc>
          <w:tcPr>
            <w:tcW w:w="709" w:type="dxa"/>
            <w:vAlign w:val="center"/>
          </w:tcPr>
          <w:p w14:paraId="4AA86160">
            <w:pPr>
              <w:pStyle w:val="122"/>
              <w:spacing w:line="360" w:lineRule="auto"/>
              <w:ind w:firstLine="360"/>
              <w:jc w:val="center"/>
              <w:rPr>
                <w:b/>
                <w:sz w:val="18"/>
                <w:szCs w:val="18"/>
                <w:lang w:eastAsia="zh-CN"/>
              </w:rPr>
            </w:pPr>
          </w:p>
        </w:tc>
        <w:tc>
          <w:tcPr>
            <w:tcW w:w="992" w:type="dxa"/>
            <w:vAlign w:val="center"/>
          </w:tcPr>
          <w:p w14:paraId="38AC778B">
            <w:pPr>
              <w:pStyle w:val="122"/>
              <w:spacing w:line="360" w:lineRule="auto"/>
              <w:ind w:firstLine="360"/>
              <w:jc w:val="center"/>
              <w:rPr>
                <w:b/>
                <w:sz w:val="18"/>
                <w:szCs w:val="18"/>
                <w:lang w:eastAsia="zh-CN"/>
              </w:rPr>
            </w:pPr>
          </w:p>
        </w:tc>
        <w:tc>
          <w:tcPr>
            <w:tcW w:w="851" w:type="dxa"/>
            <w:vAlign w:val="center"/>
          </w:tcPr>
          <w:p w14:paraId="4B72D6E7">
            <w:pPr>
              <w:pStyle w:val="122"/>
              <w:spacing w:line="360" w:lineRule="auto"/>
              <w:ind w:firstLine="360"/>
              <w:jc w:val="center"/>
              <w:rPr>
                <w:b/>
                <w:sz w:val="18"/>
                <w:szCs w:val="18"/>
                <w:lang w:eastAsia="zh-CN"/>
              </w:rPr>
            </w:pPr>
          </w:p>
        </w:tc>
        <w:tc>
          <w:tcPr>
            <w:tcW w:w="708" w:type="dxa"/>
            <w:vAlign w:val="center"/>
          </w:tcPr>
          <w:p w14:paraId="0FAB39BB">
            <w:pPr>
              <w:pStyle w:val="122"/>
              <w:spacing w:line="360" w:lineRule="auto"/>
              <w:ind w:firstLine="360"/>
              <w:jc w:val="center"/>
              <w:rPr>
                <w:b/>
                <w:sz w:val="18"/>
                <w:szCs w:val="18"/>
                <w:lang w:eastAsia="zh-CN"/>
              </w:rPr>
            </w:pPr>
          </w:p>
        </w:tc>
        <w:tc>
          <w:tcPr>
            <w:tcW w:w="713" w:type="dxa"/>
            <w:vAlign w:val="center"/>
          </w:tcPr>
          <w:p w14:paraId="36D27E4C">
            <w:pPr>
              <w:pStyle w:val="122"/>
              <w:spacing w:line="360" w:lineRule="auto"/>
              <w:ind w:firstLine="360"/>
              <w:jc w:val="center"/>
              <w:rPr>
                <w:b/>
                <w:sz w:val="18"/>
                <w:szCs w:val="18"/>
                <w:lang w:eastAsia="zh-CN"/>
              </w:rPr>
            </w:pPr>
          </w:p>
        </w:tc>
      </w:tr>
      <w:tr w14:paraId="28A942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2099" w:type="dxa"/>
          </w:tcPr>
          <w:p w14:paraId="7C377322">
            <w:pPr>
              <w:pStyle w:val="122"/>
              <w:spacing w:line="360" w:lineRule="auto"/>
              <w:rPr>
                <w:rFonts w:ascii="宋体" w:hAnsi="宋体" w:eastAsia="宋体" w:cs="宋体"/>
                <w:sz w:val="18"/>
                <w:szCs w:val="18"/>
              </w:rPr>
            </w:pPr>
            <w:r>
              <w:rPr>
                <w:spacing w:val="-2"/>
                <w:sz w:val="18"/>
                <w:szCs w:val="18"/>
              </w:rPr>
              <w:t>DFB</w:t>
            </w:r>
            <w:r>
              <w:rPr>
                <w:rFonts w:ascii="宋体" w:hAnsi="宋体" w:eastAsia="宋体" w:cs="宋体"/>
                <w:spacing w:val="-2"/>
                <w:sz w:val="18"/>
                <w:szCs w:val="18"/>
              </w:rPr>
              <w:t>激光二极管</w:t>
            </w:r>
          </w:p>
        </w:tc>
        <w:tc>
          <w:tcPr>
            <w:tcW w:w="851" w:type="dxa"/>
            <w:vAlign w:val="center"/>
          </w:tcPr>
          <w:p w14:paraId="7648D6A2">
            <w:pPr>
              <w:pStyle w:val="122"/>
              <w:spacing w:line="360" w:lineRule="auto"/>
              <w:ind w:firstLine="360"/>
              <w:jc w:val="center"/>
              <w:rPr>
                <w:b/>
                <w:sz w:val="18"/>
                <w:szCs w:val="18"/>
              </w:rPr>
            </w:pPr>
          </w:p>
        </w:tc>
        <w:tc>
          <w:tcPr>
            <w:tcW w:w="851" w:type="dxa"/>
            <w:vAlign w:val="center"/>
          </w:tcPr>
          <w:p w14:paraId="635F0BA5">
            <w:pPr>
              <w:pStyle w:val="122"/>
              <w:spacing w:line="360" w:lineRule="auto"/>
              <w:ind w:firstLine="360"/>
              <w:jc w:val="center"/>
              <w:rPr>
                <w:b/>
                <w:sz w:val="18"/>
                <w:szCs w:val="18"/>
              </w:rPr>
            </w:pPr>
          </w:p>
        </w:tc>
        <w:tc>
          <w:tcPr>
            <w:tcW w:w="851" w:type="dxa"/>
            <w:vAlign w:val="center"/>
          </w:tcPr>
          <w:p w14:paraId="504EB074">
            <w:pPr>
              <w:pStyle w:val="122"/>
              <w:spacing w:line="360" w:lineRule="auto"/>
              <w:ind w:firstLine="360"/>
              <w:jc w:val="center"/>
              <w:rPr>
                <w:b/>
                <w:sz w:val="18"/>
                <w:szCs w:val="18"/>
              </w:rPr>
            </w:pPr>
          </w:p>
        </w:tc>
        <w:tc>
          <w:tcPr>
            <w:tcW w:w="643" w:type="dxa"/>
            <w:vAlign w:val="center"/>
          </w:tcPr>
          <w:p w14:paraId="75D4211D">
            <w:pPr>
              <w:pStyle w:val="122"/>
              <w:spacing w:line="360" w:lineRule="auto"/>
              <w:ind w:firstLine="360"/>
              <w:jc w:val="center"/>
              <w:rPr>
                <w:b/>
                <w:sz w:val="18"/>
                <w:szCs w:val="18"/>
              </w:rPr>
            </w:pPr>
          </w:p>
        </w:tc>
        <w:tc>
          <w:tcPr>
            <w:tcW w:w="1134" w:type="dxa"/>
            <w:vAlign w:val="center"/>
          </w:tcPr>
          <w:p w14:paraId="6607409B">
            <w:pPr>
              <w:pStyle w:val="122"/>
              <w:spacing w:line="360" w:lineRule="auto"/>
              <w:ind w:firstLine="360"/>
              <w:jc w:val="center"/>
              <w:rPr>
                <w:b/>
                <w:sz w:val="18"/>
                <w:szCs w:val="18"/>
              </w:rPr>
            </w:pPr>
          </w:p>
        </w:tc>
        <w:tc>
          <w:tcPr>
            <w:tcW w:w="709" w:type="dxa"/>
            <w:vAlign w:val="center"/>
          </w:tcPr>
          <w:p w14:paraId="3F4669E1">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B58A1FA">
            <w:pPr>
              <w:pStyle w:val="122"/>
              <w:spacing w:line="360" w:lineRule="auto"/>
              <w:ind w:firstLine="360"/>
              <w:jc w:val="center"/>
              <w:rPr>
                <w:b/>
                <w:sz w:val="18"/>
                <w:szCs w:val="18"/>
              </w:rPr>
            </w:pPr>
          </w:p>
        </w:tc>
        <w:tc>
          <w:tcPr>
            <w:tcW w:w="708" w:type="dxa"/>
            <w:vAlign w:val="center"/>
          </w:tcPr>
          <w:p w14:paraId="624AA100">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09" w:type="dxa"/>
            <w:vAlign w:val="center"/>
          </w:tcPr>
          <w:p w14:paraId="640F6B25">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3E8E44BB">
            <w:pPr>
              <w:pStyle w:val="122"/>
              <w:spacing w:line="360" w:lineRule="auto"/>
              <w:ind w:firstLine="360"/>
              <w:jc w:val="center"/>
              <w:rPr>
                <w:b/>
                <w:sz w:val="18"/>
                <w:szCs w:val="18"/>
              </w:rPr>
            </w:pPr>
          </w:p>
        </w:tc>
        <w:tc>
          <w:tcPr>
            <w:tcW w:w="708" w:type="dxa"/>
            <w:vAlign w:val="center"/>
          </w:tcPr>
          <w:p w14:paraId="72EF8F0D">
            <w:pPr>
              <w:pStyle w:val="122"/>
              <w:spacing w:line="360" w:lineRule="auto"/>
              <w:ind w:firstLine="360"/>
              <w:jc w:val="center"/>
              <w:rPr>
                <w:b/>
                <w:sz w:val="18"/>
                <w:szCs w:val="18"/>
              </w:rPr>
            </w:pPr>
          </w:p>
        </w:tc>
        <w:tc>
          <w:tcPr>
            <w:tcW w:w="1134" w:type="dxa"/>
            <w:vAlign w:val="center"/>
          </w:tcPr>
          <w:p w14:paraId="6B4FCCBF">
            <w:pPr>
              <w:pStyle w:val="122"/>
              <w:spacing w:line="360" w:lineRule="auto"/>
              <w:ind w:firstLine="360"/>
              <w:jc w:val="center"/>
              <w:rPr>
                <w:b/>
                <w:sz w:val="18"/>
                <w:szCs w:val="18"/>
              </w:rPr>
            </w:pPr>
          </w:p>
        </w:tc>
        <w:tc>
          <w:tcPr>
            <w:tcW w:w="709" w:type="dxa"/>
            <w:vAlign w:val="center"/>
          </w:tcPr>
          <w:p w14:paraId="6F6EB24C">
            <w:pPr>
              <w:pStyle w:val="122"/>
              <w:spacing w:line="360" w:lineRule="auto"/>
              <w:ind w:firstLine="360"/>
              <w:jc w:val="center"/>
              <w:rPr>
                <w:b/>
                <w:sz w:val="18"/>
                <w:szCs w:val="18"/>
              </w:rPr>
            </w:pPr>
          </w:p>
        </w:tc>
        <w:tc>
          <w:tcPr>
            <w:tcW w:w="992" w:type="dxa"/>
            <w:vAlign w:val="center"/>
          </w:tcPr>
          <w:p w14:paraId="04BAF1A5">
            <w:pPr>
              <w:pStyle w:val="122"/>
              <w:spacing w:line="360" w:lineRule="auto"/>
              <w:ind w:firstLine="360"/>
              <w:jc w:val="center"/>
              <w:rPr>
                <w:b/>
                <w:sz w:val="18"/>
                <w:szCs w:val="18"/>
              </w:rPr>
            </w:pPr>
          </w:p>
        </w:tc>
        <w:tc>
          <w:tcPr>
            <w:tcW w:w="851" w:type="dxa"/>
            <w:vAlign w:val="center"/>
          </w:tcPr>
          <w:p w14:paraId="12D4E6F0">
            <w:pPr>
              <w:pStyle w:val="122"/>
              <w:spacing w:line="360" w:lineRule="auto"/>
              <w:ind w:firstLine="360"/>
              <w:jc w:val="center"/>
              <w:rPr>
                <w:b/>
                <w:sz w:val="18"/>
                <w:szCs w:val="18"/>
              </w:rPr>
            </w:pPr>
          </w:p>
        </w:tc>
        <w:tc>
          <w:tcPr>
            <w:tcW w:w="708" w:type="dxa"/>
            <w:vAlign w:val="center"/>
          </w:tcPr>
          <w:p w14:paraId="0CAC4E2C">
            <w:pPr>
              <w:pStyle w:val="122"/>
              <w:spacing w:line="360" w:lineRule="auto"/>
              <w:ind w:firstLine="360"/>
              <w:jc w:val="center"/>
              <w:rPr>
                <w:b/>
                <w:sz w:val="18"/>
                <w:szCs w:val="18"/>
              </w:rPr>
            </w:pPr>
          </w:p>
        </w:tc>
        <w:tc>
          <w:tcPr>
            <w:tcW w:w="713" w:type="dxa"/>
            <w:vAlign w:val="center"/>
          </w:tcPr>
          <w:p w14:paraId="493F9E50">
            <w:pPr>
              <w:pStyle w:val="122"/>
              <w:spacing w:line="360" w:lineRule="auto"/>
              <w:ind w:firstLine="360"/>
              <w:jc w:val="center"/>
              <w:rPr>
                <w:b/>
                <w:sz w:val="18"/>
                <w:szCs w:val="18"/>
              </w:rPr>
            </w:pPr>
          </w:p>
        </w:tc>
      </w:tr>
      <w:tr w14:paraId="70F879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99" w:type="dxa"/>
            <w:shd w:val="clear" w:color="auto" w:fill="auto"/>
          </w:tcPr>
          <w:p w14:paraId="007B111E">
            <w:pPr>
              <w:pStyle w:val="122"/>
              <w:spacing w:line="360" w:lineRule="auto"/>
              <w:rPr>
                <w:rFonts w:ascii="宋体" w:hAnsi="宋体" w:eastAsia="宋体" w:cs="宋体"/>
                <w:sz w:val="18"/>
                <w:szCs w:val="18"/>
                <w:lang w:eastAsia="zh-CN"/>
              </w:rPr>
            </w:pPr>
            <w:r>
              <w:rPr>
                <w:rFonts w:ascii="宋体" w:hAnsi="宋体" w:eastAsia="宋体" w:cs="宋体"/>
                <w:spacing w:val="-1"/>
                <w:sz w:val="18"/>
                <w:szCs w:val="18"/>
                <w:lang w:eastAsia="zh-CN"/>
              </w:rPr>
              <w:t>冷蒸气原子吸收光谱法</w:t>
            </w:r>
            <w:r>
              <w:rPr>
                <w:rFonts w:ascii="宋体" w:hAnsi="宋体" w:eastAsia="宋体" w:cs="宋体"/>
                <w:spacing w:val="3"/>
                <w:sz w:val="18"/>
                <w:szCs w:val="18"/>
                <w:lang w:eastAsia="zh-CN"/>
              </w:rPr>
              <w:t xml:space="preserve"> </w:t>
            </w:r>
            <w:r>
              <w:rPr>
                <w:rFonts w:ascii="宋体" w:hAnsi="宋体" w:eastAsia="宋体" w:cs="宋体"/>
                <w:spacing w:val="-2"/>
                <w:sz w:val="18"/>
                <w:szCs w:val="18"/>
                <w:lang w:eastAsia="zh-CN"/>
              </w:rPr>
              <w:t>（</w:t>
            </w:r>
            <w:r>
              <w:rPr>
                <w:spacing w:val="-2"/>
                <w:sz w:val="18"/>
                <w:szCs w:val="18"/>
                <w:lang w:eastAsia="zh-CN"/>
              </w:rPr>
              <w:t>CVAAS</w:t>
            </w:r>
            <w:r>
              <w:rPr>
                <w:rFonts w:ascii="宋体" w:hAnsi="宋体" w:eastAsia="宋体" w:cs="宋体"/>
                <w:spacing w:val="-2"/>
                <w:sz w:val="18"/>
                <w:szCs w:val="18"/>
                <w:lang w:eastAsia="zh-CN"/>
              </w:rPr>
              <w:t>）</w:t>
            </w:r>
          </w:p>
        </w:tc>
        <w:tc>
          <w:tcPr>
            <w:tcW w:w="851" w:type="dxa"/>
            <w:vAlign w:val="center"/>
          </w:tcPr>
          <w:p w14:paraId="0C4C6A64">
            <w:pPr>
              <w:pStyle w:val="122"/>
              <w:spacing w:line="360" w:lineRule="auto"/>
              <w:ind w:firstLine="360"/>
              <w:jc w:val="center"/>
              <w:rPr>
                <w:b/>
                <w:sz w:val="18"/>
                <w:szCs w:val="18"/>
                <w:lang w:eastAsia="zh-CN"/>
              </w:rPr>
            </w:pPr>
          </w:p>
        </w:tc>
        <w:tc>
          <w:tcPr>
            <w:tcW w:w="851" w:type="dxa"/>
            <w:vAlign w:val="center"/>
          </w:tcPr>
          <w:p w14:paraId="6A9A4489">
            <w:pPr>
              <w:pStyle w:val="122"/>
              <w:spacing w:line="360" w:lineRule="auto"/>
              <w:ind w:firstLine="360"/>
              <w:jc w:val="center"/>
              <w:rPr>
                <w:b/>
                <w:sz w:val="18"/>
                <w:szCs w:val="18"/>
                <w:lang w:eastAsia="zh-CN"/>
              </w:rPr>
            </w:pPr>
          </w:p>
        </w:tc>
        <w:tc>
          <w:tcPr>
            <w:tcW w:w="851" w:type="dxa"/>
            <w:vAlign w:val="center"/>
          </w:tcPr>
          <w:p w14:paraId="3B4428AE">
            <w:pPr>
              <w:pStyle w:val="122"/>
              <w:spacing w:line="360" w:lineRule="auto"/>
              <w:ind w:firstLine="360"/>
              <w:jc w:val="center"/>
              <w:rPr>
                <w:b/>
                <w:sz w:val="18"/>
                <w:szCs w:val="18"/>
                <w:lang w:eastAsia="zh-CN"/>
              </w:rPr>
            </w:pPr>
          </w:p>
        </w:tc>
        <w:tc>
          <w:tcPr>
            <w:tcW w:w="643" w:type="dxa"/>
            <w:vAlign w:val="center"/>
          </w:tcPr>
          <w:p w14:paraId="40D96265">
            <w:pPr>
              <w:pStyle w:val="122"/>
              <w:spacing w:line="360" w:lineRule="auto"/>
              <w:ind w:firstLine="360"/>
              <w:jc w:val="center"/>
              <w:rPr>
                <w:b/>
                <w:sz w:val="18"/>
                <w:szCs w:val="18"/>
                <w:lang w:eastAsia="zh-CN"/>
              </w:rPr>
            </w:pPr>
          </w:p>
        </w:tc>
        <w:tc>
          <w:tcPr>
            <w:tcW w:w="1134" w:type="dxa"/>
            <w:vAlign w:val="center"/>
          </w:tcPr>
          <w:p w14:paraId="6EA08598">
            <w:pPr>
              <w:pStyle w:val="122"/>
              <w:spacing w:line="360" w:lineRule="auto"/>
              <w:ind w:firstLine="360"/>
              <w:jc w:val="center"/>
              <w:rPr>
                <w:b/>
                <w:sz w:val="18"/>
                <w:szCs w:val="18"/>
                <w:lang w:eastAsia="zh-CN"/>
              </w:rPr>
            </w:pPr>
          </w:p>
        </w:tc>
        <w:tc>
          <w:tcPr>
            <w:tcW w:w="709" w:type="dxa"/>
            <w:vAlign w:val="center"/>
          </w:tcPr>
          <w:p w14:paraId="1F320E4F">
            <w:pPr>
              <w:pStyle w:val="122"/>
              <w:spacing w:line="360" w:lineRule="auto"/>
              <w:ind w:firstLine="360"/>
              <w:jc w:val="center"/>
              <w:rPr>
                <w:b/>
                <w:sz w:val="18"/>
                <w:szCs w:val="18"/>
                <w:lang w:eastAsia="zh-CN"/>
              </w:rPr>
            </w:pPr>
          </w:p>
        </w:tc>
        <w:tc>
          <w:tcPr>
            <w:tcW w:w="851" w:type="dxa"/>
            <w:vAlign w:val="center"/>
          </w:tcPr>
          <w:p w14:paraId="5E5BAA5D">
            <w:pPr>
              <w:pStyle w:val="122"/>
              <w:spacing w:line="360" w:lineRule="auto"/>
              <w:ind w:firstLine="360"/>
              <w:jc w:val="center"/>
              <w:rPr>
                <w:b/>
                <w:sz w:val="18"/>
                <w:szCs w:val="18"/>
                <w:lang w:eastAsia="zh-CN"/>
              </w:rPr>
            </w:pPr>
          </w:p>
        </w:tc>
        <w:tc>
          <w:tcPr>
            <w:tcW w:w="708" w:type="dxa"/>
            <w:vAlign w:val="center"/>
          </w:tcPr>
          <w:p w14:paraId="7DA39E6E">
            <w:pPr>
              <w:pStyle w:val="122"/>
              <w:spacing w:line="360" w:lineRule="auto"/>
              <w:ind w:firstLine="360"/>
              <w:jc w:val="center"/>
              <w:rPr>
                <w:b/>
                <w:sz w:val="18"/>
                <w:szCs w:val="18"/>
                <w:lang w:eastAsia="zh-CN"/>
              </w:rPr>
            </w:pPr>
          </w:p>
        </w:tc>
        <w:tc>
          <w:tcPr>
            <w:tcW w:w="709" w:type="dxa"/>
            <w:vAlign w:val="center"/>
          </w:tcPr>
          <w:p w14:paraId="0901CA57">
            <w:pPr>
              <w:pStyle w:val="122"/>
              <w:spacing w:line="360" w:lineRule="auto"/>
              <w:ind w:firstLine="360"/>
              <w:jc w:val="center"/>
              <w:rPr>
                <w:b/>
                <w:sz w:val="18"/>
                <w:szCs w:val="18"/>
                <w:lang w:eastAsia="zh-CN"/>
              </w:rPr>
            </w:pPr>
          </w:p>
        </w:tc>
        <w:tc>
          <w:tcPr>
            <w:tcW w:w="851" w:type="dxa"/>
            <w:vAlign w:val="center"/>
          </w:tcPr>
          <w:p w14:paraId="24BC2022">
            <w:pPr>
              <w:pStyle w:val="122"/>
              <w:spacing w:line="360" w:lineRule="auto"/>
              <w:ind w:firstLine="360"/>
              <w:jc w:val="center"/>
              <w:rPr>
                <w:b/>
                <w:sz w:val="18"/>
                <w:szCs w:val="18"/>
                <w:lang w:eastAsia="zh-CN"/>
              </w:rPr>
            </w:pPr>
          </w:p>
        </w:tc>
        <w:tc>
          <w:tcPr>
            <w:tcW w:w="708" w:type="dxa"/>
            <w:vAlign w:val="center"/>
          </w:tcPr>
          <w:p w14:paraId="6029787D">
            <w:pPr>
              <w:pStyle w:val="122"/>
              <w:spacing w:line="360" w:lineRule="auto"/>
              <w:ind w:firstLine="360"/>
              <w:jc w:val="center"/>
              <w:rPr>
                <w:b/>
                <w:sz w:val="18"/>
                <w:szCs w:val="18"/>
                <w:lang w:eastAsia="zh-CN"/>
              </w:rPr>
            </w:pPr>
          </w:p>
        </w:tc>
        <w:tc>
          <w:tcPr>
            <w:tcW w:w="1134" w:type="dxa"/>
            <w:vAlign w:val="center"/>
          </w:tcPr>
          <w:p w14:paraId="32003FD5">
            <w:pPr>
              <w:pStyle w:val="122"/>
              <w:spacing w:line="360" w:lineRule="auto"/>
              <w:ind w:firstLine="360"/>
              <w:jc w:val="center"/>
              <w:rPr>
                <w:b/>
                <w:sz w:val="18"/>
                <w:szCs w:val="18"/>
                <w:lang w:eastAsia="zh-CN"/>
              </w:rPr>
            </w:pPr>
          </w:p>
        </w:tc>
        <w:tc>
          <w:tcPr>
            <w:tcW w:w="709" w:type="dxa"/>
            <w:vAlign w:val="center"/>
          </w:tcPr>
          <w:p w14:paraId="4E9DA1D9">
            <w:pPr>
              <w:pStyle w:val="122"/>
              <w:spacing w:line="360" w:lineRule="auto"/>
              <w:ind w:firstLine="360"/>
              <w:jc w:val="center"/>
              <w:rPr>
                <w:b/>
                <w:sz w:val="18"/>
                <w:szCs w:val="18"/>
                <w:lang w:eastAsia="zh-CN"/>
              </w:rPr>
            </w:pPr>
          </w:p>
        </w:tc>
        <w:tc>
          <w:tcPr>
            <w:tcW w:w="992" w:type="dxa"/>
            <w:vAlign w:val="center"/>
          </w:tcPr>
          <w:p w14:paraId="1056E903">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7135D022">
            <w:pPr>
              <w:pStyle w:val="122"/>
              <w:spacing w:line="360" w:lineRule="auto"/>
              <w:ind w:firstLine="360"/>
              <w:jc w:val="center"/>
              <w:rPr>
                <w:b/>
                <w:sz w:val="18"/>
                <w:szCs w:val="18"/>
              </w:rPr>
            </w:pPr>
          </w:p>
        </w:tc>
        <w:tc>
          <w:tcPr>
            <w:tcW w:w="708" w:type="dxa"/>
            <w:vAlign w:val="center"/>
          </w:tcPr>
          <w:p w14:paraId="387EA376">
            <w:pPr>
              <w:pStyle w:val="122"/>
              <w:spacing w:line="360" w:lineRule="auto"/>
              <w:ind w:firstLine="360"/>
              <w:jc w:val="center"/>
              <w:rPr>
                <w:b/>
                <w:sz w:val="18"/>
                <w:szCs w:val="18"/>
              </w:rPr>
            </w:pPr>
          </w:p>
        </w:tc>
        <w:tc>
          <w:tcPr>
            <w:tcW w:w="713" w:type="dxa"/>
            <w:vAlign w:val="center"/>
          </w:tcPr>
          <w:p w14:paraId="6D51AA20">
            <w:pPr>
              <w:pStyle w:val="122"/>
              <w:spacing w:line="360" w:lineRule="auto"/>
              <w:ind w:firstLine="360"/>
              <w:jc w:val="center"/>
              <w:rPr>
                <w:b/>
                <w:sz w:val="18"/>
                <w:szCs w:val="18"/>
              </w:rPr>
            </w:pPr>
          </w:p>
        </w:tc>
      </w:tr>
      <w:tr w14:paraId="69428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2099" w:type="dxa"/>
            <w:shd w:val="clear" w:color="auto" w:fill="auto"/>
          </w:tcPr>
          <w:p w14:paraId="076092A1">
            <w:pPr>
              <w:spacing w:line="360" w:lineRule="auto"/>
              <w:rPr>
                <w:rFonts w:ascii="宋体" w:hAnsi="宋体" w:eastAsia="宋体" w:cs="宋体"/>
                <w:sz w:val="18"/>
                <w:szCs w:val="18"/>
              </w:rPr>
            </w:pPr>
            <w:r>
              <w:rPr>
                <w:rFonts w:ascii="宋体" w:hAnsi="宋体" w:eastAsia="宋体" w:cs="宋体"/>
                <w:spacing w:val="-1"/>
                <w:sz w:val="18"/>
                <w:szCs w:val="18"/>
              </w:rPr>
              <w:t>塞曼调制原子吸收光谱法（</w:t>
            </w:r>
            <w:r>
              <w:rPr>
                <w:spacing w:val="-1"/>
                <w:sz w:val="18"/>
                <w:szCs w:val="18"/>
              </w:rPr>
              <w:t>ZAAS</w:t>
            </w:r>
            <w:r>
              <w:rPr>
                <w:rFonts w:ascii="宋体" w:hAnsi="宋体" w:eastAsia="宋体" w:cs="宋体"/>
                <w:spacing w:val="-1"/>
                <w:sz w:val="18"/>
                <w:szCs w:val="18"/>
              </w:rPr>
              <w:t>）</w:t>
            </w:r>
          </w:p>
        </w:tc>
        <w:tc>
          <w:tcPr>
            <w:tcW w:w="851" w:type="dxa"/>
            <w:vAlign w:val="center"/>
          </w:tcPr>
          <w:p w14:paraId="1EE5E78F">
            <w:pPr>
              <w:pStyle w:val="122"/>
              <w:spacing w:line="360" w:lineRule="auto"/>
              <w:ind w:firstLine="360"/>
              <w:jc w:val="center"/>
              <w:rPr>
                <w:b/>
                <w:sz w:val="18"/>
                <w:szCs w:val="18"/>
                <w:lang w:eastAsia="zh-CN"/>
              </w:rPr>
            </w:pPr>
          </w:p>
        </w:tc>
        <w:tc>
          <w:tcPr>
            <w:tcW w:w="851" w:type="dxa"/>
            <w:vAlign w:val="center"/>
          </w:tcPr>
          <w:p w14:paraId="74F10DD8">
            <w:pPr>
              <w:pStyle w:val="122"/>
              <w:spacing w:line="360" w:lineRule="auto"/>
              <w:ind w:firstLine="360"/>
              <w:jc w:val="center"/>
              <w:rPr>
                <w:b/>
                <w:sz w:val="18"/>
                <w:szCs w:val="18"/>
                <w:lang w:eastAsia="zh-CN"/>
              </w:rPr>
            </w:pPr>
          </w:p>
        </w:tc>
        <w:tc>
          <w:tcPr>
            <w:tcW w:w="851" w:type="dxa"/>
            <w:vAlign w:val="center"/>
          </w:tcPr>
          <w:p w14:paraId="5EAD20D0">
            <w:pPr>
              <w:pStyle w:val="122"/>
              <w:spacing w:line="360" w:lineRule="auto"/>
              <w:ind w:firstLine="360"/>
              <w:jc w:val="center"/>
              <w:rPr>
                <w:b/>
                <w:sz w:val="18"/>
                <w:szCs w:val="18"/>
                <w:lang w:eastAsia="zh-CN"/>
              </w:rPr>
            </w:pPr>
          </w:p>
        </w:tc>
        <w:tc>
          <w:tcPr>
            <w:tcW w:w="643" w:type="dxa"/>
            <w:vAlign w:val="center"/>
          </w:tcPr>
          <w:p w14:paraId="32D0A374">
            <w:pPr>
              <w:pStyle w:val="122"/>
              <w:spacing w:line="360" w:lineRule="auto"/>
              <w:ind w:firstLine="360"/>
              <w:jc w:val="center"/>
              <w:rPr>
                <w:b/>
                <w:sz w:val="18"/>
                <w:szCs w:val="18"/>
                <w:lang w:eastAsia="zh-CN"/>
              </w:rPr>
            </w:pPr>
          </w:p>
        </w:tc>
        <w:tc>
          <w:tcPr>
            <w:tcW w:w="1134" w:type="dxa"/>
            <w:vAlign w:val="center"/>
          </w:tcPr>
          <w:p w14:paraId="091B7575">
            <w:pPr>
              <w:pStyle w:val="122"/>
              <w:spacing w:line="360" w:lineRule="auto"/>
              <w:ind w:firstLine="360"/>
              <w:jc w:val="center"/>
              <w:rPr>
                <w:b/>
                <w:sz w:val="18"/>
                <w:szCs w:val="18"/>
                <w:lang w:eastAsia="zh-CN"/>
              </w:rPr>
            </w:pPr>
          </w:p>
        </w:tc>
        <w:tc>
          <w:tcPr>
            <w:tcW w:w="709" w:type="dxa"/>
            <w:vAlign w:val="center"/>
          </w:tcPr>
          <w:p w14:paraId="7D75B496">
            <w:pPr>
              <w:pStyle w:val="122"/>
              <w:spacing w:line="360" w:lineRule="auto"/>
              <w:ind w:firstLine="360"/>
              <w:jc w:val="center"/>
              <w:rPr>
                <w:b/>
                <w:sz w:val="18"/>
                <w:szCs w:val="18"/>
                <w:lang w:eastAsia="zh-CN"/>
              </w:rPr>
            </w:pPr>
          </w:p>
        </w:tc>
        <w:tc>
          <w:tcPr>
            <w:tcW w:w="851" w:type="dxa"/>
            <w:vAlign w:val="center"/>
          </w:tcPr>
          <w:p w14:paraId="279DC957">
            <w:pPr>
              <w:pStyle w:val="122"/>
              <w:spacing w:line="360" w:lineRule="auto"/>
              <w:ind w:firstLine="360"/>
              <w:jc w:val="center"/>
              <w:rPr>
                <w:b/>
                <w:sz w:val="18"/>
                <w:szCs w:val="18"/>
                <w:lang w:eastAsia="zh-CN"/>
              </w:rPr>
            </w:pPr>
          </w:p>
        </w:tc>
        <w:tc>
          <w:tcPr>
            <w:tcW w:w="708" w:type="dxa"/>
            <w:vAlign w:val="center"/>
          </w:tcPr>
          <w:p w14:paraId="6B41E957">
            <w:pPr>
              <w:pStyle w:val="122"/>
              <w:spacing w:line="360" w:lineRule="auto"/>
              <w:ind w:firstLine="360"/>
              <w:jc w:val="center"/>
              <w:rPr>
                <w:b/>
                <w:sz w:val="18"/>
                <w:szCs w:val="18"/>
                <w:lang w:eastAsia="zh-CN"/>
              </w:rPr>
            </w:pPr>
          </w:p>
        </w:tc>
        <w:tc>
          <w:tcPr>
            <w:tcW w:w="709" w:type="dxa"/>
            <w:vAlign w:val="center"/>
          </w:tcPr>
          <w:p w14:paraId="5AA1AD88">
            <w:pPr>
              <w:pStyle w:val="122"/>
              <w:spacing w:line="360" w:lineRule="auto"/>
              <w:ind w:firstLine="360"/>
              <w:jc w:val="center"/>
              <w:rPr>
                <w:b/>
                <w:sz w:val="18"/>
                <w:szCs w:val="18"/>
                <w:lang w:eastAsia="zh-CN"/>
              </w:rPr>
            </w:pPr>
          </w:p>
        </w:tc>
        <w:tc>
          <w:tcPr>
            <w:tcW w:w="851" w:type="dxa"/>
            <w:vAlign w:val="center"/>
          </w:tcPr>
          <w:p w14:paraId="078B2F39">
            <w:pPr>
              <w:pStyle w:val="122"/>
              <w:spacing w:line="360" w:lineRule="auto"/>
              <w:ind w:firstLine="360"/>
              <w:jc w:val="center"/>
              <w:rPr>
                <w:b/>
                <w:sz w:val="18"/>
                <w:szCs w:val="18"/>
                <w:lang w:eastAsia="zh-CN"/>
              </w:rPr>
            </w:pPr>
          </w:p>
        </w:tc>
        <w:tc>
          <w:tcPr>
            <w:tcW w:w="708" w:type="dxa"/>
            <w:vAlign w:val="center"/>
          </w:tcPr>
          <w:p w14:paraId="019F5801">
            <w:pPr>
              <w:pStyle w:val="122"/>
              <w:spacing w:line="360" w:lineRule="auto"/>
              <w:ind w:firstLine="360"/>
              <w:jc w:val="center"/>
              <w:rPr>
                <w:b/>
                <w:sz w:val="18"/>
                <w:szCs w:val="18"/>
                <w:lang w:eastAsia="zh-CN"/>
              </w:rPr>
            </w:pPr>
          </w:p>
        </w:tc>
        <w:tc>
          <w:tcPr>
            <w:tcW w:w="1134" w:type="dxa"/>
            <w:vAlign w:val="center"/>
          </w:tcPr>
          <w:p w14:paraId="58FFDDFA">
            <w:pPr>
              <w:pStyle w:val="122"/>
              <w:spacing w:line="360" w:lineRule="auto"/>
              <w:ind w:firstLine="360"/>
              <w:jc w:val="center"/>
              <w:rPr>
                <w:b/>
                <w:sz w:val="18"/>
                <w:szCs w:val="18"/>
                <w:lang w:eastAsia="zh-CN"/>
              </w:rPr>
            </w:pPr>
          </w:p>
        </w:tc>
        <w:tc>
          <w:tcPr>
            <w:tcW w:w="709" w:type="dxa"/>
            <w:vAlign w:val="center"/>
          </w:tcPr>
          <w:p w14:paraId="6AF3A1D3">
            <w:pPr>
              <w:pStyle w:val="122"/>
              <w:spacing w:line="360" w:lineRule="auto"/>
              <w:ind w:firstLine="360"/>
              <w:jc w:val="center"/>
              <w:rPr>
                <w:b/>
                <w:sz w:val="18"/>
                <w:szCs w:val="18"/>
                <w:lang w:eastAsia="zh-CN"/>
              </w:rPr>
            </w:pPr>
          </w:p>
        </w:tc>
        <w:tc>
          <w:tcPr>
            <w:tcW w:w="992" w:type="dxa"/>
            <w:vAlign w:val="center"/>
          </w:tcPr>
          <w:p w14:paraId="1F941770">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vAlign w:val="center"/>
          </w:tcPr>
          <w:p w14:paraId="0F53D9DD">
            <w:pPr>
              <w:pStyle w:val="122"/>
              <w:spacing w:line="360" w:lineRule="auto"/>
              <w:ind w:firstLine="360"/>
              <w:jc w:val="center"/>
              <w:rPr>
                <w:b/>
                <w:sz w:val="18"/>
                <w:szCs w:val="18"/>
              </w:rPr>
            </w:pPr>
          </w:p>
        </w:tc>
        <w:tc>
          <w:tcPr>
            <w:tcW w:w="708" w:type="dxa"/>
            <w:vAlign w:val="center"/>
          </w:tcPr>
          <w:p w14:paraId="1ED9B347">
            <w:pPr>
              <w:pStyle w:val="122"/>
              <w:spacing w:line="360" w:lineRule="auto"/>
              <w:ind w:firstLine="360"/>
              <w:jc w:val="center"/>
              <w:rPr>
                <w:b/>
                <w:sz w:val="18"/>
                <w:szCs w:val="18"/>
              </w:rPr>
            </w:pPr>
          </w:p>
        </w:tc>
        <w:tc>
          <w:tcPr>
            <w:tcW w:w="713" w:type="dxa"/>
            <w:vAlign w:val="center"/>
          </w:tcPr>
          <w:p w14:paraId="20BF62EB">
            <w:pPr>
              <w:pStyle w:val="122"/>
              <w:spacing w:line="360" w:lineRule="auto"/>
              <w:ind w:firstLine="360"/>
              <w:jc w:val="center"/>
              <w:rPr>
                <w:b/>
                <w:sz w:val="18"/>
                <w:szCs w:val="18"/>
              </w:rPr>
            </w:pPr>
          </w:p>
        </w:tc>
      </w:tr>
      <w:tr w14:paraId="18F19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jc w:val="center"/>
        </w:trPr>
        <w:tc>
          <w:tcPr>
            <w:tcW w:w="2099" w:type="dxa"/>
            <w:tcBorders>
              <w:top w:val="single" w:color="000000" w:sz="4" w:space="0"/>
            </w:tcBorders>
            <w:shd w:val="clear" w:color="auto" w:fill="auto"/>
            <w:vAlign w:val="center"/>
          </w:tcPr>
          <w:p w14:paraId="38372746">
            <w:pPr>
              <w:pStyle w:val="122"/>
              <w:spacing w:line="360" w:lineRule="auto"/>
              <w:rPr>
                <w:rFonts w:ascii="宋体" w:hAnsi="宋体" w:eastAsia="宋体" w:cs="宋体"/>
                <w:sz w:val="18"/>
                <w:szCs w:val="18"/>
              </w:rPr>
            </w:pPr>
            <w:r>
              <w:rPr>
                <w:rFonts w:ascii="宋体" w:hAnsi="宋体" w:eastAsia="宋体" w:cs="宋体"/>
                <w:spacing w:val="-1"/>
                <w:sz w:val="18"/>
                <w:szCs w:val="18"/>
              </w:rPr>
              <w:t>冷蒸气原子荧光法</w:t>
            </w:r>
            <w:r>
              <w:rPr>
                <w:rFonts w:ascii="宋体" w:hAnsi="宋体" w:eastAsia="宋体" w:cs="宋体"/>
                <w:spacing w:val="-2"/>
                <w:sz w:val="18"/>
                <w:szCs w:val="18"/>
              </w:rPr>
              <w:t>（</w:t>
            </w:r>
            <w:r>
              <w:rPr>
                <w:spacing w:val="-2"/>
                <w:sz w:val="18"/>
                <w:szCs w:val="18"/>
              </w:rPr>
              <w:t>CVAFS</w:t>
            </w:r>
            <w:r>
              <w:rPr>
                <w:rFonts w:ascii="宋体" w:hAnsi="宋体" w:eastAsia="宋体" w:cs="宋体"/>
                <w:spacing w:val="-2"/>
                <w:sz w:val="18"/>
                <w:szCs w:val="18"/>
              </w:rPr>
              <w:t>）</w:t>
            </w:r>
          </w:p>
        </w:tc>
        <w:tc>
          <w:tcPr>
            <w:tcW w:w="851" w:type="dxa"/>
            <w:tcBorders>
              <w:top w:val="single" w:color="000000" w:sz="4" w:space="0"/>
            </w:tcBorders>
            <w:vAlign w:val="center"/>
          </w:tcPr>
          <w:p w14:paraId="36EA6785">
            <w:pPr>
              <w:pStyle w:val="122"/>
              <w:spacing w:line="360" w:lineRule="auto"/>
              <w:ind w:firstLine="360"/>
              <w:jc w:val="center"/>
              <w:rPr>
                <w:b/>
                <w:sz w:val="18"/>
                <w:szCs w:val="18"/>
              </w:rPr>
            </w:pPr>
          </w:p>
        </w:tc>
        <w:tc>
          <w:tcPr>
            <w:tcW w:w="851" w:type="dxa"/>
            <w:tcBorders>
              <w:top w:val="single" w:color="000000" w:sz="4" w:space="0"/>
            </w:tcBorders>
            <w:vAlign w:val="center"/>
          </w:tcPr>
          <w:p w14:paraId="599230E8">
            <w:pPr>
              <w:pStyle w:val="122"/>
              <w:spacing w:line="360" w:lineRule="auto"/>
              <w:ind w:firstLine="360"/>
              <w:jc w:val="center"/>
              <w:rPr>
                <w:b/>
                <w:sz w:val="18"/>
                <w:szCs w:val="18"/>
              </w:rPr>
            </w:pPr>
          </w:p>
        </w:tc>
        <w:tc>
          <w:tcPr>
            <w:tcW w:w="851" w:type="dxa"/>
            <w:tcBorders>
              <w:top w:val="single" w:color="000000" w:sz="4" w:space="0"/>
            </w:tcBorders>
            <w:vAlign w:val="center"/>
          </w:tcPr>
          <w:p w14:paraId="586B1B15">
            <w:pPr>
              <w:pStyle w:val="122"/>
              <w:spacing w:line="360" w:lineRule="auto"/>
              <w:ind w:firstLine="360"/>
              <w:jc w:val="center"/>
              <w:rPr>
                <w:b/>
                <w:sz w:val="18"/>
                <w:szCs w:val="18"/>
              </w:rPr>
            </w:pPr>
          </w:p>
        </w:tc>
        <w:tc>
          <w:tcPr>
            <w:tcW w:w="643" w:type="dxa"/>
            <w:tcBorders>
              <w:top w:val="single" w:color="000000" w:sz="4" w:space="0"/>
            </w:tcBorders>
            <w:vAlign w:val="center"/>
          </w:tcPr>
          <w:p w14:paraId="1FFAD690">
            <w:pPr>
              <w:pStyle w:val="122"/>
              <w:spacing w:line="360" w:lineRule="auto"/>
              <w:ind w:firstLine="360"/>
              <w:jc w:val="center"/>
              <w:rPr>
                <w:b/>
                <w:sz w:val="18"/>
                <w:szCs w:val="18"/>
              </w:rPr>
            </w:pPr>
          </w:p>
        </w:tc>
        <w:tc>
          <w:tcPr>
            <w:tcW w:w="1134" w:type="dxa"/>
            <w:tcBorders>
              <w:top w:val="single" w:color="000000" w:sz="4" w:space="0"/>
            </w:tcBorders>
            <w:vAlign w:val="center"/>
          </w:tcPr>
          <w:p w14:paraId="7506154C">
            <w:pPr>
              <w:pStyle w:val="122"/>
              <w:spacing w:line="360" w:lineRule="auto"/>
              <w:ind w:firstLine="360"/>
              <w:jc w:val="center"/>
              <w:rPr>
                <w:b/>
                <w:sz w:val="18"/>
                <w:szCs w:val="18"/>
              </w:rPr>
            </w:pPr>
          </w:p>
        </w:tc>
        <w:tc>
          <w:tcPr>
            <w:tcW w:w="709" w:type="dxa"/>
            <w:tcBorders>
              <w:top w:val="single" w:color="000000" w:sz="4" w:space="0"/>
            </w:tcBorders>
            <w:vAlign w:val="center"/>
          </w:tcPr>
          <w:p w14:paraId="056BED4A">
            <w:pPr>
              <w:pStyle w:val="122"/>
              <w:spacing w:line="360" w:lineRule="auto"/>
              <w:ind w:firstLine="360"/>
              <w:jc w:val="center"/>
              <w:rPr>
                <w:b/>
                <w:sz w:val="18"/>
                <w:szCs w:val="18"/>
              </w:rPr>
            </w:pPr>
          </w:p>
        </w:tc>
        <w:tc>
          <w:tcPr>
            <w:tcW w:w="851" w:type="dxa"/>
            <w:tcBorders>
              <w:top w:val="single" w:color="000000" w:sz="4" w:space="0"/>
            </w:tcBorders>
            <w:vAlign w:val="center"/>
          </w:tcPr>
          <w:p w14:paraId="187AD9EC">
            <w:pPr>
              <w:pStyle w:val="122"/>
              <w:spacing w:line="360" w:lineRule="auto"/>
              <w:ind w:firstLine="360"/>
              <w:jc w:val="center"/>
              <w:rPr>
                <w:b/>
                <w:sz w:val="18"/>
                <w:szCs w:val="18"/>
              </w:rPr>
            </w:pPr>
          </w:p>
        </w:tc>
        <w:tc>
          <w:tcPr>
            <w:tcW w:w="708" w:type="dxa"/>
            <w:tcBorders>
              <w:top w:val="single" w:color="000000" w:sz="4" w:space="0"/>
            </w:tcBorders>
            <w:vAlign w:val="center"/>
          </w:tcPr>
          <w:p w14:paraId="3C06E264">
            <w:pPr>
              <w:pStyle w:val="122"/>
              <w:spacing w:line="360" w:lineRule="auto"/>
              <w:ind w:firstLine="360"/>
              <w:jc w:val="center"/>
              <w:rPr>
                <w:b/>
                <w:sz w:val="18"/>
                <w:szCs w:val="18"/>
              </w:rPr>
            </w:pPr>
          </w:p>
        </w:tc>
        <w:tc>
          <w:tcPr>
            <w:tcW w:w="709" w:type="dxa"/>
            <w:tcBorders>
              <w:top w:val="single" w:color="000000" w:sz="4" w:space="0"/>
            </w:tcBorders>
            <w:vAlign w:val="center"/>
          </w:tcPr>
          <w:p w14:paraId="6F27DDE2">
            <w:pPr>
              <w:pStyle w:val="122"/>
              <w:spacing w:line="360" w:lineRule="auto"/>
              <w:ind w:firstLine="360"/>
              <w:jc w:val="center"/>
              <w:rPr>
                <w:b/>
                <w:sz w:val="18"/>
                <w:szCs w:val="18"/>
              </w:rPr>
            </w:pPr>
          </w:p>
        </w:tc>
        <w:tc>
          <w:tcPr>
            <w:tcW w:w="851" w:type="dxa"/>
            <w:tcBorders>
              <w:top w:val="single" w:color="000000" w:sz="4" w:space="0"/>
            </w:tcBorders>
            <w:vAlign w:val="center"/>
          </w:tcPr>
          <w:p w14:paraId="677812D9">
            <w:pPr>
              <w:pStyle w:val="122"/>
              <w:spacing w:line="360" w:lineRule="auto"/>
              <w:ind w:firstLine="360"/>
              <w:jc w:val="center"/>
              <w:rPr>
                <w:b/>
                <w:sz w:val="18"/>
                <w:szCs w:val="18"/>
              </w:rPr>
            </w:pPr>
          </w:p>
        </w:tc>
        <w:tc>
          <w:tcPr>
            <w:tcW w:w="708" w:type="dxa"/>
            <w:tcBorders>
              <w:top w:val="single" w:color="000000" w:sz="4" w:space="0"/>
            </w:tcBorders>
            <w:vAlign w:val="center"/>
          </w:tcPr>
          <w:p w14:paraId="0477F078">
            <w:pPr>
              <w:pStyle w:val="122"/>
              <w:spacing w:line="360" w:lineRule="auto"/>
              <w:ind w:firstLine="360"/>
              <w:jc w:val="center"/>
              <w:rPr>
                <w:b/>
                <w:sz w:val="18"/>
                <w:szCs w:val="18"/>
              </w:rPr>
            </w:pPr>
          </w:p>
        </w:tc>
        <w:tc>
          <w:tcPr>
            <w:tcW w:w="1134" w:type="dxa"/>
            <w:tcBorders>
              <w:top w:val="single" w:color="000000" w:sz="4" w:space="0"/>
            </w:tcBorders>
            <w:vAlign w:val="center"/>
          </w:tcPr>
          <w:p w14:paraId="0850D2B6">
            <w:pPr>
              <w:pStyle w:val="122"/>
              <w:spacing w:line="360" w:lineRule="auto"/>
              <w:ind w:firstLine="360"/>
              <w:jc w:val="center"/>
              <w:rPr>
                <w:b/>
                <w:sz w:val="18"/>
                <w:szCs w:val="18"/>
              </w:rPr>
            </w:pPr>
          </w:p>
        </w:tc>
        <w:tc>
          <w:tcPr>
            <w:tcW w:w="709" w:type="dxa"/>
            <w:tcBorders>
              <w:top w:val="single" w:color="000000" w:sz="4" w:space="0"/>
            </w:tcBorders>
            <w:vAlign w:val="center"/>
          </w:tcPr>
          <w:p w14:paraId="1FB03C8D">
            <w:pPr>
              <w:pStyle w:val="122"/>
              <w:spacing w:line="360" w:lineRule="auto"/>
              <w:ind w:firstLine="360"/>
              <w:jc w:val="center"/>
              <w:rPr>
                <w:b/>
                <w:sz w:val="18"/>
                <w:szCs w:val="18"/>
              </w:rPr>
            </w:pPr>
          </w:p>
        </w:tc>
        <w:tc>
          <w:tcPr>
            <w:tcW w:w="992" w:type="dxa"/>
            <w:tcBorders>
              <w:top w:val="single" w:color="000000" w:sz="4" w:space="0"/>
            </w:tcBorders>
            <w:vAlign w:val="center"/>
          </w:tcPr>
          <w:p w14:paraId="470FBC0C">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851" w:type="dxa"/>
            <w:tcBorders>
              <w:top w:val="single" w:color="000000" w:sz="4" w:space="0"/>
            </w:tcBorders>
            <w:vAlign w:val="center"/>
          </w:tcPr>
          <w:p w14:paraId="41ADF57F">
            <w:pPr>
              <w:pStyle w:val="122"/>
              <w:spacing w:line="360" w:lineRule="auto"/>
              <w:ind w:firstLine="360"/>
              <w:jc w:val="center"/>
              <w:rPr>
                <w:b/>
                <w:sz w:val="18"/>
                <w:szCs w:val="18"/>
              </w:rPr>
            </w:pPr>
          </w:p>
        </w:tc>
        <w:tc>
          <w:tcPr>
            <w:tcW w:w="708" w:type="dxa"/>
            <w:tcBorders>
              <w:top w:val="single" w:color="000000" w:sz="4" w:space="0"/>
            </w:tcBorders>
            <w:vAlign w:val="center"/>
          </w:tcPr>
          <w:p w14:paraId="49AFDA82">
            <w:pPr>
              <w:pStyle w:val="122"/>
              <w:spacing w:line="360" w:lineRule="auto"/>
              <w:ind w:firstLine="360"/>
              <w:jc w:val="center"/>
              <w:rPr>
                <w:b/>
                <w:sz w:val="18"/>
                <w:szCs w:val="18"/>
              </w:rPr>
            </w:pPr>
          </w:p>
        </w:tc>
        <w:tc>
          <w:tcPr>
            <w:tcW w:w="713" w:type="dxa"/>
            <w:tcBorders>
              <w:top w:val="single" w:color="000000" w:sz="4" w:space="0"/>
            </w:tcBorders>
            <w:vAlign w:val="center"/>
          </w:tcPr>
          <w:p w14:paraId="7A5E911A">
            <w:pPr>
              <w:pStyle w:val="122"/>
              <w:spacing w:line="360" w:lineRule="auto"/>
              <w:ind w:firstLine="360"/>
              <w:jc w:val="center"/>
              <w:rPr>
                <w:b/>
                <w:sz w:val="18"/>
                <w:szCs w:val="18"/>
              </w:rPr>
            </w:pPr>
          </w:p>
        </w:tc>
      </w:tr>
      <w:tr w14:paraId="791839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074E9393">
            <w:pPr>
              <w:spacing w:line="360" w:lineRule="auto"/>
              <w:rPr>
                <w:rFonts w:ascii="宋体" w:hAnsi="宋体" w:eastAsia="宋体" w:cs="宋体"/>
                <w:sz w:val="18"/>
                <w:szCs w:val="18"/>
              </w:rPr>
            </w:pPr>
            <w:r>
              <w:rPr>
                <w:rFonts w:ascii="宋体" w:hAnsi="宋体" w:eastAsia="宋体" w:cs="宋体"/>
                <w:spacing w:val="-2"/>
                <w:sz w:val="18"/>
                <w:szCs w:val="18"/>
              </w:rPr>
              <w:t>氧化锆</w:t>
            </w:r>
          </w:p>
        </w:tc>
        <w:tc>
          <w:tcPr>
            <w:tcW w:w="851" w:type="dxa"/>
            <w:vAlign w:val="center"/>
          </w:tcPr>
          <w:p w14:paraId="6C80221A">
            <w:pPr>
              <w:pStyle w:val="122"/>
              <w:spacing w:line="360" w:lineRule="auto"/>
              <w:ind w:firstLine="360"/>
              <w:jc w:val="center"/>
              <w:rPr>
                <w:b/>
                <w:sz w:val="18"/>
                <w:szCs w:val="18"/>
              </w:rPr>
            </w:pPr>
          </w:p>
        </w:tc>
        <w:tc>
          <w:tcPr>
            <w:tcW w:w="851" w:type="dxa"/>
            <w:vAlign w:val="center"/>
          </w:tcPr>
          <w:p w14:paraId="0AA92607">
            <w:pPr>
              <w:pStyle w:val="122"/>
              <w:spacing w:line="360" w:lineRule="auto"/>
              <w:ind w:firstLine="360"/>
              <w:jc w:val="center"/>
              <w:rPr>
                <w:b/>
                <w:sz w:val="18"/>
                <w:szCs w:val="18"/>
              </w:rPr>
            </w:pPr>
          </w:p>
        </w:tc>
        <w:tc>
          <w:tcPr>
            <w:tcW w:w="851" w:type="dxa"/>
            <w:vAlign w:val="center"/>
          </w:tcPr>
          <w:p w14:paraId="16248149">
            <w:pPr>
              <w:pStyle w:val="122"/>
              <w:spacing w:line="360" w:lineRule="auto"/>
              <w:ind w:firstLine="360"/>
              <w:jc w:val="center"/>
              <w:rPr>
                <w:b/>
                <w:sz w:val="18"/>
                <w:szCs w:val="18"/>
              </w:rPr>
            </w:pPr>
          </w:p>
        </w:tc>
        <w:tc>
          <w:tcPr>
            <w:tcW w:w="643" w:type="dxa"/>
            <w:vAlign w:val="center"/>
          </w:tcPr>
          <w:p w14:paraId="11807D7A">
            <w:pPr>
              <w:pStyle w:val="122"/>
              <w:spacing w:line="360" w:lineRule="auto"/>
              <w:ind w:firstLine="360"/>
              <w:jc w:val="center"/>
              <w:rPr>
                <w:b/>
                <w:sz w:val="18"/>
                <w:szCs w:val="18"/>
              </w:rPr>
            </w:pPr>
          </w:p>
        </w:tc>
        <w:tc>
          <w:tcPr>
            <w:tcW w:w="1134" w:type="dxa"/>
            <w:vAlign w:val="center"/>
          </w:tcPr>
          <w:p w14:paraId="095A6E64">
            <w:pPr>
              <w:pStyle w:val="122"/>
              <w:spacing w:line="360" w:lineRule="auto"/>
              <w:ind w:firstLine="360"/>
              <w:jc w:val="center"/>
              <w:rPr>
                <w:b/>
                <w:sz w:val="18"/>
                <w:szCs w:val="18"/>
              </w:rPr>
            </w:pPr>
          </w:p>
        </w:tc>
        <w:tc>
          <w:tcPr>
            <w:tcW w:w="709" w:type="dxa"/>
            <w:vAlign w:val="center"/>
          </w:tcPr>
          <w:p w14:paraId="6D49A73A">
            <w:pPr>
              <w:pStyle w:val="122"/>
              <w:spacing w:line="360" w:lineRule="auto"/>
              <w:ind w:firstLine="360"/>
              <w:jc w:val="center"/>
              <w:rPr>
                <w:b/>
                <w:sz w:val="18"/>
                <w:szCs w:val="18"/>
              </w:rPr>
            </w:pPr>
          </w:p>
        </w:tc>
        <w:tc>
          <w:tcPr>
            <w:tcW w:w="851" w:type="dxa"/>
            <w:vAlign w:val="center"/>
          </w:tcPr>
          <w:p w14:paraId="3DA13F0D">
            <w:pPr>
              <w:pStyle w:val="122"/>
              <w:spacing w:line="360" w:lineRule="auto"/>
              <w:ind w:firstLine="360"/>
              <w:jc w:val="center"/>
              <w:rPr>
                <w:b/>
                <w:sz w:val="18"/>
                <w:szCs w:val="18"/>
              </w:rPr>
            </w:pPr>
          </w:p>
        </w:tc>
        <w:tc>
          <w:tcPr>
            <w:tcW w:w="708" w:type="dxa"/>
            <w:vAlign w:val="center"/>
          </w:tcPr>
          <w:p w14:paraId="6DFCAD9C">
            <w:pPr>
              <w:pStyle w:val="122"/>
              <w:spacing w:line="360" w:lineRule="auto"/>
              <w:ind w:firstLine="360"/>
              <w:jc w:val="center"/>
              <w:rPr>
                <w:b/>
                <w:sz w:val="18"/>
                <w:szCs w:val="18"/>
              </w:rPr>
            </w:pPr>
          </w:p>
        </w:tc>
        <w:tc>
          <w:tcPr>
            <w:tcW w:w="709" w:type="dxa"/>
            <w:vAlign w:val="center"/>
          </w:tcPr>
          <w:p w14:paraId="119D3C5A">
            <w:pPr>
              <w:pStyle w:val="122"/>
              <w:spacing w:line="360" w:lineRule="auto"/>
              <w:ind w:firstLine="360"/>
              <w:jc w:val="center"/>
              <w:rPr>
                <w:b/>
                <w:sz w:val="18"/>
                <w:szCs w:val="18"/>
              </w:rPr>
            </w:pPr>
          </w:p>
        </w:tc>
        <w:tc>
          <w:tcPr>
            <w:tcW w:w="851" w:type="dxa"/>
            <w:vAlign w:val="center"/>
          </w:tcPr>
          <w:p w14:paraId="5820F3C7">
            <w:pPr>
              <w:pStyle w:val="122"/>
              <w:spacing w:line="360" w:lineRule="auto"/>
              <w:ind w:firstLine="360"/>
              <w:jc w:val="center"/>
              <w:rPr>
                <w:b/>
                <w:sz w:val="18"/>
                <w:szCs w:val="18"/>
              </w:rPr>
            </w:pPr>
          </w:p>
        </w:tc>
        <w:tc>
          <w:tcPr>
            <w:tcW w:w="708" w:type="dxa"/>
            <w:vAlign w:val="center"/>
          </w:tcPr>
          <w:p w14:paraId="03350425">
            <w:pPr>
              <w:pStyle w:val="122"/>
              <w:spacing w:line="360" w:lineRule="auto"/>
              <w:ind w:firstLine="360"/>
              <w:jc w:val="center"/>
              <w:rPr>
                <w:b/>
                <w:sz w:val="18"/>
                <w:szCs w:val="18"/>
              </w:rPr>
            </w:pPr>
          </w:p>
        </w:tc>
        <w:tc>
          <w:tcPr>
            <w:tcW w:w="1134" w:type="dxa"/>
            <w:vAlign w:val="center"/>
          </w:tcPr>
          <w:p w14:paraId="23ECB3AB">
            <w:pPr>
              <w:pStyle w:val="122"/>
              <w:spacing w:line="360" w:lineRule="auto"/>
              <w:ind w:firstLine="360"/>
              <w:jc w:val="center"/>
              <w:rPr>
                <w:b/>
                <w:sz w:val="18"/>
                <w:szCs w:val="18"/>
              </w:rPr>
            </w:pPr>
          </w:p>
        </w:tc>
        <w:tc>
          <w:tcPr>
            <w:tcW w:w="709" w:type="dxa"/>
            <w:vAlign w:val="center"/>
          </w:tcPr>
          <w:p w14:paraId="4AB571C0">
            <w:pPr>
              <w:pStyle w:val="122"/>
              <w:spacing w:line="360" w:lineRule="auto"/>
              <w:ind w:firstLine="360"/>
              <w:jc w:val="center"/>
              <w:rPr>
                <w:b/>
                <w:sz w:val="18"/>
                <w:szCs w:val="18"/>
              </w:rPr>
            </w:pPr>
          </w:p>
        </w:tc>
        <w:tc>
          <w:tcPr>
            <w:tcW w:w="992" w:type="dxa"/>
            <w:vAlign w:val="center"/>
          </w:tcPr>
          <w:p w14:paraId="2DD9C04C">
            <w:pPr>
              <w:pStyle w:val="122"/>
              <w:spacing w:line="360" w:lineRule="auto"/>
              <w:ind w:firstLine="360"/>
              <w:jc w:val="center"/>
              <w:rPr>
                <w:b/>
                <w:sz w:val="18"/>
                <w:szCs w:val="18"/>
              </w:rPr>
            </w:pPr>
          </w:p>
        </w:tc>
        <w:tc>
          <w:tcPr>
            <w:tcW w:w="851" w:type="dxa"/>
            <w:vAlign w:val="center"/>
          </w:tcPr>
          <w:p w14:paraId="15B2EC84">
            <w:pPr>
              <w:pStyle w:val="122"/>
              <w:spacing w:line="360" w:lineRule="auto"/>
              <w:ind w:firstLine="360"/>
              <w:jc w:val="center"/>
              <w:rPr>
                <w:b/>
                <w:sz w:val="18"/>
                <w:szCs w:val="18"/>
              </w:rPr>
            </w:pPr>
          </w:p>
        </w:tc>
        <w:tc>
          <w:tcPr>
            <w:tcW w:w="708" w:type="dxa"/>
            <w:vAlign w:val="center"/>
          </w:tcPr>
          <w:p w14:paraId="0C2853AE">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13" w:type="dxa"/>
            <w:vAlign w:val="center"/>
          </w:tcPr>
          <w:p w14:paraId="021EF7E2">
            <w:pPr>
              <w:pStyle w:val="122"/>
              <w:spacing w:line="360" w:lineRule="auto"/>
              <w:ind w:firstLine="360"/>
              <w:jc w:val="center"/>
              <w:rPr>
                <w:b/>
                <w:sz w:val="18"/>
                <w:szCs w:val="18"/>
              </w:rPr>
            </w:pPr>
          </w:p>
        </w:tc>
      </w:tr>
      <w:tr w14:paraId="45BCA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tcPr>
          <w:p w14:paraId="31505D32">
            <w:pPr>
              <w:spacing w:line="360" w:lineRule="auto"/>
              <w:rPr>
                <w:rFonts w:ascii="宋体" w:hAnsi="宋体" w:eastAsia="宋体" w:cs="宋体"/>
                <w:sz w:val="18"/>
                <w:szCs w:val="18"/>
              </w:rPr>
            </w:pPr>
            <w:r>
              <w:rPr>
                <w:rFonts w:ascii="宋体" w:hAnsi="宋体" w:eastAsia="宋体" w:cs="宋体"/>
                <w:spacing w:val="-5"/>
                <w:sz w:val="18"/>
                <w:szCs w:val="18"/>
              </w:rPr>
              <w:t>电化学</w:t>
            </w:r>
          </w:p>
        </w:tc>
        <w:tc>
          <w:tcPr>
            <w:tcW w:w="851" w:type="dxa"/>
            <w:vAlign w:val="center"/>
          </w:tcPr>
          <w:p w14:paraId="7314129D">
            <w:pPr>
              <w:pStyle w:val="122"/>
              <w:spacing w:line="360" w:lineRule="auto"/>
              <w:ind w:firstLine="360"/>
              <w:jc w:val="center"/>
              <w:rPr>
                <w:b/>
                <w:sz w:val="18"/>
                <w:szCs w:val="18"/>
              </w:rPr>
            </w:pPr>
          </w:p>
        </w:tc>
        <w:tc>
          <w:tcPr>
            <w:tcW w:w="851" w:type="dxa"/>
            <w:vAlign w:val="center"/>
          </w:tcPr>
          <w:p w14:paraId="641B0DDD">
            <w:pPr>
              <w:pStyle w:val="122"/>
              <w:spacing w:line="360" w:lineRule="auto"/>
              <w:ind w:firstLine="360"/>
              <w:jc w:val="center"/>
              <w:rPr>
                <w:b/>
                <w:sz w:val="18"/>
                <w:szCs w:val="18"/>
              </w:rPr>
            </w:pPr>
          </w:p>
        </w:tc>
        <w:tc>
          <w:tcPr>
            <w:tcW w:w="851" w:type="dxa"/>
            <w:vAlign w:val="center"/>
          </w:tcPr>
          <w:p w14:paraId="7CEFC8CC">
            <w:pPr>
              <w:pStyle w:val="122"/>
              <w:spacing w:line="360" w:lineRule="auto"/>
              <w:ind w:firstLine="360"/>
              <w:jc w:val="center"/>
              <w:rPr>
                <w:b/>
                <w:sz w:val="18"/>
                <w:szCs w:val="18"/>
              </w:rPr>
            </w:pPr>
          </w:p>
        </w:tc>
        <w:tc>
          <w:tcPr>
            <w:tcW w:w="643" w:type="dxa"/>
            <w:vAlign w:val="center"/>
          </w:tcPr>
          <w:p w14:paraId="15F7416F">
            <w:pPr>
              <w:pStyle w:val="122"/>
              <w:spacing w:line="360" w:lineRule="auto"/>
              <w:ind w:firstLine="360"/>
              <w:jc w:val="center"/>
              <w:rPr>
                <w:b/>
                <w:sz w:val="18"/>
                <w:szCs w:val="18"/>
              </w:rPr>
            </w:pPr>
          </w:p>
        </w:tc>
        <w:tc>
          <w:tcPr>
            <w:tcW w:w="1134" w:type="dxa"/>
            <w:vAlign w:val="center"/>
          </w:tcPr>
          <w:p w14:paraId="4995F499">
            <w:pPr>
              <w:pStyle w:val="122"/>
              <w:spacing w:line="360" w:lineRule="auto"/>
              <w:ind w:firstLine="360"/>
              <w:jc w:val="center"/>
              <w:rPr>
                <w:b/>
                <w:sz w:val="18"/>
                <w:szCs w:val="18"/>
              </w:rPr>
            </w:pPr>
          </w:p>
        </w:tc>
        <w:tc>
          <w:tcPr>
            <w:tcW w:w="709" w:type="dxa"/>
            <w:vAlign w:val="center"/>
          </w:tcPr>
          <w:p w14:paraId="18D5710B">
            <w:pPr>
              <w:pStyle w:val="122"/>
              <w:spacing w:line="360" w:lineRule="auto"/>
              <w:ind w:firstLine="360"/>
              <w:jc w:val="center"/>
              <w:rPr>
                <w:b/>
                <w:sz w:val="18"/>
                <w:szCs w:val="18"/>
              </w:rPr>
            </w:pPr>
          </w:p>
        </w:tc>
        <w:tc>
          <w:tcPr>
            <w:tcW w:w="851" w:type="dxa"/>
            <w:vAlign w:val="center"/>
          </w:tcPr>
          <w:p w14:paraId="4F5E7635">
            <w:pPr>
              <w:pStyle w:val="122"/>
              <w:spacing w:line="360" w:lineRule="auto"/>
              <w:ind w:firstLine="360"/>
              <w:jc w:val="center"/>
              <w:rPr>
                <w:b/>
                <w:sz w:val="18"/>
                <w:szCs w:val="18"/>
              </w:rPr>
            </w:pPr>
          </w:p>
        </w:tc>
        <w:tc>
          <w:tcPr>
            <w:tcW w:w="708" w:type="dxa"/>
            <w:vAlign w:val="center"/>
          </w:tcPr>
          <w:p w14:paraId="75E9A678">
            <w:pPr>
              <w:pStyle w:val="122"/>
              <w:spacing w:line="360" w:lineRule="auto"/>
              <w:ind w:firstLine="360"/>
              <w:jc w:val="center"/>
              <w:rPr>
                <w:b/>
                <w:sz w:val="18"/>
                <w:szCs w:val="18"/>
              </w:rPr>
            </w:pPr>
          </w:p>
        </w:tc>
        <w:tc>
          <w:tcPr>
            <w:tcW w:w="709" w:type="dxa"/>
            <w:vAlign w:val="center"/>
          </w:tcPr>
          <w:p w14:paraId="1FA433EB">
            <w:pPr>
              <w:pStyle w:val="122"/>
              <w:spacing w:line="360" w:lineRule="auto"/>
              <w:ind w:firstLine="360"/>
              <w:jc w:val="center"/>
              <w:rPr>
                <w:b/>
                <w:sz w:val="18"/>
                <w:szCs w:val="18"/>
              </w:rPr>
            </w:pPr>
          </w:p>
        </w:tc>
        <w:tc>
          <w:tcPr>
            <w:tcW w:w="851" w:type="dxa"/>
            <w:vAlign w:val="center"/>
          </w:tcPr>
          <w:p w14:paraId="79688E9E">
            <w:pPr>
              <w:pStyle w:val="122"/>
              <w:spacing w:line="360" w:lineRule="auto"/>
              <w:ind w:firstLine="360"/>
              <w:jc w:val="center"/>
              <w:rPr>
                <w:b/>
                <w:sz w:val="18"/>
                <w:szCs w:val="18"/>
              </w:rPr>
            </w:pPr>
          </w:p>
        </w:tc>
        <w:tc>
          <w:tcPr>
            <w:tcW w:w="708" w:type="dxa"/>
            <w:vAlign w:val="center"/>
          </w:tcPr>
          <w:p w14:paraId="3B3431D8">
            <w:pPr>
              <w:pStyle w:val="122"/>
              <w:spacing w:line="360" w:lineRule="auto"/>
              <w:ind w:firstLine="360"/>
              <w:jc w:val="center"/>
              <w:rPr>
                <w:b/>
                <w:sz w:val="18"/>
                <w:szCs w:val="18"/>
              </w:rPr>
            </w:pPr>
          </w:p>
        </w:tc>
        <w:tc>
          <w:tcPr>
            <w:tcW w:w="1134" w:type="dxa"/>
            <w:vAlign w:val="center"/>
          </w:tcPr>
          <w:p w14:paraId="5C68FB6A">
            <w:pPr>
              <w:pStyle w:val="122"/>
              <w:spacing w:line="360" w:lineRule="auto"/>
              <w:ind w:firstLine="360"/>
              <w:jc w:val="center"/>
              <w:rPr>
                <w:b/>
                <w:sz w:val="18"/>
                <w:szCs w:val="18"/>
              </w:rPr>
            </w:pPr>
          </w:p>
        </w:tc>
        <w:tc>
          <w:tcPr>
            <w:tcW w:w="709" w:type="dxa"/>
            <w:vAlign w:val="center"/>
          </w:tcPr>
          <w:p w14:paraId="42820A71">
            <w:pPr>
              <w:pStyle w:val="122"/>
              <w:spacing w:line="360" w:lineRule="auto"/>
              <w:ind w:firstLine="360"/>
              <w:jc w:val="center"/>
              <w:rPr>
                <w:b/>
                <w:sz w:val="18"/>
                <w:szCs w:val="18"/>
              </w:rPr>
            </w:pPr>
          </w:p>
        </w:tc>
        <w:tc>
          <w:tcPr>
            <w:tcW w:w="992" w:type="dxa"/>
            <w:vAlign w:val="center"/>
          </w:tcPr>
          <w:p w14:paraId="11D77156">
            <w:pPr>
              <w:pStyle w:val="122"/>
              <w:spacing w:line="360" w:lineRule="auto"/>
              <w:ind w:firstLine="360"/>
              <w:jc w:val="center"/>
              <w:rPr>
                <w:b/>
                <w:sz w:val="18"/>
                <w:szCs w:val="18"/>
              </w:rPr>
            </w:pPr>
          </w:p>
        </w:tc>
        <w:tc>
          <w:tcPr>
            <w:tcW w:w="851" w:type="dxa"/>
            <w:vAlign w:val="center"/>
          </w:tcPr>
          <w:p w14:paraId="1123B362">
            <w:pPr>
              <w:pStyle w:val="122"/>
              <w:spacing w:line="360" w:lineRule="auto"/>
              <w:ind w:firstLine="360"/>
              <w:jc w:val="center"/>
              <w:rPr>
                <w:b/>
                <w:sz w:val="18"/>
                <w:szCs w:val="18"/>
              </w:rPr>
            </w:pPr>
          </w:p>
        </w:tc>
        <w:tc>
          <w:tcPr>
            <w:tcW w:w="708" w:type="dxa"/>
            <w:vAlign w:val="center"/>
          </w:tcPr>
          <w:p w14:paraId="21A5607D">
            <w:pPr>
              <w:spacing w:line="360" w:lineRule="auto"/>
              <w:jc w:val="center"/>
              <w:rPr>
                <w:rFonts w:ascii="宋体" w:hAnsi="宋体" w:eastAsia="宋体" w:cs="宋体"/>
                <w:b/>
                <w:sz w:val="18"/>
                <w:szCs w:val="18"/>
              </w:rPr>
            </w:pPr>
            <w:r>
              <w:rPr>
                <w:rFonts w:ascii="宋体" w:hAnsi="宋体" w:eastAsia="宋体" w:cs="宋体"/>
                <w:b/>
                <w:sz w:val="18"/>
                <w:szCs w:val="18"/>
              </w:rPr>
              <w:t>√</w:t>
            </w:r>
          </w:p>
        </w:tc>
        <w:tc>
          <w:tcPr>
            <w:tcW w:w="713" w:type="dxa"/>
            <w:vAlign w:val="center"/>
          </w:tcPr>
          <w:p w14:paraId="6073637D">
            <w:pPr>
              <w:pStyle w:val="122"/>
              <w:spacing w:line="360" w:lineRule="auto"/>
              <w:ind w:firstLine="360"/>
              <w:jc w:val="center"/>
              <w:rPr>
                <w:b/>
                <w:sz w:val="18"/>
                <w:szCs w:val="18"/>
              </w:rPr>
            </w:pPr>
          </w:p>
        </w:tc>
      </w:tr>
      <w:tr w14:paraId="44273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shd w:val="clear" w:color="auto" w:fill="auto"/>
          </w:tcPr>
          <w:p w14:paraId="719BD409">
            <w:pPr>
              <w:spacing w:line="360" w:lineRule="auto"/>
              <w:rPr>
                <w:rFonts w:ascii="宋体" w:hAnsi="宋体" w:eastAsia="宋体" w:cs="宋体"/>
                <w:sz w:val="18"/>
                <w:szCs w:val="18"/>
              </w:rPr>
            </w:pPr>
            <w:r>
              <w:rPr>
                <w:rFonts w:ascii="宋体" w:hAnsi="宋体" w:eastAsia="宋体" w:cs="宋体"/>
                <w:spacing w:val="-1"/>
                <w:sz w:val="18"/>
                <w:szCs w:val="18"/>
              </w:rPr>
              <w:t>干湿氧测定法</w:t>
            </w:r>
          </w:p>
        </w:tc>
        <w:tc>
          <w:tcPr>
            <w:tcW w:w="851" w:type="dxa"/>
            <w:vAlign w:val="center"/>
          </w:tcPr>
          <w:p w14:paraId="022245CC">
            <w:pPr>
              <w:pStyle w:val="122"/>
              <w:spacing w:line="360" w:lineRule="auto"/>
              <w:ind w:firstLine="360"/>
              <w:jc w:val="center"/>
              <w:rPr>
                <w:b/>
                <w:sz w:val="18"/>
                <w:szCs w:val="18"/>
              </w:rPr>
            </w:pPr>
          </w:p>
        </w:tc>
        <w:tc>
          <w:tcPr>
            <w:tcW w:w="851" w:type="dxa"/>
            <w:vAlign w:val="center"/>
          </w:tcPr>
          <w:p w14:paraId="77DC6591">
            <w:pPr>
              <w:pStyle w:val="122"/>
              <w:spacing w:line="360" w:lineRule="auto"/>
              <w:ind w:firstLine="360"/>
              <w:jc w:val="center"/>
              <w:rPr>
                <w:b/>
                <w:sz w:val="18"/>
                <w:szCs w:val="18"/>
              </w:rPr>
            </w:pPr>
          </w:p>
        </w:tc>
        <w:tc>
          <w:tcPr>
            <w:tcW w:w="851" w:type="dxa"/>
            <w:vAlign w:val="center"/>
          </w:tcPr>
          <w:p w14:paraId="5D31704D">
            <w:pPr>
              <w:pStyle w:val="122"/>
              <w:spacing w:line="360" w:lineRule="auto"/>
              <w:ind w:firstLine="360"/>
              <w:jc w:val="center"/>
              <w:rPr>
                <w:b/>
                <w:sz w:val="18"/>
                <w:szCs w:val="18"/>
              </w:rPr>
            </w:pPr>
          </w:p>
        </w:tc>
        <w:tc>
          <w:tcPr>
            <w:tcW w:w="643" w:type="dxa"/>
            <w:vAlign w:val="center"/>
          </w:tcPr>
          <w:p w14:paraId="4CAE17DB">
            <w:pPr>
              <w:pStyle w:val="122"/>
              <w:spacing w:line="360" w:lineRule="auto"/>
              <w:ind w:firstLine="360"/>
              <w:jc w:val="center"/>
              <w:rPr>
                <w:b/>
                <w:sz w:val="18"/>
                <w:szCs w:val="18"/>
              </w:rPr>
            </w:pPr>
          </w:p>
        </w:tc>
        <w:tc>
          <w:tcPr>
            <w:tcW w:w="1134" w:type="dxa"/>
            <w:vAlign w:val="center"/>
          </w:tcPr>
          <w:p w14:paraId="4DD61D40">
            <w:pPr>
              <w:pStyle w:val="122"/>
              <w:spacing w:line="360" w:lineRule="auto"/>
              <w:ind w:firstLine="360"/>
              <w:jc w:val="center"/>
              <w:rPr>
                <w:b/>
                <w:sz w:val="18"/>
                <w:szCs w:val="18"/>
              </w:rPr>
            </w:pPr>
          </w:p>
        </w:tc>
        <w:tc>
          <w:tcPr>
            <w:tcW w:w="709" w:type="dxa"/>
            <w:vAlign w:val="center"/>
          </w:tcPr>
          <w:p w14:paraId="2A2D0149">
            <w:pPr>
              <w:pStyle w:val="122"/>
              <w:spacing w:line="360" w:lineRule="auto"/>
              <w:ind w:firstLine="360"/>
              <w:jc w:val="center"/>
              <w:rPr>
                <w:b/>
                <w:sz w:val="18"/>
                <w:szCs w:val="18"/>
              </w:rPr>
            </w:pPr>
          </w:p>
        </w:tc>
        <w:tc>
          <w:tcPr>
            <w:tcW w:w="851" w:type="dxa"/>
            <w:vAlign w:val="center"/>
          </w:tcPr>
          <w:p w14:paraId="1B97099D">
            <w:pPr>
              <w:pStyle w:val="122"/>
              <w:spacing w:line="360" w:lineRule="auto"/>
              <w:ind w:firstLine="360"/>
              <w:jc w:val="center"/>
              <w:rPr>
                <w:b/>
                <w:sz w:val="18"/>
                <w:szCs w:val="18"/>
              </w:rPr>
            </w:pPr>
          </w:p>
        </w:tc>
        <w:tc>
          <w:tcPr>
            <w:tcW w:w="708" w:type="dxa"/>
            <w:vAlign w:val="center"/>
          </w:tcPr>
          <w:p w14:paraId="0C589971">
            <w:pPr>
              <w:pStyle w:val="122"/>
              <w:spacing w:line="360" w:lineRule="auto"/>
              <w:ind w:firstLine="360"/>
              <w:jc w:val="center"/>
              <w:rPr>
                <w:b/>
                <w:sz w:val="18"/>
                <w:szCs w:val="18"/>
              </w:rPr>
            </w:pPr>
          </w:p>
        </w:tc>
        <w:tc>
          <w:tcPr>
            <w:tcW w:w="709" w:type="dxa"/>
            <w:vAlign w:val="center"/>
          </w:tcPr>
          <w:p w14:paraId="3E032984">
            <w:pPr>
              <w:pStyle w:val="122"/>
              <w:spacing w:line="360" w:lineRule="auto"/>
              <w:ind w:firstLine="360"/>
              <w:jc w:val="center"/>
              <w:rPr>
                <w:b/>
                <w:sz w:val="18"/>
                <w:szCs w:val="18"/>
              </w:rPr>
            </w:pPr>
          </w:p>
        </w:tc>
        <w:tc>
          <w:tcPr>
            <w:tcW w:w="851" w:type="dxa"/>
            <w:vAlign w:val="center"/>
          </w:tcPr>
          <w:p w14:paraId="1A5C7FE7">
            <w:pPr>
              <w:pStyle w:val="122"/>
              <w:spacing w:line="360" w:lineRule="auto"/>
              <w:ind w:firstLine="360"/>
              <w:jc w:val="center"/>
              <w:rPr>
                <w:b/>
                <w:sz w:val="18"/>
                <w:szCs w:val="18"/>
              </w:rPr>
            </w:pPr>
          </w:p>
        </w:tc>
        <w:tc>
          <w:tcPr>
            <w:tcW w:w="708" w:type="dxa"/>
            <w:vAlign w:val="center"/>
          </w:tcPr>
          <w:p w14:paraId="69A37750">
            <w:pPr>
              <w:pStyle w:val="122"/>
              <w:spacing w:line="360" w:lineRule="auto"/>
              <w:ind w:firstLine="360"/>
              <w:jc w:val="center"/>
              <w:rPr>
                <w:b/>
                <w:sz w:val="18"/>
                <w:szCs w:val="18"/>
              </w:rPr>
            </w:pPr>
          </w:p>
        </w:tc>
        <w:tc>
          <w:tcPr>
            <w:tcW w:w="1134" w:type="dxa"/>
            <w:vAlign w:val="center"/>
          </w:tcPr>
          <w:p w14:paraId="3F253352">
            <w:pPr>
              <w:pStyle w:val="122"/>
              <w:spacing w:line="360" w:lineRule="auto"/>
              <w:ind w:firstLine="360"/>
              <w:jc w:val="center"/>
              <w:rPr>
                <w:b/>
                <w:sz w:val="18"/>
                <w:szCs w:val="18"/>
              </w:rPr>
            </w:pPr>
          </w:p>
        </w:tc>
        <w:tc>
          <w:tcPr>
            <w:tcW w:w="709" w:type="dxa"/>
            <w:vAlign w:val="center"/>
          </w:tcPr>
          <w:p w14:paraId="112EA2EA">
            <w:pPr>
              <w:pStyle w:val="122"/>
              <w:spacing w:line="360" w:lineRule="auto"/>
              <w:ind w:firstLine="360"/>
              <w:jc w:val="center"/>
              <w:rPr>
                <w:b/>
                <w:sz w:val="18"/>
                <w:szCs w:val="18"/>
              </w:rPr>
            </w:pPr>
          </w:p>
        </w:tc>
        <w:tc>
          <w:tcPr>
            <w:tcW w:w="992" w:type="dxa"/>
            <w:vAlign w:val="center"/>
          </w:tcPr>
          <w:p w14:paraId="452CA17B">
            <w:pPr>
              <w:pStyle w:val="122"/>
              <w:spacing w:line="360" w:lineRule="auto"/>
              <w:ind w:firstLine="360"/>
              <w:jc w:val="center"/>
              <w:rPr>
                <w:b/>
                <w:sz w:val="18"/>
                <w:szCs w:val="18"/>
              </w:rPr>
            </w:pPr>
          </w:p>
        </w:tc>
        <w:tc>
          <w:tcPr>
            <w:tcW w:w="851" w:type="dxa"/>
            <w:vAlign w:val="center"/>
          </w:tcPr>
          <w:p w14:paraId="5C3BC78B">
            <w:pPr>
              <w:pStyle w:val="122"/>
              <w:spacing w:line="360" w:lineRule="auto"/>
              <w:ind w:firstLine="360"/>
              <w:jc w:val="center"/>
              <w:rPr>
                <w:b/>
                <w:sz w:val="18"/>
                <w:szCs w:val="18"/>
              </w:rPr>
            </w:pPr>
          </w:p>
        </w:tc>
        <w:tc>
          <w:tcPr>
            <w:tcW w:w="708" w:type="dxa"/>
            <w:vAlign w:val="center"/>
          </w:tcPr>
          <w:p w14:paraId="7C6313DB">
            <w:pPr>
              <w:pStyle w:val="122"/>
              <w:spacing w:line="360" w:lineRule="auto"/>
              <w:ind w:firstLine="360"/>
              <w:jc w:val="center"/>
              <w:rPr>
                <w:b/>
                <w:sz w:val="18"/>
                <w:szCs w:val="18"/>
              </w:rPr>
            </w:pPr>
          </w:p>
        </w:tc>
        <w:tc>
          <w:tcPr>
            <w:tcW w:w="713" w:type="dxa"/>
            <w:vAlign w:val="center"/>
          </w:tcPr>
          <w:p w14:paraId="7FFDBC21">
            <w:pPr>
              <w:spacing w:line="360" w:lineRule="auto"/>
              <w:jc w:val="center"/>
              <w:rPr>
                <w:rFonts w:ascii="宋体" w:hAnsi="宋体" w:eastAsia="宋体" w:cs="宋体"/>
                <w:b/>
                <w:sz w:val="18"/>
                <w:szCs w:val="18"/>
              </w:rPr>
            </w:pPr>
            <w:r>
              <w:rPr>
                <w:rFonts w:ascii="宋体" w:hAnsi="宋体" w:eastAsia="宋体" w:cs="宋体"/>
                <w:b/>
                <w:sz w:val="18"/>
                <w:szCs w:val="18"/>
              </w:rPr>
              <w:t>√</w:t>
            </w:r>
          </w:p>
        </w:tc>
      </w:tr>
      <w:tr w14:paraId="13D05E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99" w:type="dxa"/>
            <w:shd w:val="clear" w:color="auto" w:fill="auto"/>
          </w:tcPr>
          <w:p w14:paraId="30503223">
            <w:pPr>
              <w:spacing w:line="360" w:lineRule="auto"/>
              <w:rPr>
                <w:rFonts w:ascii="宋体" w:hAnsi="宋体" w:eastAsia="宋体" w:cs="宋体"/>
                <w:sz w:val="18"/>
                <w:szCs w:val="18"/>
              </w:rPr>
            </w:pPr>
            <w:r>
              <w:rPr>
                <w:rFonts w:ascii="宋体" w:hAnsi="宋体" w:eastAsia="宋体" w:cs="宋体"/>
                <w:spacing w:val="-1"/>
                <w:sz w:val="18"/>
                <w:szCs w:val="18"/>
              </w:rPr>
              <w:t>湿度传感器测定法</w:t>
            </w:r>
          </w:p>
        </w:tc>
        <w:tc>
          <w:tcPr>
            <w:tcW w:w="851" w:type="dxa"/>
            <w:vAlign w:val="center"/>
          </w:tcPr>
          <w:p w14:paraId="0FA02868">
            <w:pPr>
              <w:pStyle w:val="122"/>
              <w:spacing w:line="360" w:lineRule="auto"/>
              <w:ind w:firstLine="360"/>
              <w:jc w:val="center"/>
              <w:rPr>
                <w:b/>
                <w:sz w:val="18"/>
                <w:szCs w:val="18"/>
              </w:rPr>
            </w:pPr>
          </w:p>
        </w:tc>
        <w:tc>
          <w:tcPr>
            <w:tcW w:w="851" w:type="dxa"/>
            <w:vAlign w:val="center"/>
          </w:tcPr>
          <w:p w14:paraId="0E3AE065">
            <w:pPr>
              <w:pStyle w:val="122"/>
              <w:spacing w:line="360" w:lineRule="auto"/>
              <w:ind w:firstLine="360"/>
              <w:jc w:val="center"/>
              <w:rPr>
                <w:b/>
                <w:sz w:val="18"/>
                <w:szCs w:val="18"/>
              </w:rPr>
            </w:pPr>
          </w:p>
        </w:tc>
        <w:tc>
          <w:tcPr>
            <w:tcW w:w="851" w:type="dxa"/>
            <w:vAlign w:val="center"/>
          </w:tcPr>
          <w:p w14:paraId="03BF4887">
            <w:pPr>
              <w:pStyle w:val="122"/>
              <w:spacing w:line="360" w:lineRule="auto"/>
              <w:ind w:firstLine="360"/>
              <w:jc w:val="center"/>
              <w:rPr>
                <w:b/>
                <w:sz w:val="18"/>
                <w:szCs w:val="18"/>
              </w:rPr>
            </w:pPr>
          </w:p>
        </w:tc>
        <w:tc>
          <w:tcPr>
            <w:tcW w:w="643" w:type="dxa"/>
            <w:vAlign w:val="center"/>
          </w:tcPr>
          <w:p w14:paraId="5C4E219B">
            <w:pPr>
              <w:pStyle w:val="122"/>
              <w:spacing w:line="360" w:lineRule="auto"/>
              <w:ind w:firstLine="360"/>
              <w:jc w:val="center"/>
              <w:rPr>
                <w:b/>
                <w:sz w:val="18"/>
                <w:szCs w:val="18"/>
              </w:rPr>
            </w:pPr>
          </w:p>
        </w:tc>
        <w:tc>
          <w:tcPr>
            <w:tcW w:w="1134" w:type="dxa"/>
            <w:vAlign w:val="center"/>
          </w:tcPr>
          <w:p w14:paraId="3C6C2AD9">
            <w:pPr>
              <w:pStyle w:val="122"/>
              <w:spacing w:line="360" w:lineRule="auto"/>
              <w:ind w:firstLine="360"/>
              <w:jc w:val="center"/>
              <w:rPr>
                <w:b/>
                <w:sz w:val="18"/>
                <w:szCs w:val="18"/>
              </w:rPr>
            </w:pPr>
          </w:p>
        </w:tc>
        <w:tc>
          <w:tcPr>
            <w:tcW w:w="709" w:type="dxa"/>
            <w:vAlign w:val="center"/>
          </w:tcPr>
          <w:p w14:paraId="1CB4A41F">
            <w:pPr>
              <w:pStyle w:val="122"/>
              <w:spacing w:line="360" w:lineRule="auto"/>
              <w:ind w:firstLine="360"/>
              <w:jc w:val="center"/>
              <w:rPr>
                <w:b/>
                <w:sz w:val="18"/>
                <w:szCs w:val="18"/>
              </w:rPr>
            </w:pPr>
          </w:p>
        </w:tc>
        <w:tc>
          <w:tcPr>
            <w:tcW w:w="851" w:type="dxa"/>
            <w:vAlign w:val="center"/>
          </w:tcPr>
          <w:p w14:paraId="5908F235">
            <w:pPr>
              <w:pStyle w:val="122"/>
              <w:spacing w:line="360" w:lineRule="auto"/>
              <w:ind w:firstLine="360"/>
              <w:jc w:val="center"/>
              <w:rPr>
                <w:b/>
                <w:sz w:val="18"/>
                <w:szCs w:val="18"/>
              </w:rPr>
            </w:pPr>
          </w:p>
        </w:tc>
        <w:tc>
          <w:tcPr>
            <w:tcW w:w="708" w:type="dxa"/>
            <w:vAlign w:val="center"/>
          </w:tcPr>
          <w:p w14:paraId="4740B6E4">
            <w:pPr>
              <w:pStyle w:val="122"/>
              <w:spacing w:line="360" w:lineRule="auto"/>
              <w:ind w:firstLine="360"/>
              <w:jc w:val="center"/>
              <w:rPr>
                <w:b/>
                <w:sz w:val="18"/>
                <w:szCs w:val="18"/>
              </w:rPr>
            </w:pPr>
          </w:p>
        </w:tc>
        <w:tc>
          <w:tcPr>
            <w:tcW w:w="709" w:type="dxa"/>
            <w:vAlign w:val="center"/>
          </w:tcPr>
          <w:p w14:paraId="18B5284A">
            <w:pPr>
              <w:pStyle w:val="122"/>
              <w:spacing w:line="360" w:lineRule="auto"/>
              <w:ind w:firstLine="360"/>
              <w:jc w:val="center"/>
              <w:rPr>
                <w:b/>
                <w:sz w:val="18"/>
                <w:szCs w:val="18"/>
              </w:rPr>
            </w:pPr>
          </w:p>
        </w:tc>
        <w:tc>
          <w:tcPr>
            <w:tcW w:w="851" w:type="dxa"/>
            <w:vAlign w:val="center"/>
          </w:tcPr>
          <w:p w14:paraId="78D76217">
            <w:pPr>
              <w:pStyle w:val="122"/>
              <w:spacing w:line="360" w:lineRule="auto"/>
              <w:ind w:firstLine="360"/>
              <w:jc w:val="center"/>
              <w:rPr>
                <w:b/>
                <w:sz w:val="18"/>
                <w:szCs w:val="18"/>
              </w:rPr>
            </w:pPr>
          </w:p>
        </w:tc>
        <w:tc>
          <w:tcPr>
            <w:tcW w:w="708" w:type="dxa"/>
            <w:vAlign w:val="center"/>
          </w:tcPr>
          <w:p w14:paraId="79DB09EF">
            <w:pPr>
              <w:pStyle w:val="122"/>
              <w:spacing w:line="360" w:lineRule="auto"/>
              <w:ind w:firstLine="360"/>
              <w:jc w:val="center"/>
              <w:rPr>
                <w:b/>
                <w:sz w:val="18"/>
                <w:szCs w:val="18"/>
              </w:rPr>
            </w:pPr>
          </w:p>
        </w:tc>
        <w:tc>
          <w:tcPr>
            <w:tcW w:w="1134" w:type="dxa"/>
            <w:vAlign w:val="center"/>
          </w:tcPr>
          <w:p w14:paraId="63190025">
            <w:pPr>
              <w:pStyle w:val="122"/>
              <w:spacing w:line="360" w:lineRule="auto"/>
              <w:ind w:firstLine="360"/>
              <w:jc w:val="center"/>
              <w:rPr>
                <w:b/>
                <w:sz w:val="18"/>
                <w:szCs w:val="18"/>
              </w:rPr>
            </w:pPr>
          </w:p>
        </w:tc>
        <w:tc>
          <w:tcPr>
            <w:tcW w:w="709" w:type="dxa"/>
            <w:vAlign w:val="center"/>
          </w:tcPr>
          <w:p w14:paraId="5127820D">
            <w:pPr>
              <w:pStyle w:val="122"/>
              <w:spacing w:line="360" w:lineRule="auto"/>
              <w:ind w:firstLine="360"/>
              <w:jc w:val="center"/>
              <w:rPr>
                <w:b/>
                <w:sz w:val="18"/>
                <w:szCs w:val="18"/>
              </w:rPr>
            </w:pPr>
          </w:p>
        </w:tc>
        <w:tc>
          <w:tcPr>
            <w:tcW w:w="992" w:type="dxa"/>
            <w:vAlign w:val="center"/>
          </w:tcPr>
          <w:p w14:paraId="73B51B2A">
            <w:pPr>
              <w:pStyle w:val="122"/>
              <w:spacing w:line="360" w:lineRule="auto"/>
              <w:ind w:firstLine="360"/>
              <w:jc w:val="center"/>
              <w:rPr>
                <w:b/>
                <w:sz w:val="18"/>
                <w:szCs w:val="18"/>
              </w:rPr>
            </w:pPr>
          </w:p>
        </w:tc>
        <w:tc>
          <w:tcPr>
            <w:tcW w:w="851" w:type="dxa"/>
            <w:vAlign w:val="center"/>
          </w:tcPr>
          <w:p w14:paraId="05E0106C">
            <w:pPr>
              <w:pStyle w:val="122"/>
              <w:spacing w:line="360" w:lineRule="auto"/>
              <w:ind w:firstLine="360"/>
              <w:jc w:val="center"/>
              <w:rPr>
                <w:b/>
                <w:sz w:val="18"/>
                <w:szCs w:val="18"/>
              </w:rPr>
            </w:pPr>
          </w:p>
        </w:tc>
        <w:tc>
          <w:tcPr>
            <w:tcW w:w="708" w:type="dxa"/>
            <w:vAlign w:val="center"/>
          </w:tcPr>
          <w:p w14:paraId="7FE2C3F1">
            <w:pPr>
              <w:pStyle w:val="122"/>
              <w:spacing w:line="360" w:lineRule="auto"/>
              <w:ind w:firstLine="360"/>
              <w:jc w:val="center"/>
              <w:rPr>
                <w:b/>
                <w:sz w:val="18"/>
                <w:szCs w:val="18"/>
              </w:rPr>
            </w:pPr>
          </w:p>
        </w:tc>
        <w:tc>
          <w:tcPr>
            <w:tcW w:w="713" w:type="dxa"/>
            <w:vAlign w:val="center"/>
          </w:tcPr>
          <w:p w14:paraId="3983E40B">
            <w:pPr>
              <w:spacing w:line="360" w:lineRule="auto"/>
              <w:jc w:val="center"/>
              <w:rPr>
                <w:rFonts w:ascii="宋体" w:hAnsi="宋体" w:eastAsia="宋体" w:cs="宋体"/>
                <w:b/>
                <w:sz w:val="18"/>
                <w:szCs w:val="18"/>
              </w:rPr>
            </w:pPr>
            <w:r>
              <w:rPr>
                <w:rFonts w:ascii="宋体" w:hAnsi="宋体" w:eastAsia="宋体" w:cs="宋体"/>
                <w:b/>
                <w:sz w:val="18"/>
                <w:szCs w:val="18"/>
              </w:rPr>
              <w:t>√</w:t>
            </w:r>
          </w:p>
        </w:tc>
      </w:tr>
      <w:tr w14:paraId="46F817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jc w:val="center"/>
        </w:trPr>
        <w:tc>
          <w:tcPr>
            <w:tcW w:w="2099" w:type="dxa"/>
          </w:tcPr>
          <w:p w14:paraId="3BCAF7CB">
            <w:pPr>
              <w:spacing w:line="360" w:lineRule="auto"/>
              <w:rPr>
                <w:rFonts w:ascii="宋体" w:hAnsi="宋体" w:eastAsia="宋体" w:cs="宋体"/>
                <w:sz w:val="18"/>
                <w:szCs w:val="18"/>
              </w:rPr>
            </w:pPr>
            <w:r>
              <w:rPr>
                <w:rFonts w:ascii="宋体" w:hAnsi="宋体" w:eastAsia="宋体" w:cs="宋体"/>
                <w:spacing w:val="-3"/>
                <w:sz w:val="18"/>
                <w:szCs w:val="18"/>
              </w:rPr>
              <w:t>阻容法</w:t>
            </w:r>
          </w:p>
        </w:tc>
        <w:tc>
          <w:tcPr>
            <w:tcW w:w="851" w:type="dxa"/>
            <w:vAlign w:val="center"/>
          </w:tcPr>
          <w:p w14:paraId="7490EE26">
            <w:pPr>
              <w:pStyle w:val="122"/>
              <w:spacing w:line="360" w:lineRule="auto"/>
              <w:ind w:firstLine="360"/>
              <w:jc w:val="center"/>
              <w:rPr>
                <w:b/>
                <w:sz w:val="18"/>
                <w:szCs w:val="18"/>
              </w:rPr>
            </w:pPr>
          </w:p>
        </w:tc>
        <w:tc>
          <w:tcPr>
            <w:tcW w:w="851" w:type="dxa"/>
            <w:vAlign w:val="center"/>
          </w:tcPr>
          <w:p w14:paraId="770D2BFA">
            <w:pPr>
              <w:pStyle w:val="122"/>
              <w:spacing w:line="360" w:lineRule="auto"/>
              <w:ind w:firstLine="360"/>
              <w:jc w:val="center"/>
              <w:rPr>
                <w:b/>
                <w:sz w:val="18"/>
                <w:szCs w:val="18"/>
              </w:rPr>
            </w:pPr>
          </w:p>
        </w:tc>
        <w:tc>
          <w:tcPr>
            <w:tcW w:w="851" w:type="dxa"/>
            <w:vAlign w:val="center"/>
          </w:tcPr>
          <w:p w14:paraId="4F5CFF8B">
            <w:pPr>
              <w:pStyle w:val="122"/>
              <w:spacing w:line="360" w:lineRule="auto"/>
              <w:ind w:firstLine="360"/>
              <w:jc w:val="center"/>
              <w:rPr>
                <w:b/>
                <w:sz w:val="18"/>
                <w:szCs w:val="18"/>
              </w:rPr>
            </w:pPr>
          </w:p>
        </w:tc>
        <w:tc>
          <w:tcPr>
            <w:tcW w:w="643" w:type="dxa"/>
            <w:vAlign w:val="center"/>
          </w:tcPr>
          <w:p w14:paraId="3DC45CBA">
            <w:pPr>
              <w:pStyle w:val="122"/>
              <w:spacing w:line="360" w:lineRule="auto"/>
              <w:ind w:firstLine="360"/>
              <w:jc w:val="center"/>
              <w:rPr>
                <w:b/>
                <w:sz w:val="18"/>
                <w:szCs w:val="18"/>
              </w:rPr>
            </w:pPr>
          </w:p>
        </w:tc>
        <w:tc>
          <w:tcPr>
            <w:tcW w:w="1134" w:type="dxa"/>
            <w:vAlign w:val="center"/>
          </w:tcPr>
          <w:p w14:paraId="31260E42">
            <w:pPr>
              <w:pStyle w:val="122"/>
              <w:spacing w:line="360" w:lineRule="auto"/>
              <w:ind w:firstLine="360"/>
              <w:jc w:val="center"/>
              <w:rPr>
                <w:b/>
                <w:sz w:val="18"/>
                <w:szCs w:val="18"/>
              </w:rPr>
            </w:pPr>
          </w:p>
        </w:tc>
        <w:tc>
          <w:tcPr>
            <w:tcW w:w="709" w:type="dxa"/>
            <w:vAlign w:val="center"/>
          </w:tcPr>
          <w:p w14:paraId="1BFDC6C8">
            <w:pPr>
              <w:pStyle w:val="122"/>
              <w:spacing w:line="360" w:lineRule="auto"/>
              <w:ind w:firstLine="360"/>
              <w:jc w:val="center"/>
              <w:rPr>
                <w:b/>
                <w:sz w:val="18"/>
                <w:szCs w:val="18"/>
              </w:rPr>
            </w:pPr>
          </w:p>
        </w:tc>
        <w:tc>
          <w:tcPr>
            <w:tcW w:w="851" w:type="dxa"/>
            <w:vAlign w:val="center"/>
          </w:tcPr>
          <w:p w14:paraId="71BFA119">
            <w:pPr>
              <w:pStyle w:val="122"/>
              <w:spacing w:line="360" w:lineRule="auto"/>
              <w:ind w:firstLine="360"/>
              <w:jc w:val="center"/>
              <w:rPr>
                <w:b/>
                <w:sz w:val="18"/>
                <w:szCs w:val="18"/>
              </w:rPr>
            </w:pPr>
          </w:p>
        </w:tc>
        <w:tc>
          <w:tcPr>
            <w:tcW w:w="708" w:type="dxa"/>
            <w:vAlign w:val="center"/>
          </w:tcPr>
          <w:p w14:paraId="5F942FFF">
            <w:pPr>
              <w:pStyle w:val="122"/>
              <w:spacing w:line="360" w:lineRule="auto"/>
              <w:ind w:firstLine="360"/>
              <w:jc w:val="center"/>
              <w:rPr>
                <w:b/>
                <w:sz w:val="18"/>
                <w:szCs w:val="18"/>
              </w:rPr>
            </w:pPr>
          </w:p>
        </w:tc>
        <w:tc>
          <w:tcPr>
            <w:tcW w:w="709" w:type="dxa"/>
            <w:vAlign w:val="center"/>
          </w:tcPr>
          <w:p w14:paraId="5302237A">
            <w:pPr>
              <w:pStyle w:val="122"/>
              <w:spacing w:line="360" w:lineRule="auto"/>
              <w:ind w:firstLine="360"/>
              <w:jc w:val="center"/>
              <w:rPr>
                <w:b/>
                <w:sz w:val="18"/>
                <w:szCs w:val="18"/>
              </w:rPr>
            </w:pPr>
          </w:p>
        </w:tc>
        <w:tc>
          <w:tcPr>
            <w:tcW w:w="851" w:type="dxa"/>
            <w:vAlign w:val="center"/>
          </w:tcPr>
          <w:p w14:paraId="1417D0FF">
            <w:pPr>
              <w:pStyle w:val="122"/>
              <w:spacing w:line="360" w:lineRule="auto"/>
              <w:ind w:firstLine="360"/>
              <w:jc w:val="center"/>
              <w:rPr>
                <w:b/>
                <w:sz w:val="18"/>
                <w:szCs w:val="18"/>
              </w:rPr>
            </w:pPr>
          </w:p>
        </w:tc>
        <w:tc>
          <w:tcPr>
            <w:tcW w:w="708" w:type="dxa"/>
            <w:vAlign w:val="center"/>
          </w:tcPr>
          <w:p w14:paraId="70B979A9">
            <w:pPr>
              <w:pStyle w:val="122"/>
              <w:spacing w:line="360" w:lineRule="auto"/>
              <w:ind w:firstLine="360"/>
              <w:jc w:val="center"/>
              <w:rPr>
                <w:b/>
                <w:sz w:val="18"/>
                <w:szCs w:val="18"/>
              </w:rPr>
            </w:pPr>
          </w:p>
        </w:tc>
        <w:tc>
          <w:tcPr>
            <w:tcW w:w="1134" w:type="dxa"/>
            <w:vAlign w:val="center"/>
          </w:tcPr>
          <w:p w14:paraId="167D3CFC">
            <w:pPr>
              <w:pStyle w:val="122"/>
              <w:spacing w:line="360" w:lineRule="auto"/>
              <w:ind w:firstLine="360"/>
              <w:jc w:val="center"/>
              <w:rPr>
                <w:b/>
                <w:sz w:val="18"/>
                <w:szCs w:val="18"/>
              </w:rPr>
            </w:pPr>
          </w:p>
        </w:tc>
        <w:tc>
          <w:tcPr>
            <w:tcW w:w="709" w:type="dxa"/>
            <w:vAlign w:val="center"/>
          </w:tcPr>
          <w:p w14:paraId="5D995B4C">
            <w:pPr>
              <w:pStyle w:val="122"/>
              <w:spacing w:line="360" w:lineRule="auto"/>
              <w:ind w:firstLine="360"/>
              <w:jc w:val="center"/>
              <w:rPr>
                <w:b/>
                <w:sz w:val="18"/>
                <w:szCs w:val="18"/>
              </w:rPr>
            </w:pPr>
          </w:p>
        </w:tc>
        <w:tc>
          <w:tcPr>
            <w:tcW w:w="992" w:type="dxa"/>
            <w:vAlign w:val="center"/>
          </w:tcPr>
          <w:p w14:paraId="5F5064F3">
            <w:pPr>
              <w:pStyle w:val="122"/>
              <w:spacing w:line="360" w:lineRule="auto"/>
              <w:ind w:firstLine="360"/>
              <w:jc w:val="center"/>
              <w:rPr>
                <w:b/>
                <w:sz w:val="18"/>
                <w:szCs w:val="18"/>
              </w:rPr>
            </w:pPr>
          </w:p>
        </w:tc>
        <w:tc>
          <w:tcPr>
            <w:tcW w:w="851" w:type="dxa"/>
            <w:vAlign w:val="center"/>
          </w:tcPr>
          <w:p w14:paraId="2A3D9F29">
            <w:pPr>
              <w:pStyle w:val="122"/>
              <w:spacing w:line="360" w:lineRule="auto"/>
              <w:ind w:firstLine="360"/>
              <w:jc w:val="center"/>
              <w:rPr>
                <w:b/>
                <w:sz w:val="18"/>
                <w:szCs w:val="18"/>
              </w:rPr>
            </w:pPr>
          </w:p>
        </w:tc>
        <w:tc>
          <w:tcPr>
            <w:tcW w:w="708" w:type="dxa"/>
            <w:vAlign w:val="center"/>
          </w:tcPr>
          <w:p w14:paraId="190FBC6B">
            <w:pPr>
              <w:pStyle w:val="122"/>
              <w:spacing w:line="360" w:lineRule="auto"/>
              <w:ind w:firstLine="360"/>
              <w:jc w:val="center"/>
              <w:rPr>
                <w:b/>
                <w:sz w:val="18"/>
                <w:szCs w:val="18"/>
              </w:rPr>
            </w:pPr>
          </w:p>
        </w:tc>
        <w:tc>
          <w:tcPr>
            <w:tcW w:w="713" w:type="dxa"/>
            <w:vAlign w:val="center"/>
          </w:tcPr>
          <w:p w14:paraId="0BBC0428">
            <w:pPr>
              <w:spacing w:line="360" w:lineRule="auto"/>
              <w:jc w:val="center"/>
              <w:rPr>
                <w:rFonts w:ascii="宋体" w:hAnsi="宋体" w:eastAsia="宋体" w:cs="宋体"/>
                <w:b/>
                <w:sz w:val="18"/>
                <w:szCs w:val="18"/>
              </w:rPr>
            </w:pPr>
            <w:r>
              <w:rPr>
                <w:rFonts w:ascii="宋体" w:hAnsi="宋体" w:eastAsia="宋体" w:cs="宋体"/>
                <w:b/>
                <w:sz w:val="18"/>
                <w:szCs w:val="18"/>
              </w:rPr>
              <w:t>√</w:t>
            </w:r>
          </w:p>
        </w:tc>
      </w:tr>
    </w:tbl>
    <w:p w14:paraId="50BD6A2F">
      <w:pPr>
        <w:pStyle w:val="2"/>
        <w:jc w:val="center"/>
        <w:rPr>
          <w:sz w:val="28"/>
          <w:szCs w:val="28"/>
        </w:rPr>
      </w:pPr>
      <w:r>
        <w:rPr>
          <w:sz w:val="18"/>
          <w:szCs w:val="18"/>
        </w:rPr>
        <w:br w:type="page"/>
      </w:r>
      <w:bookmarkStart w:id="224" w:name="_Toc206171752"/>
      <w:r>
        <w:rPr>
          <w:rFonts w:hint="eastAsia"/>
          <w:sz w:val="28"/>
          <w:szCs w:val="28"/>
        </w:rPr>
        <w:t>资料C</w:t>
      </w:r>
      <w:r>
        <w:rPr>
          <w:sz w:val="28"/>
          <w:szCs w:val="28"/>
        </w:rPr>
        <w:t xml:space="preserve">  </w:t>
      </w:r>
      <w:r>
        <w:rPr>
          <w:rFonts w:hint="eastAsia"/>
          <w:sz w:val="28"/>
          <w:szCs w:val="28"/>
        </w:rPr>
        <w:t>挥发性有机物治理技术选择</w:t>
      </w:r>
      <w:r>
        <w:rPr>
          <w:sz w:val="28"/>
          <w:szCs w:val="28"/>
        </w:rPr>
        <w:t>表</w:t>
      </w:r>
      <w:bookmarkEnd w:id="224"/>
    </w:p>
    <w:tbl>
      <w:tblPr>
        <w:tblStyle w:val="30"/>
        <w:tblW w:w="15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1003"/>
        <w:gridCol w:w="1432"/>
        <w:gridCol w:w="1432"/>
        <w:gridCol w:w="1432"/>
        <w:gridCol w:w="1432"/>
        <w:gridCol w:w="1432"/>
        <w:gridCol w:w="1432"/>
        <w:gridCol w:w="1432"/>
        <w:gridCol w:w="1850"/>
      </w:tblGrid>
      <w:tr w14:paraId="17E8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blHeader/>
          <w:jc w:val="center"/>
        </w:trPr>
        <w:tc>
          <w:tcPr>
            <w:tcW w:w="2144" w:type="dxa"/>
            <w:tcBorders>
              <w:tl2br w:val="single" w:color="auto" w:sz="4" w:space="0"/>
            </w:tcBorders>
            <w:shd w:val="clear" w:color="auto" w:fill="auto"/>
            <w:vAlign w:val="center"/>
          </w:tcPr>
          <w:p w14:paraId="35FFBEE8">
            <w:pPr>
              <w:spacing w:line="400" w:lineRule="exact"/>
              <w:jc w:val="right"/>
              <w:rPr>
                <w:rFonts w:ascii="Times New Roman" w:hAnsi="Times New Roman" w:eastAsia="宋体" w:cs="Times New Roman"/>
                <w:b/>
                <w:sz w:val="18"/>
                <w:szCs w:val="18"/>
              </w:rPr>
            </w:pPr>
            <w:r>
              <w:rPr>
                <w:rFonts w:hint="eastAsia" w:ascii="Times New Roman" w:hAnsi="Times New Roman" w:eastAsia="宋体" w:cs="Times New Roman"/>
                <w:b/>
                <w:sz w:val="18"/>
                <w:szCs w:val="18"/>
              </w:rPr>
              <w:t>治理技术</w:t>
            </w:r>
          </w:p>
          <w:p w14:paraId="02C497DF">
            <w:pPr>
              <w:spacing w:line="400" w:lineRule="exact"/>
              <w:jc w:val="left"/>
              <w:rPr>
                <w:rFonts w:ascii="Times New Roman" w:hAnsi="Times New Roman" w:eastAsia="宋体" w:cs="Times New Roman"/>
                <w:b/>
                <w:sz w:val="18"/>
                <w:szCs w:val="18"/>
              </w:rPr>
            </w:pPr>
            <w:r>
              <w:rPr>
                <w:rFonts w:hint="eastAsia" w:ascii="Times New Roman" w:hAnsi="Times New Roman" w:eastAsia="宋体" w:cs="Times New Roman"/>
                <w:b/>
                <w:sz w:val="18"/>
                <w:szCs w:val="18"/>
              </w:rPr>
              <w:t>气体特性</w:t>
            </w:r>
          </w:p>
        </w:tc>
        <w:tc>
          <w:tcPr>
            <w:tcW w:w="1003" w:type="dxa"/>
            <w:shd w:val="clear" w:color="auto" w:fill="auto"/>
            <w:vAlign w:val="center"/>
          </w:tcPr>
          <w:p w14:paraId="4B02EF26">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参数指标</w:t>
            </w:r>
          </w:p>
        </w:tc>
        <w:tc>
          <w:tcPr>
            <w:tcW w:w="1432" w:type="dxa"/>
            <w:shd w:val="clear" w:color="auto" w:fill="auto"/>
            <w:vAlign w:val="center"/>
          </w:tcPr>
          <w:p w14:paraId="4A9D53EE">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冷凝法</w:t>
            </w:r>
          </w:p>
        </w:tc>
        <w:tc>
          <w:tcPr>
            <w:tcW w:w="1432" w:type="dxa"/>
            <w:shd w:val="clear" w:color="auto" w:fill="auto"/>
            <w:vAlign w:val="center"/>
          </w:tcPr>
          <w:p w14:paraId="5A74ADC0">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吸附法</w:t>
            </w:r>
          </w:p>
          <w:p w14:paraId="5A7BFF5B">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（再生）</w:t>
            </w:r>
          </w:p>
        </w:tc>
        <w:tc>
          <w:tcPr>
            <w:tcW w:w="1432" w:type="dxa"/>
            <w:shd w:val="clear" w:color="auto" w:fill="auto"/>
            <w:vAlign w:val="center"/>
          </w:tcPr>
          <w:p w14:paraId="073697E0">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吸附法</w:t>
            </w:r>
          </w:p>
          <w:p w14:paraId="3BAED6E3">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（不再生）</w:t>
            </w:r>
          </w:p>
        </w:tc>
        <w:tc>
          <w:tcPr>
            <w:tcW w:w="1432" w:type="dxa"/>
            <w:shd w:val="clear" w:color="auto" w:fill="auto"/>
            <w:vAlign w:val="center"/>
          </w:tcPr>
          <w:p w14:paraId="3D76A66B">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蓄热式燃烧fa</w:t>
            </w:r>
          </w:p>
        </w:tc>
        <w:tc>
          <w:tcPr>
            <w:tcW w:w="1432" w:type="dxa"/>
            <w:shd w:val="clear" w:color="auto" w:fill="auto"/>
            <w:vAlign w:val="center"/>
          </w:tcPr>
          <w:p w14:paraId="0BDB3C8D">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催化式燃烧</w:t>
            </w:r>
          </w:p>
        </w:tc>
        <w:tc>
          <w:tcPr>
            <w:tcW w:w="1432" w:type="dxa"/>
            <w:shd w:val="clear" w:color="auto" w:fill="auto"/>
            <w:vAlign w:val="center"/>
          </w:tcPr>
          <w:p w14:paraId="74AEB35A">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膜分离</w:t>
            </w:r>
          </w:p>
        </w:tc>
        <w:tc>
          <w:tcPr>
            <w:tcW w:w="1432" w:type="dxa"/>
            <w:shd w:val="clear" w:color="auto" w:fill="auto"/>
            <w:vAlign w:val="center"/>
          </w:tcPr>
          <w:p w14:paraId="6D23847F">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吸收法</w:t>
            </w:r>
          </w:p>
        </w:tc>
        <w:tc>
          <w:tcPr>
            <w:tcW w:w="1850" w:type="dxa"/>
            <w:shd w:val="clear" w:color="auto" w:fill="auto"/>
            <w:vAlign w:val="center"/>
          </w:tcPr>
          <w:p w14:paraId="069EDF45">
            <w:pPr>
              <w:spacing w:line="400" w:lineRule="exact"/>
              <w:jc w:val="center"/>
              <w:rPr>
                <w:rFonts w:ascii="Times New Roman" w:hAnsi="Times New Roman" w:eastAsia="宋体" w:cs="Times New Roman"/>
                <w:b/>
                <w:sz w:val="18"/>
                <w:szCs w:val="18"/>
              </w:rPr>
            </w:pPr>
            <w:r>
              <w:rPr>
                <w:rFonts w:hint="eastAsia" w:ascii="Times New Roman" w:hAnsi="Times New Roman" w:eastAsia="宋体" w:cs="Times New Roman"/>
                <w:b/>
                <w:sz w:val="18"/>
                <w:szCs w:val="18"/>
              </w:rPr>
              <w:t>备注</w:t>
            </w:r>
          </w:p>
        </w:tc>
      </w:tr>
      <w:tr w14:paraId="74271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C5B8A2E">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有机物是否回收</w:t>
            </w:r>
          </w:p>
        </w:tc>
        <w:tc>
          <w:tcPr>
            <w:tcW w:w="1003" w:type="dxa"/>
            <w:shd w:val="clear" w:color="auto" w:fill="auto"/>
            <w:vAlign w:val="center"/>
          </w:tcPr>
          <w:p w14:paraId="5ED0FB73">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是</w:t>
            </w:r>
          </w:p>
        </w:tc>
        <w:tc>
          <w:tcPr>
            <w:tcW w:w="1432" w:type="dxa"/>
            <w:shd w:val="clear" w:color="auto" w:fill="auto"/>
            <w:vAlign w:val="center"/>
          </w:tcPr>
          <w:p w14:paraId="124B4478">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优选</w:t>
            </w:r>
          </w:p>
        </w:tc>
        <w:tc>
          <w:tcPr>
            <w:tcW w:w="1432" w:type="dxa"/>
            <w:shd w:val="clear" w:color="auto" w:fill="auto"/>
            <w:vAlign w:val="center"/>
          </w:tcPr>
          <w:p w14:paraId="6C8E7354">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FEB3F26">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不适用</w:t>
            </w:r>
          </w:p>
        </w:tc>
        <w:tc>
          <w:tcPr>
            <w:tcW w:w="1432" w:type="dxa"/>
            <w:shd w:val="clear" w:color="auto" w:fill="auto"/>
            <w:vAlign w:val="center"/>
          </w:tcPr>
          <w:p w14:paraId="6EE2625A">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不适用</w:t>
            </w:r>
          </w:p>
        </w:tc>
        <w:tc>
          <w:tcPr>
            <w:tcW w:w="1432" w:type="dxa"/>
            <w:shd w:val="clear" w:color="auto" w:fill="auto"/>
            <w:vAlign w:val="center"/>
          </w:tcPr>
          <w:p w14:paraId="7DE416D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不适用</w:t>
            </w:r>
          </w:p>
        </w:tc>
        <w:tc>
          <w:tcPr>
            <w:tcW w:w="1432" w:type="dxa"/>
            <w:shd w:val="clear" w:color="auto" w:fill="auto"/>
            <w:vAlign w:val="center"/>
          </w:tcPr>
          <w:p w14:paraId="324C675B">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优选</w:t>
            </w:r>
          </w:p>
        </w:tc>
        <w:tc>
          <w:tcPr>
            <w:tcW w:w="1432" w:type="dxa"/>
            <w:shd w:val="clear" w:color="auto" w:fill="auto"/>
            <w:vAlign w:val="center"/>
          </w:tcPr>
          <w:p w14:paraId="3825EBA5">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21CDEDC3">
            <w:pPr>
              <w:spacing w:line="400" w:lineRule="exact"/>
              <w:jc w:val="center"/>
              <w:rPr>
                <w:rFonts w:ascii="Times New Roman" w:hAnsi="Times New Roman" w:eastAsia="宋体" w:cs="Times New Roman"/>
                <w:sz w:val="18"/>
                <w:szCs w:val="18"/>
              </w:rPr>
            </w:pPr>
          </w:p>
        </w:tc>
      </w:tr>
      <w:tr w14:paraId="6375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1B901D3C">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浓度</w:t>
            </w:r>
          </w:p>
        </w:tc>
        <w:tc>
          <w:tcPr>
            <w:tcW w:w="1003" w:type="dxa"/>
            <w:shd w:val="clear" w:color="auto" w:fill="auto"/>
            <w:vAlign w:val="center"/>
          </w:tcPr>
          <w:p w14:paraId="02BE3BE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570D9E41">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优选</w:t>
            </w:r>
          </w:p>
        </w:tc>
        <w:tc>
          <w:tcPr>
            <w:tcW w:w="1432" w:type="dxa"/>
            <w:shd w:val="clear" w:color="auto" w:fill="auto"/>
            <w:vAlign w:val="center"/>
          </w:tcPr>
          <w:p w14:paraId="407D156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9AC0A6F">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7819064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73120C2F">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166A4AC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06C491B0">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3E15C00A">
            <w:pPr>
              <w:spacing w:line="400" w:lineRule="exact"/>
              <w:jc w:val="center"/>
              <w:rPr>
                <w:rFonts w:ascii="Times New Roman" w:hAnsi="Times New Roman" w:eastAsia="宋体" w:cs="Times New Roman"/>
                <w:sz w:val="18"/>
                <w:szCs w:val="18"/>
              </w:rPr>
            </w:pPr>
          </w:p>
        </w:tc>
      </w:tr>
      <w:tr w14:paraId="33CD9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1DACD0A6">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温度</w:t>
            </w:r>
          </w:p>
        </w:tc>
        <w:tc>
          <w:tcPr>
            <w:tcW w:w="1003" w:type="dxa"/>
            <w:shd w:val="clear" w:color="auto" w:fill="auto"/>
            <w:vAlign w:val="center"/>
          </w:tcPr>
          <w:p w14:paraId="09CD3CA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219CD665">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8D9A09C">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6FF331D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5FCB4B7C">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51BBA2D">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3C219E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2869812D">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728D5A49">
            <w:pPr>
              <w:spacing w:line="400" w:lineRule="exact"/>
              <w:jc w:val="center"/>
              <w:rPr>
                <w:rFonts w:ascii="Times New Roman" w:hAnsi="Times New Roman" w:eastAsia="宋体" w:cs="Times New Roman"/>
                <w:sz w:val="18"/>
                <w:szCs w:val="18"/>
              </w:rPr>
            </w:pPr>
          </w:p>
        </w:tc>
      </w:tr>
      <w:tr w14:paraId="4D288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33D96B01">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在溶剂中溶解性</w:t>
            </w:r>
          </w:p>
        </w:tc>
        <w:tc>
          <w:tcPr>
            <w:tcW w:w="1003" w:type="dxa"/>
            <w:shd w:val="clear" w:color="auto" w:fill="auto"/>
            <w:vAlign w:val="center"/>
          </w:tcPr>
          <w:p w14:paraId="36EACA3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685CC3C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9CF5F51">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33887ED8">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676E4D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A359A57">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56EE914">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AF06634">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优选</w:t>
            </w:r>
          </w:p>
        </w:tc>
        <w:tc>
          <w:tcPr>
            <w:tcW w:w="1850" w:type="dxa"/>
            <w:shd w:val="clear" w:color="auto" w:fill="auto"/>
            <w:vAlign w:val="center"/>
          </w:tcPr>
          <w:p w14:paraId="638DACBC">
            <w:pPr>
              <w:spacing w:line="400" w:lineRule="exact"/>
              <w:jc w:val="center"/>
              <w:rPr>
                <w:rFonts w:ascii="Times New Roman" w:hAnsi="Times New Roman" w:eastAsia="宋体" w:cs="Times New Roman"/>
                <w:sz w:val="18"/>
                <w:szCs w:val="18"/>
              </w:rPr>
            </w:pPr>
          </w:p>
        </w:tc>
      </w:tr>
      <w:tr w14:paraId="629A9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278DD97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吸附放热量</w:t>
            </w:r>
          </w:p>
        </w:tc>
        <w:tc>
          <w:tcPr>
            <w:tcW w:w="1003" w:type="dxa"/>
            <w:shd w:val="clear" w:color="auto" w:fill="auto"/>
            <w:vAlign w:val="center"/>
          </w:tcPr>
          <w:p w14:paraId="07DBC10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148928D9">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CF0D79C">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6E8C6026">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1A5181FA">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3F4042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035005B8">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FF80424">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58C39792">
            <w:pPr>
              <w:spacing w:line="400" w:lineRule="exact"/>
              <w:jc w:val="center"/>
              <w:rPr>
                <w:rFonts w:ascii="Times New Roman" w:hAnsi="Times New Roman" w:eastAsia="宋体" w:cs="Times New Roman"/>
                <w:sz w:val="18"/>
                <w:szCs w:val="18"/>
              </w:rPr>
            </w:pPr>
          </w:p>
        </w:tc>
      </w:tr>
      <w:tr w14:paraId="0A085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5FF60497">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吸附后脱附</w:t>
            </w:r>
          </w:p>
        </w:tc>
        <w:tc>
          <w:tcPr>
            <w:tcW w:w="1003" w:type="dxa"/>
            <w:shd w:val="clear" w:color="auto" w:fill="auto"/>
            <w:vAlign w:val="center"/>
          </w:tcPr>
          <w:p w14:paraId="7C1AF49C">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难</w:t>
            </w:r>
          </w:p>
        </w:tc>
        <w:tc>
          <w:tcPr>
            <w:tcW w:w="1432" w:type="dxa"/>
            <w:shd w:val="clear" w:color="auto" w:fill="auto"/>
            <w:vAlign w:val="center"/>
          </w:tcPr>
          <w:p w14:paraId="31270A1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1BC0E1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667494F7">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宜</w:t>
            </w:r>
          </w:p>
        </w:tc>
        <w:tc>
          <w:tcPr>
            <w:tcW w:w="1432" w:type="dxa"/>
            <w:shd w:val="clear" w:color="auto" w:fill="auto"/>
            <w:vAlign w:val="center"/>
          </w:tcPr>
          <w:p w14:paraId="2183AC10">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536C9D9B">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08E71B34">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50B4FD7">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3E02BC8E">
            <w:pPr>
              <w:spacing w:line="400" w:lineRule="exact"/>
              <w:jc w:val="center"/>
              <w:rPr>
                <w:rFonts w:ascii="Times New Roman" w:hAnsi="Times New Roman" w:eastAsia="宋体" w:cs="Times New Roman"/>
                <w:sz w:val="18"/>
                <w:szCs w:val="18"/>
              </w:rPr>
            </w:pPr>
          </w:p>
        </w:tc>
      </w:tr>
      <w:tr w14:paraId="7829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D278520">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含水量</w:t>
            </w:r>
          </w:p>
        </w:tc>
        <w:tc>
          <w:tcPr>
            <w:tcW w:w="1003" w:type="dxa"/>
            <w:shd w:val="clear" w:color="auto" w:fill="auto"/>
            <w:vAlign w:val="center"/>
          </w:tcPr>
          <w:p w14:paraId="702B0D9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3EB63CF1">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04CBB98">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4AC5B273">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1D5BC5C3">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4BE9777">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EC590F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C571A4F">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34994CF3">
            <w:pPr>
              <w:spacing w:line="400" w:lineRule="exact"/>
              <w:jc w:val="center"/>
              <w:rPr>
                <w:rFonts w:ascii="Times New Roman" w:hAnsi="Times New Roman" w:eastAsia="宋体" w:cs="Times New Roman"/>
                <w:sz w:val="18"/>
                <w:szCs w:val="18"/>
              </w:rPr>
            </w:pPr>
          </w:p>
        </w:tc>
      </w:tr>
      <w:tr w14:paraId="02168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7378B35">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含尘土量</w:t>
            </w:r>
          </w:p>
        </w:tc>
        <w:tc>
          <w:tcPr>
            <w:tcW w:w="1003" w:type="dxa"/>
            <w:shd w:val="clear" w:color="auto" w:fill="auto"/>
            <w:vAlign w:val="center"/>
          </w:tcPr>
          <w:p w14:paraId="28E474F4">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5F67827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2105EB0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7B170BF0">
            <w:pPr>
              <w:spacing w:line="400" w:lineRule="exact"/>
              <w:ind w:left="36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3E31FB8F">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1E8C8314">
            <w:pPr>
              <w:spacing w:line="400" w:lineRule="exact"/>
              <w:ind w:left="36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0F8D5FD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3DA2C98B">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291ABECD">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考虑预处理除尘</w:t>
            </w:r>
          </w:p>
        </w:tc>
      </w:tr>
      <w:tr w14:paraId="349CB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357122AB">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排出气净度</w:t>
            </w:r>
          </w:p>
        </w:tc>
        <w:tc>
          <w:tcPr>
            <w:tcW w:w="1003" w:type="dxa"/>
            <w:shd w:val="clear" w:color="auto" w:fill="auto"/>
            <w:vAlign w:val="center"/>
          </w:tcPr>
          <w:p w14:paraId="504BDB4E">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高</w:t>
            </w:r>
          </w:p>
        </w:tc>
        <w:tc>
          <w:tcPr>
            <w:tcW w:w="1432" w:type="dxa"/>
            <w:shd w:val="clear" w:color="auto" w:fill="auto"/>
            <w:vAlign w:val="center"/>
          </w:tcPr>
          <w:p w14:paraId="0929205F">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09CB989C">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2AA3FB5">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385AF4F2">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473BADD">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36D466A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0D741C79">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3A74F9B7">
            <w:pPr>
              <w:spacing w:line="400" w:lineRule="exact"/>
              <w:jc w:val="center"/>
              <w:rPr>
                <w:rFonts w:ascii="Times New Roman" w:hAnsi="Times New Roman" w:eastAsia="宋体" w:cs="Times New Roman"/>
                <w:sz w:val="18"/>
                <w:szCs w:val="18"/>
              </w:rPr>
            </w:pPr>
          </w:p>
        </w:tc>
      </w:tr>
      <w:tr w14:paraId="41632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C3E054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膜选择性差异</w:t>
            </w:r>
          </w:p>
        </w:tc>
        <w:tc>
          <w:tcPr>
            <w:tcW w:w="1003" w:type="dxa"/>
            <w:shd w:val="clear" w:color="auto" w:fill="auto"/>
            <w:vAlign w:val="center"/>
          </w:tcPr>
          <w:p w14:paraId="725DB5E1">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大</w:t>
            </w:r>
          </w:p>
        </w:tc>
        <w:tc>
          <w:tcPr>
            <w:tcW w:w="1432" w:type="dxa"/>
            <w:shd w:val="clear" w:color="auto" w:fill="auto"/>
            <w:vAlign w:val="center"/>
          </w:tcPr>
          <w:p w14:paraId="10177C64">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00BC159">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0E0555F1">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DBEB38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7FA05A2">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DB6C52E">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宜</w:t>
            </w:r>
          </w:p>
        </w:tc>
        <w:tc>
          <w:tcPr>
            <w:tcW w:w="1432" w:type="dxa"/>
            <w:shd w:val="clear" w:color="auto" w:fill="auto"/>
            <w:vAlign w:val="center"/>
          </w:tcPr>
          <w:p w14:paraId="17B771CC">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73954ACA">
            <w:pPr>
              <w:spacing w:line="400" w:lineRule="exact"/>
              <w:jc w:val="center"/>
              <w:rPr>
                <w:rFonts w:ascii="Times New Roman" w:hAnsi="Times New Roman" w:eastAsia="宋体" w:cs="Times New Roman"/>
                <w:sz w:val="18"/>
                <w:szCs w:val="18"/>
              </w:rPr>
            </w:pPr>
          </w:p>
        </w:tc>
      </w:tr>
      <w:tr w14:paraId="4695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135A1E05">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气流、组成等波动</w:t>
            </w:r>
          </w:p>
        </w:tc>
        <w:tc>
          <w:tcPr>
            <w:tcW w:w="1003" w:type="dxa"/>
            <w:shd w:val="clear" w:color="auto" w:fill="auto"/>
            <w:vAlign w:val="center"/>
          </w:tcPr>
          <w:p w14:paraId="033E737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大</w:t>
            </w:r>
          </w:p>
        </w:tc>
        <w:tc>
          <w:tcPr>
            <w:tcW w:w="1432" w:type="dxa"/>
            <w:shd w:val="clear" w:color="auto" w:fill="auto"/>
            <w:vAlign w:val="center"/>
          </w:tcPr>
          <w:p w14:paraId="0DDF96C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55A8639A">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3801FFD6">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3FC07601">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557BE638">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0D3BD4BA">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B5CAA01">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3CF2B850">
            <w:pPr>
              <w:spacing w:line="400" w:lineRule="exact"/>
              <w:jc w:val="center"/>
              <w:rPr>
                <w:rFonts w:ascii="Times New Roman" w:hAnsi="Times New Roman" w:eastAsia="宋体" w:cs="Times New Roman"/>
                <w:sz w:val="18"/>
                <w:szCs w:val="18"/>
              </w:rPr>
            </w:pPr>
          </w:p>
        </w:tc>
      </w:tr>
      <w:tr w14:paraId="35E36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64CD22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聚合活性</w:t>
            </w:r>
          </w:p>
        </w:tc>
        <w:tc>
          <w:tcPr>
            <w:tcW w:w="1003" w:type="dxa"/>
            <w:shd w:val="clear" w:color="auto" w:fill="auto"/>
            <w:vAlign w:val="center"/>
          </w:tcPr>
          <w:p w14:paraId="7C264BD9">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大</w:t>
            </w:r>
          </w:p>
        </w:tc>
        <w:tc>
          <w:tcPr>
            <w:tcW w:w="1432" w:type="dxa"/>
            <w:shd w:val="clear" w:color="auto" w:fill="auto"/>
            <w:vAlign w:val="center"/>
          </w:tcPr>
          <w:p w14:paraId="6438BA71">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6F556F91">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3BA60ACE">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6BF967B6">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5A0C9A04">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307D70A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5758AC42">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7FD55323">
            <w:pPr>
              <w:spacing w:line="400" w:lineRule="exact"/>
              <w:jc w:val="center"/>
              <w:rPr>
                <w:rFonts w:ascii="Times New Roman" w:hAnsi="Times New Roman" w:eastAsia="宋体" w:cs="Times New Roman"/>
                <w:sz w:val="18"/>
                <w:szCs w:val="18"/>
              </w:rPr>
            </w:pPr>
          </w:p>
        </w:tc>
      </w:tr>
      <w:tr w14:paraId="1C27D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44" w:type="dxa"/>
            <w:shd w:val="clear" w:color="auto" w:fill="auto"/>
            <w:vAlign w:val="center"/>
          </w:tcPr>
          <w:p w14:paraId="70D50E03">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含硫/磷/硅/卤素/金属</w:t>
            </w:r>
          </w:p>
        </w:tc>
        <w:tc>
          <w:tcPr>
            <w:tcW w:w="1003" w:type="dxa"/>
            <w:shd w:val="clear" w:color="auto" w:fill="auto"/>
            <w:vAlign w:val="center"/>
          </w:tcPr>
          <w:p w14:paraId="38878938">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是</w:t>
            </w:r>
          </w:p>
        </w:tc>
        <w:tc>
          <w:tcPr>
            <w:tcW w:w="1432" w:type="dxa"/>
            <w:shd w:val="clear" w:color="auto" w:fill="auto"/>
            <w:vAlign w:val="center"/>
          </w:tcPr>
          <w:p w14:paraId="42A7F40C">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04A4DDF">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7D9A31DC">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1F77BA90">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4F3CE088">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不宜</w:t>
            </w:r>
          </w:p>
        </w:tc>
        <w:tc>
          <w:tcPr>
            <w:tcW w:w="1432" w:type="dxa"/>
            <w:shd w:val="clear" w:color="auto" w:fill="auto"/>
            <w:vAlign w:val="center"/>
          </w:tcPr>
          <w:p w14:paraId="6D7EA06A">
            <w:pPr>
              <w:spacing w:line="400" w:lineRule="exact"/>
              <w:jc w:val="center"/>
              <w:rPr>
                <w:rFonts w:ascii="Times New Roman" w:hAnsi="Times New Roman" w:eastAsia="宋体" w:cs="Times New Roman"/>
                <w:sz w:val="18"/>
                <w:szCs w:val="18"/>
              </w:rPr>
            </w:pPr>
          </w:p>
        </w:tc>
        <w:tc>
          <w:tcPr>
            <w:tcW w:w="1432" w:type="dxa"/>
            <w:shd w:val="clear" w:color="auto" w:fill="auto"/>
            <w:vAlign w:val="center"/>
          </w:tcPr>
          <w:p w14:paraId="2DDCE8A3">
            <w:pPr>
              <w:spacing w:line="400" w:lineRule="exact"/>
              <w:jc w:val="center"/>
              <w:rPr>
                <w:rFonts w:ascii="Times New Roman" w:hAnsi="Times New Roman" w:eastAsia="宋体" w:cs="Times New Roman"/>
                <w:sz w:val="18"/>
                <w:szCs w:val="18"/>
              </w:rPr>
            </w:pPr>
          </w:p>
        </w:tc>
        <w:tc>
          <w:tcPr>
            <w:tcW w:w="1850" w:type="dxa"/>
            <w:shd w:val="clear" w:color="auto" w:fill="auto"/>
            <w:vAlign w:val="center"/>
          </w:tcPr>
          <w:p w14:paraId="2F70F9B2">
            <w:pPr>
              <w:spacing w:line="40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需选用耐中毒催化剂</w:t>
            </w:r>
          </w:p>
        </w:tc>
      </w:tr>
    </w:tbl>
    <w:p w14:paraId="44B78EBF">
      <w:pPr>
        <w:widowControl/>
        <w:spacing w:line="440" w:lineRule="exact"/>
        <w:ind w:firstLine="420" w:firstLineChars="200"/>
        <w:jc w:val="left"/>
      </w:pPr>
    </w:p>
    <w:sectPr>
      <w:pgSz w:w="16838" w:h="11906" w:orient="landscape"/>
      <w:pgMar w:top="1440" w:right="1009" w:bottom="1440"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5404E">
    <w:pPr>
      <w:pStyle w:val="20"/>
      <w:jc w:val="right"/>
    </w:pPr>
  </w:p>
  <w:p w14:paraId="17B0CF7F">
    <w:pPr>
      <w:pStyle w:val="2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4D932">
    <w:pPr>
      <w:pStyle w:val="20"/>
      <w:framePr w:wrap="around" w:vAnchor="text" w:hAnchor="margin" w:xAlign="right" w:y="1"/>
      <w:rPr>
        <w:rStyle w:val="34"/>
      </w:rPr>
    </w:pPr>
    <w:r>
      <w:rPr>
        <w:rStyle w:val="34"/>
      </w:rPr>
      <w:fldChar w:fldCharType="begin"/>
    </w:r>
    <w:r>
      <w:rPr>
        <w:rStyle w:val="34"/>
      </w:rPr>
      <w:instrText xml:space="preserve">PAGE  </w:instrText>
    </w:r>
    <w:r>
      <w:rPr>
        <w:rStyle w:val="34"/>
      </w:rPr>
      <w:fldChar w:fldCharType="end"/>
    </w:r>
  </w:p>
  <w:p w14:paraId="56ED195F">
    <w:pPr>
      <w:pStyle w:val="2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1257966"/>
      <w:docPartObj>
        <w:docPartGallery w:val="autotext"/>
      </w:docPartObj>
    </w:sdtPr>
    <w:sdtContent>
      <w:p w14:paraId="0A5B93C9">
        <w:pPr>
          <w:pStyle w:val="20"/>
          <w:jc w:val="right"/>
        </w:pPr>
        <w:r>
          <w:fldChar w:fldCharType="begin"/>
        </w:r>
        <w:r>
          <w:instrText xml:space="preserve">PAGE   \* MERGEFORMAT</w:instrText>
        </w:r>
        <w:r>
          <w:fldChar w:fldCharType="separate"/>
        </w:r>
        <w:r>
          <w:rPr>
            <w:lang w:val="zh-CN"/>
          </w:rPr>
          <w:t>20</w:t>
        </w:r>
        <w:r>
          <w:fldChar w:fldCharType="end"/>
        </w:r>
      </w:p>
    </w:sdtContent>
  </w:sdt>
  <w:p w14:paraId="76413DB0">
    <w:pPr>
      <w:pStyle w:val="2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78A57">
    <w:pPr>
      <w:ind w:firstLine="482"/>
      <w:rPr>
        <w:b/>
        <w:bCs/>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F2423">
    <w:pPr>
      <w:pStyle w:val="2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6A12F">
    <w:pPr>
      <w:pStyle w:val="2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A47BC"/>
    <w:multiLevelType w:val="multilevel"/>
    <w:tmpl w:val="03EA47BC"/>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pStyle w:val="56"/>
      <w:suff w:val="space"/>
      <w:lvlText w:val="%1.%2.%3"/>
      <w:lvlJc w:val="left"/>
      <w:pPr>
        <w:ind w:left="1418" w:hanging="567"/>
      </w:pPr>
      <w:rPr>
        <w:rFonts w:hint="default" w:eastAsia="黑体" w:asciiTheme="minorHAnsi" w:hAnsiTheme="minorHAnsi" w:cstheme="minorHAnsi"/>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B7E0250"/>
    <w:multiLevelType w:val="multilevel"/>
    <w:tmpl w:val="0B7E0250"/>
    <w:lvl w:ilvl="0" w:tentative="0">
      <w:start w:val="1"/>
      <w:numFmt w:val="decimal"/>
      <w:lvlText w:val="%1)"/>
      <w:lvlJc w:val="left"/>
      <w:pPr>
        <w:ind w:left="418" w:hanging="420"/>
      </w:pPr>
    </w:lvl>
    <w:lvl w:ilvl="1" w:tentative="0">
      <w:start w:val="1"/>
      <w:numFmt w:val="decimal"/>
      <w:lvlText w:val="%2)"/>
      <w:lvlJc w:val="left"/>
      <w:pPr>
        <w:ind w:left="838" w:hanging="420"/>
      </w:pPr>
    </w:lvl>
    <w:lvl w:ilvl="2" w:tentative="0">
      <w:start w:val="1"/>
      <w:numFmt w:val="decimal"/>
      <w:lvlText w:val="%3."/>
      <w:lvlJc w:val="left"/>
      <w:pPr>
        <w:ind w:left="1258" w:hanging="420"/>
      </w:pPr>
      <w:rPr>
        <w:rFonts w:hint="default"/>
      </w:r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2">
    <w:nsid w:val="1FC91163"/>
    <w:multiLevelType w:val="multilevel"/>
    <w:tmpl w:val="1FC91163"/>
    <w:lvl w:ilvl="0" w:tentative="0">
      <w:start w:val="1"/>
      <w:numFmt w:val="decimal"/>
      <w:pStyle w:val="79"/>
      <w:suff w:val="nothing"/>
      <w:lvlText w:val="%1　"/>
      <w:lvlJc w:val="left"/>
      <w:pPr>
        <w:ind w:left="1560" w:firstLine="0"/>
      </w:pPr>
      <w:rPr>
        <w:rFonts w:hint="eastAsia" w:ascii="黑体" w:hAnsi="Times New Roman" w:eastAsia="黑体"/>
        <w:b w:val="0"/>
        <w:i w:val="0"/>
        <w:sz w:val="21"/>
        <w:szCs w:val="21"/>
      </w:rPr>
    </w:lvl>
    <w:lvl w:ilvl="1" w:tentative="0">
      <w:start w:val="1"/>
      <w:numFmt w:val="decimal"/>
      <w:pStyle w:val="7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7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78"/>
      <w:suff w:val="nothing"/>
      <w:lvlText w:val="%1.%2.%3.%4.%5　"/>
      <w:lvlJc w:val="left"/>
      <w:pPr>
        <w:ind w:left="0" w:firstLine="0"/>
      </w:pPr>
      <w:rPr>
        <w:rFonts w:hint="eastAsia" w:ascii="黑体" w:hAnsi="Times New Roman" w:eastAsia="黑体"/>
        <w:b w:val="0"/>
        <w:i w:val="0"/>
        <w:sz w:val="21"/>
      </w:rPr>
    </w:lvl>
    <w:lvl w:ilvl="5" w:tentative="0">
      <w:start w:val="1"/>
      <w:numFmt w:val="decimal"/>
      <w:pStyle w:val="80"/>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815157C"/>
    <w:multiLevelType w:val="multilevel"/>
    <w:tmpl w:val="4815157C"/>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pStyle w:val="55"/>
      <w:lvlText w:val="%1.%2.%3"/>
      <w:lvlJc w:val="left"/>
      <w:pPr>
        <w:ind w:left="1418" w:hanging="567"/>
      </w:pPr>
      <w:rPr>
        <w:rFonts w:hint="default" w:eastAsia="黑体" w:asciiTheme="minorHAnsi" w:hAnsiTheme="minorHAnsi" w:cstheme="minorHAnsi"/>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pStyle w:val="7"/>
      <w:lvlText w:val="%1.%2.%3.%4.%5.%6"/>
      <w:lvlJc w:val="left"/>
      <w:pPr>
        <w:ind w:left="3260" w:hanging="1134"/>
      </w:pPr>
      <w:rPr>
        <w:rFonts w:hint="eastAsia"/>
      </w:rPr>
    </w:lvl>
    <w:lvl w:ilvl="6" w:tentative="0">
      <w:start w:val="1"/>
      <w:numFmt w:val="decimal"/>
      <w:pStyle w:val="8"/>
      <w:lvlText w:val="%1.%2.%3.%4.%5.%6.%7"/>
      <w:lvlJc w:val="left"/>
      <w:pPr>
        <w:ind w:left="3827" w:hanging="1276"/>
      </w:pPr>
      <w:rPr>
        <w:rFonts w:hint="eastAsia"/>
      </w:rPr>
    </w:lvl>
    <w:lvl w:ilvl="7" w:tentative="0">
      <w:start w:val="1"/>
      <w:numFmt w:val="decimal"/>
      <w:pStyle w:val="9"/>
      <w:lvlText w:val="%1.%2.%3.%4.%5.%6.%7.%8"/>
      <w:lvlJc w:val="left"/>
      <w:pPr>
        <w:ind w:left="4394" w:hanging="1418"/>
      </w:pPr>
      <w:rPr>
        <w:rFonts w:hint="eastAsia"/>
      </w:rPr>
    </w:lvl>
    <w:lvl w:ilvl="8" w:tentative="0">
      <w:start w:val="1"/>
      <w:numFmt w:val="decimal"/>
      <w:pStyle w:val="10"/>
      <w:lvlText w:val="%1.%2.%3.%4.%5.%6.%7.%8.%9"/>
      <w:lvlJc w:val="left"/>
      <w:pPr>
        <w:ind w:left="5102" w:hanging="1700"/>
      </w:pPr>
      <w:rPr>
        <w:rFonts w:hint="eastAsia"/>
      </w:rPr>
    </w:lvl>
  </w:abstractNum>
  <w:abstractNum w:abstractNumId="4">
    <w:nsid w:val="764F0EB4"/>
    <w:multiLevelType w:val="multilevel"/>
    <w:tmpl w:val="764F0EB4"/>
    <w:lvl w:ilvl="0" w:tentative="0">
      <w:start w:val="1"/>
      <w:numFmt w:val="decimal"/>
      <w:lvlText w:val="%1"/>
      <w:lvlJc w:val="center"/>
      <w:pPr>
        <w:ind w:left="418" w:hanging="420"/>
      </w:pPr>
      <w:rPr>
        <w:rFonts w:hint="eastAsia"/>
      </w:rPr>
    </w:lvl>
    <w:lvl w:ilvl="1" w:tentative="0">
      <w:start w:val="1"/>
      <w:numFmt w:val="decimal"/>
      <w:lvlText w:val="%2）"/>
      <w:lvlJc w:val="left"/>
      <w:pPr>
        <w:ind w:left="838" w:hanging="420"/>
      </w:pPr>
      <w:rPr>
        <w:rFonts w:hint="default"/>
      </w:r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mYTI5ODQxNTI3NDVjODkyNDJmNTA4ZTcyZWI3ZTIifQ=="/>
  </w:docVars>
  <w:rsids>
    <w:rsidRoot w:val="00341639"/>
    <w:rsid w:val="00000231"/>
    <w:rsid w:val="000016E7"/>
    <w:rsid w:val="00001A21"/>
    <w:rsid w:val="0000281D"/>
    <w:rsid w:val="00002982"/>
    <w:rsid w:val="00003EFB"/>
    <w:rsid w:val="00004377"/>
    <w:rsid w:val="00004D2B"/>
    <w:rsid w:val="00004F96"/>
    <w:rsid w:val="0000520F"/>
    <w:rsid w:val="00005250"/>
    <w:rsid w:val="00005278"/>
    <w:rsid w:val="000056A8"/>
    <w:rsid w:val="00005779"/>
    <w:rsid w:val="0000607C"/>
    <w:rsid w:val="00006299"/>
    <w:rsid w:val="00006ADD"/>
    <w:rsid w:val="000070E7"/>
    <w:rsid w:val="00007129"/>
    <w:rsid w:val="0001128D"/>
    <w:rsid w:val="00011477"/>
    <w:rsid w:val="000125E6"/>
    <w:rsid w:val="00012AA2"/>
    <w:rsid w:val="00012F28"/>
    <w:rsid w:val="000130BE"/>
    <w:rsid w:val="000141F6"/>
    <w:rsid w:val="00014368"/>
    <w:rsid w:val="000146B0"/>
    <w:rsid w:val="00014E29"/>
    <w:rsid w:val="00015263"/>
    <w:rsid w:val="000158EF"/>
    <w:rsid w:val="00015DB1"/>
    <w:rsid w:val="00015EF7"/>
    <w:rsid w:val="00016CF5"/>
    <w:rsid w:val="00016EF0"/>
    <w:rsid w:val="00017337"/>
    <w:rsid w:val="00017E01"/>
    <w:rsid w:val="0002049F"/>
    <w:rsid w:val="00020955"/>
    <w:rsid w:val="00021841"/>
    <w:rsid w:val="00021CA9"/>
    <w:rsid w:val="00023367"/>
    <w:rsid w:val="000235B2"/>
    <w:rsid w:val="00023999"/>
    <w:rsid w:val="000239CC"/>
    <w:rsid w:val="00023B0C"/>
    <w:rsid w:val="00023DCF"/>
    <w:rsid w:val="00023E04"/>
    <w:rsid w:val="0002407A"/>
    <w:rsid w:val="00024D80"/>
    <w:rsid w:val="00025094"/>
    <w:rsid w:val="00025831"/>
    <w:rsid w:val="000258CE"/>
    <w:rsid w:val="00026152"/>
    <w:rsid w:val="00026C4D"/>
    <w:rsid w:val="000271BC"/>
    <w:rsid w:val="0002760F"/>
    <w:rsid w:val="00027D22"/>
    <w:rsid w:val="000308CE"/>
    <w:rsid w:val="00030E6D"/>
    <w:rsid w:val="00030ED7"/>
    <w:rsid w:val="000312A1"/>
    <w:rsid w:val="00031410"/>
    <w:rsid w:val="000314A8"/>
    <w:rsid w:val="000318B5"/>
    <w:rsid w:val="00032392"/>
    <w:rsid w:val="00033900"/>
    <w:rsid w:val="00034593"/>
    <w:rsid w:val="00034916"/>
    <w:rsid w:val="000349E6"/>
    <w:rsid w:val="00034C1E"/>
    <w:rsid w:val="00034CE2"/>
    <w:rsid w:val="00034D76"/>
    <w:rsid w:val="000354BD"/>
    <w:rsid w:val="000357D3"/>
    <w:rsid w:val="00035E7C"/>
    <w:rsid w:val="00036013"/>
    <w:rsid w:val="000365AB"/>
    <w:rsid w:val="00036696"/>
    <w:rsid w:val="000374FA"/>
    <w:rsid w:val="00037614"/>
    <w:rsid w:val="000379C1"/>
    <w:rsid w:val="00037BC2"/>
    <w:rsid w:val="00037D65"/>
    <w:rsid w:val="00040807"/>
    <w:rsid w:val="0004210B"/>
    <w:rsid w:val="000423DA"/>
    <w:rsid w:val="00042E18"/>
    <w:rsid w:val="00042E86"/>
    <w:rsid w:val="000439F5"/>
    <w:rsid w:val="0004484C"/>
    <w:rsid w:val="00045631"/>
    <w:rsid w:val="000458DA"/>
    <w:rsid w:val="00045A2B"/>
    <w:rsid w:val="00045F6E"/>
    <w:rsid w:val="00045FA1"/>
    <w:rsid w:val="000462C5"/>
    <w:rsid w:val="0004646B"/>
    <w:rsid w:val="000466DC"/>
    <w:rsid w:val="000468E6"/>
    <w:rsid w:val="00046D4F"/>
    <w:rsid w:val="0004791C"/>
    <w:rsid w:val="00047CFF"/>
    <w:rsid w:val="00047D34"/>
    <w:rsid w:val="00050E9D"/>
    <w:rsid w:val="00052344"/>
    <w:rsid w:val="0005248C"/>
    <w:rsid w:val="000529C1"/>
    <w:rsid w:val="00052B9A"/>
    <w:rsid w:val="00052C80"/>
    <w:rsid w:val="00052FAC"/>
    <w:rsid w:val="000540F2"/>
    <w:rsid w:val="000547A9"/>
    <w:rsid w:val="00054832"/>
    <w:rsid w:val="00054CC0"/>
    <w:rsid w:val="00054E0D"/>
    <w:rsid w:val="00055FE7"/>
    <w:rsid w:val="00056120"/>
    <w:rsid w:val="00056198"/>
    <w:rsid w:val="000566F4"/>
    <w:rsid w:val="00056E6B"/>
    <w:rsid w:val="00057126"/>
    <w:rsid w:val="00057AD4"/>
    <w:rsid w:val="00057B31"/>
    <w:rsid w:val="00057E18"/>
    <w:rsid w:val="00060466"/>
    <w:rsid w:val="00060562"/>
    <w:rsid w:val="0006135A"/>
    <w:rsid w:val="0006148F"/>
    <w:rsid w:val="00061615"/>
    <w:rsid w:val="00061855"/>
    <w:rsid w:val="000619A4"/>
    <w:rsid w:val="00061B87"/>
    <w:rsid w:val="00061C1C"/>
    <w:rsid w:val="00061ED5"/>
    <w:rsid w:val="000640BF"/>
    <w:rsid w:val="00064443"/>
    <w:rsid w:val="000644C7"/>
    <w:rsid w:val="000644F9"/>
    <w:rsid w:val="00064C3D"/>
    <w:rsid w:val="00064CFD"/>
    <w:rsid w:val="000658A4"/>
    <w:rsid w:val="000658F1"/>
    <w:rsid w:val="00065EC4"/>
    <w:rsid w:val="00065EF8"/>
    <w:rsid w:val="00065F5F"/>
    <w:rsid w:val="00066772"/>
    <w:rsid w:val="000670D4"/>
    <w:rsid w:val="00067810"/>
    <w:rsid w:val="000700AE"/>
    <w:rsid w:val="000712D8"/>
    <w:rsid w:val="00071383"/>
    <w:rsid w:val="0007194E"/>
    <w:rsid w:val="00071F23"/>
    <w:rsid w:val="000722EC"/>
    <w:rsid w:val="00073457"/>
    <w:rsid w:val="00073673"/>
    <w:rsid w:val="00073AF1"/>
    <w:rsid w:val="00073E2D"/>
    <w:rsid w:val="00073E6B"/>
    <w:rsid w:val="00074433"/>
    <w:rsid w:val="0007483E"/>
    <w:rsid w:val="0007503E"/>
    <w:rsid w:val="000750F6"/>
    <w:rsid w:val="000751E9"/>
    <w:rsid w:val="00075314"/>
    <w:rsid w:val="00075BDC"/>
    <w:rsid w:val="00075BF5"/>
    <w:rsid w:val="00075C20"/>
    <w:rsid w:val="00075E2B"/>
    <w:rsid w:val="0007610D"/>
    <w:rsid w:val="000768E9"/>
    <w:rsid w:val="0007755B"/>
    <w:rsid w:val="00077B2D"/>
    <w:rsid w:val="000800B6"/>
    <w:rsid w:val="00080107"/>
    <w:rsid w:val="00080504"/>
    <w:rsid w:val="000807F6"/>
    <w:rsid w:val="000808D6"/>
    <w:rsid w:val="0008191C"/>
    <w:rsid w:val="00081ED4"/>
    <w:rsid w:val="00081F0E"/>
    <w:rsid w:val="00082067"/>
    <w:rsid w:val="000826EE"/>
    <w:rsid w:val="00083394"/>
    <w:rsid w:val="00083EED"/>
    <w:rsid w:val="0008449C"/>
    <w:rsid w:val="000849AC"/>
    <w:rsid w:val="00084AE1"/>
    <w:rsid w:val="00084B0A"/>
    <w:rsid w:val="00084D18"/>
    <w:rsid w:val="00084DD2"/>
    <w:rsid w:val="000857FE"/>
    <w:rsid w:val="00085822"/>
    <w:rsid w:val="00085905"/>
    <w:rsid w:val="00085B7D"/>
    <w:rsid w:val="00085C8F"/>
    <w:rsid w:val="00086738"/>
    <w:rsid w:val="00086C36"/>
    <w:rsid w:val="00086EB7"/>
    <w:rsid w:val="00086FE8"/>
    <w:rsid w:val="0008768F"/>
    <w:rsid w:val="00090279"/>
    <w:rsid w:val="00091239"/>
    <w:rsid w:val="00091329"/>
    <w:rsid w:val="00091CC2"/>
    <w:rsid w:val="00092215"/>
    <w:rsid w:val="000923DA"/>
    <w:rsid w:val="000927DD"/>
    <w:rsid w:val="000929D4"/>
    <w:rsid w:val="000929EF"/>
    <w:rsid w:val="00093236"/>
    <w:rsid w:val="00093F7C"/>
    <w:rsid w:val="00094176"/>
    <w:rsid w:val="0009424D"/>
    <w:rsid w:val="000942C9"/>
    <w:rsid w:val="00094747"/>
    <w:rsid w:val="00094AA8"/>
    <w:rsid w:val="000955C2"/>
    <w:rsid w:val="00095AA5"/>
    <w:rsid w:val="00096165"/>
    <w:rsid w:val="000965CC"/>
    <w:rsid w:val="00096C10"/>
    <w:rsid w:val="00097225"/>
    <w:rsid w:val="000972C8"/>
    <w:rsid w:val="00097579"/>
    <w:rsid w:val="00097A74"/>
    <w:rsid w:val="00097C06"/>
    <w:rsid w:val="000A03BD"/>
    <w:rsid w:val="000A1118"/>
    <w:rsid w:val="000A15B2"/>
    <w:rsid w:val="000A2292"/>
    <w:rsid w:val="000A2552"/>
    <w:rsid w:val="000A2E7A"/>
    <w:rsid w:val="000A37F9"/>
    <w:rsid w:val="000A43E9"/>
    <w:rsid w:val="000A4461"/>
    <w:rsid w:val="000A44A6"/>
    <w:rsid w:val="000A495B"/>
    <w:rsid w:val="000A509A"/>
    <w:rsid w:val="000A560B"/>
    <w:rsid w:val="000A601B"/>
    <w:rsid w:val="000A61F2"/>
    <w:rsid w:val="000A64E9"/>
    <w:rsid w:val="000A6CFC"/>
    <w:rsid w:val="000A75C8"/>
    <w:rsid w:val="000A77A7"/>
    <w:rsid w:val="000A7CA8"/>
    <w:rsid w:val="000A7F8B"/>
    <w:rsid w:val="000A7FDA"/>
    <w:rsid w:val="000B0210"/>
    <w:rsid w:val="000B0BD8"/>
    <w:rsid w:val="000B103A"/>
    <w:rsid w:val="000B1960"/>
    <w:rsid w:val="000B2484"/>
    <w:rsid w:val="000B24D4"/>
    <w:rsid w:val="000B3383"/>
    <w:rsid w:val="000B35E7"/>
    <w:rsid w:val="000B36F7"/>
    <w:rsid w:val="000B3703"/>
    <w:rsid w:val="000B3742"/>
    <w:rsid w:val="000B389C"/>
    <w:rsid w:val="000B3DA9"/>
    <w:rsid w:val="000B400C"/>
    <w:rsid w:val="000B4338"/>
    <w:rsid w:val="000B451B"/>
    <w:rsid w:val="000B4D9B"/>
    <w:rsid w:val="000B4F18"/>
    <w:rsid w:val="000B5849"/>
    <w:rsid w:val="000B5A13"/>
    <w:rsid w:val="000B5BB2"/>
    <w:rsid w:val="000B5D49"/>
    <w:rsid w:val="000B5EF0"/>
    <w:rsid w:val="000B6199"/>
    <w:rsid w:val="000B62F4"/>
    <w:rsid w:val="000B6497"/>
    <w:rsid w:val="000B6770"/>
    <w:rsid w:val="000B6A13"/>
    <w:rsid w:val="000B6F30"/>
    <w:rsid w:val="000B73C2"/>
    <w:rsid w:val="000B740E"/>
    <w:rsid w:val="000B7411"/>
    <w:rsid w:val="000B754C"/>
    <w:rsid w:val="000B76E6"/>
    <w:rsid w:val="000B7710"/>
    <w:rsid w:val="000B7E29"/>
    <w:rsid w:val="000B7E94"/>
    <w:rsid w:val="000C0104"/>
    <w:rsid w:val="000C0169"/>
    <w:rsid w:val="000C0B0B"/>
    <w:rsid w:val="000C0B5E"/>
    <w:rsid w:val="000C123F"/>
    <w:rsid w:val="000C172B"/>
    <w:rsid w:val="000C1A2C"/>
    <w:rsid w:val="000C2B82"/>
    <w:rsid w:val="000C313B"/>
    <w:rsid w:val="000C333B"/>
    <w:rsid w:val="000C33DF"/>
    <w:rsid w:val="000C3616"/>
    <w:rsid w:val="000C38AF"/>
    <w:rsid w:val="000C425B"/>
    <w:rsid w:val="000C42D0"/>
    <w:rsid w:val="000C432D"/>
    <w:rsid w:val="000C44D3"/>
    <w:rsid w:val="000C464C"/>
    <w:rsid w:val="000C4B52"/>
    <w:rsid w:val="000C4BD9"/>
    <w:rsid w:val="000C5258"/>
    <w:rsid w:val="000C5B5F"/>
    <w:rsid w:val="000C5D79"/>
    <w:rsid w:val="000C606F"/>
    <w:rsid w:val="000C60C3"/>
    <w:rsid w:val="000C6595"/>
    <w:rsid w:val="000C6D70"/>
    <w:rsid w:val="000C74E6"/>
    <w:rsid w:val="000C758D"/>
    <w:rsid w:val="000D006D"/>
    <w:rsid w:val="000D0246"/>
    <w:rsid w:val="000D06F6"/>
    <w:rsid w:val="000D0BA4"/>
    <w:rsid w:val="000D0C6A"/>
    <w:rsid w:val="000D0FC6"/>
    <w:rsid w:val="000D111D"/>
    <w:rsid w:val="000D1C7F"/>
    <w:rsid w:val="000D21DD"/>
    <w:rsid w:val="000D295C"/>
    <w:rsid w:val="000D2AFF"/>
    <w:rsid w:val="000D2C1B"/>
    <w:rsid w:val="000D2D3F"/>
    <w:rsid w:val="000D3048"/>
    <w:rsid w:val="000D31A2"/>
    <w:rsid w:val="000D3227"/>
    <w:rsid w:val="000D328B"/>
    <w:rsid w:val="000D3364"/>
    <w:rsid w:val="000D48FD"/>
    <w:rsid w:val="000D4F3C"/>
    <w:rsid w:val="000D5099"/>
    <w:rsid w:val="000D511F"/>
    <w:rsid w:val="000D6245"/>
    <w:rsid w:val="000D653B"/>
    <w:rsid w:val="000D6611"/>
    <w:rsid w:val="000D6811"/>
    <w:rsid w:val="000D70E4"/>
    <w:rsid w:val="000D73B9"/>
    <w:rsid w:val="000D798B"/>
    <w:rsid w:val="000D7E8C"/>
    <w:rsid w:val="000E0D2E"/>
    <w:rsid w:val="000E1368"/>
    <w:rsid w:val="000E2121"/>
    <w:rsid w:val="000E2487"/>
    <w:rsid w:val="000E2645"/>
    <w:rsid w:val="000E264F"/>
    <w:rsid w:val="000E26CC"/>
    <w:rsid w:val="000E3036"/>
    <w:rsid w:val="000E30B0"/>
    <w:rsid w:val="000E312C"/>
    <w:rsid w:val="000E3C2B"/>
    <w:rsid w:val="000E3F9D"/>
    <w:rsid w:val="000E47A6"/>
    <w:rsid w:val="000E4DC1"/>
    <w:rsid w:val="000E4DFA"/>
    <w:rsid w:val="000E4E4F"/>
    <w:rsid w:val="000E50EE"/>
    <w:rsid w:val="000E54FE"/>
    <w:rsid w:val="000E55EA"/>
    <w:rsid w:val="000E5C55"/>
    <w:rsid w:val="000E6992"/>
    <w:rsid w:val="000E6CD2"/>
    <w:rsid w:val="000E7999"/>
    <w:rsid w:val="000E7D8D"/>
    <w:rsid w:val="000F108F"/>
    <w:rsid w:val="000F10C8"/>
    <w:rsid w:val="000F1375"/>
    <w:rsid w:val="000F15FC"/>
    <w:rsid w:val="000F1652"/>
    <w:rsid w:val="000F19F7"/>
    <w:rsid w:val="000F1D6B"/>
    <w:rsid w:val="000F1E7C"/>
    <w:rsid w:val="000F2338"/>
    <w:rsid w:val="000F2919"/>
    <w:rsid w:val="000F41E5"/>
    <w:rsid w:val="000F4444"/>
    <w:rsid w:val="000F4ABB"/>
    <w:rsid w:val="000F57C8"/>
    <w:rsid w:val="000F58D4"/>
    <w:rsid w:val="000F5BF8"/>
    <w:rsid w:val="000F5F1A"/>
    <w:rsid w:val="000F64B2"/>
    <w:rsid w:val="000F674F"/>
    <w:rsid w:val="000F6B11"/>
    <w:rsid w:val="0010010E"/>
    <w:rsid w:val="0010046A"/>
    <w:rsid w:val="0010048D"/>
    <w:rsid w:val="001004E0"/>
    <w:rsid w:val="00101AF6"/>
    <w:rsid w:val="00101E16"/>
    <w:rsid w:val="00102042"/>
    <w:rsid w:val="0010207C"/>
    <w:rsid w:val="00102A3C"/>
    <w:rsid w:val="00102BD6"/>
    <w:rsid w:val="001031C4"/>
    <w:rsid w:val="00103484"/>
    <w:rsid w:val="00103805"/>
    <w:rsid w:val="00103B21"/>
    <w:rsid w:val="00103CD2"/>
    <w:rsid w:val="0010450B"/>
    <w:rsid w:val="001047C9"/>
    <w:rsid w:val="00104809"/>
    <w:rsid w:val="0010490B"/>
    <w:rsid w:val="001049A7"/>
    <w:rsid w:val="00104D6A"/>
    <w:rsid w:val="00104F24"/>
    <w:rsid w:val="0010518C"/>
    <w:rsid w:val="00105A14"/>
    <w:rsid w:val="00105E51"/>
    <w:rsid w:val="0010710E"/>
    <w:rsid w:val="0010711E"/>
    <w:rsid w:val="001071EC"/>
    <w:rsid w:val="00107855"/>
    <w:rsid w:val="00107BE8"/>
    <w:rsid w:val="001101A6"/>
    <w:rsid w:val="0011083B"/>
    <w:rsid w:val="0011100B"/>
    <w:rsid w:val="00111C2C"/>
    <w:rsid w:val="00111D91"/>
    <w:rsid w:val="00112139"/>
    <w:rsid w:val="001129E4"/>
    <w:rsid w:val="00112A05"/>
    <w:rsid w:val="00112D53"/>
    <w:rsid w:val="0011351B"/>
    <w:rsid w:val="00113563"/>
    <w:rsid w:val="001143D3"/>
    <w:rsid w:val="001157AE"/>
    <w:rsid w:val="00115F1C"/>
    <w:rsid w:val="00116338"/>
    <w:rsid w:val="001165F4"/>
    <w:rsid w:val="001169A4"/>
    <w:rsid w:val="00117326"/>
    <w:rsid w:val="00120B69"/>
    <w:rsid w:val="001210F1"/>
    <w:rsid w:val="0012111E"/>
    <w:rsid w:val="00121D3C"/>
    <w:rsid w:val="00122294"/>
    <w:rsid w:val="001224BB"/>
    <w:rsid w:val="001227D3"/>
    <w:rsid w:val="00122F80"/>
    <w:rsid w:val="0012327A"/>
    <w:rsid w:val="001233A2"/>
    <w:rsid w:val="001237C9"/>
    <w:rsid w:val="0012383E"/>
    <w:rsid w:val="00124089"/>
    <w:rsid w:val="001240AB"/>
    <w:rsid w:val="00124511"/>
    <w:rsid w:val="001247DC"/>
    <w:rsid w:val="0012483C"/>
    <w:rsid w:val="00124D6E"/>
    <w:rsid w:val="00125656"/>
    <w:rsid w:val="00125A55"/>
    <w:rsid w:val="00126150"/>
    <w:rsid w:val="001261B9"/>
    <w:rsid w:val="001267C8"/>
    <w:rsid w:val="001267C9"/>
    <w:rsid w:val="0012696A"/>
    <w:rsid w:val="00126AD7"/>
    <w:rsid w:val="00126C37"/>
    <w:rsid w:val="00126CAF"/>
    <w:rsid w:val="00127869"/>
    <w:rsid w:val="00127A3E"/>
    <w:rsid w:val="00127CF0"/>
    <w:rsid w:val="0013043B"/>
    <w:rsid w:val="00130C3B"/>
    <w:rsid w:val="001313EA"/>
    <w:rsid w:val="00131993"/>
    <w:rsid w:val="00132247"/>
    <w:rsid w:val="00132748"/>
    <w:rsid w:val="00133236"/>
    <w:rsid w:val="0013328A"/>
    <w:rsid w:val="0013343F"/>
    <w:rsid w:val="0013419B"/>
    <w:rsid w:val="00134226"/>
    <w:rsid w:val="001343A6"/>
    <w:rsid w:val="0013465B"/>
    <w:rsid w:val="00134CAA"/>
    <w:rsid w:val="00135399"/>
    <w:rsid w:val="00135B0F"/>
    <w:rsid w:val="00135B88"/>
    <w:rsid w:val="00135EE3"/>
    <w:rsid w:val="00135F05"/>
    <w:rsid w:val="001360A3"/>
    <w:rsid w:val="00137007"/>
    <w:rsid w:val="001375AE"/>
    <w:rsid w:val="00137782"/>
    <w:rsid w:val="001378BC"/>
    <w:rsid w:val="00137CF8"/>
    <w:rsid w:val="00140168"/>
    <w:rsid w:val="001405E7"/>
    <w:rsid w:val="0014107D"/>
    <w:rsid w:val="0014109C"/>
    <w:rsid w:val="0014201C"/>
    <w:rsid w:val="00142022"/>
    <w:rsid w:val="00142948"/>
    <w:rsid w:val="001433EE"/>
    <w:rsid w:val="00143808"/>
    <w:rsid w:val="00143CED"/>
    <w:rsid w:val="00143DBF"/>
    <w:rsid w:val="001445B1"/>
    <w:rsid w:val="00144725"/>
    <w:rsid w:val="0014473D"/>
    <w:rsid w:val="00144E5C"/>
    <w:rsid w:val="0014557E"/>
    <w:rsid w:val="001458C3"/>
    <w:rsid w:val="00146158"/>
    <w:rsid w:val="00147C59"/>
    <w:rsid w:val="0015019B"/>
    <w:rsid w:val="00150338"/>
    <w:rsid w:val="0015040B"/>
    <w:rsid w:val="00150DA2"/>
    <w:rsid w:val="001515A9"/>
    <w:rsid w:val="00151615"/>
    <w:rsid w:val="00152125"/>
    <w:rsid w:val="00152563"/>
    <w:rsid w:val="00152D49"/>
    <w:rsid w:val="00152F79"/>
    <w:rsid w:val="00153047"/>
    <w:rsid w:val="00153943"/>
    <w:rsid w:val="00153D36"/>
    <w:rsid w:val="00153D63"/>
    <w:rsid w:val="00153D7B"/>
    <w:rsid w:val="00153D8B"/>
    <w:rsid w:val="0015472D"/>
    <w:rsid w:val="001547C1"/>
    <w:rsid w:val="00154B0B"/>
    <w:rsid w:val="00155122"/>
    <w:rsid w:val="00155253"/>
    <w:rsid w:val="00155700"/>
    <w:rsid w:val="00156720"/>
    <w:rsid w:val="00156BF6"/>
    <w:rsid w:val="0015738E"/>
    <w:rsid w:val="00157606"/>
    <w:rsid w:val="001576D5"/>
    <w:rsid w:val="00157964"/>
    <w:rsid w:val="001604B1"/>
    <w:rsid w:val="00160728"/>
    <w:rsid w:val="0016181E"/>
    <w:rsid w:val="00161A21"/>
    <w:rsid w:val="00161D64"/>
    <w:rsid w:val="00162341"/>
    <w:rsid w:val="001624D3"/>
    <w:rsid w:val="00162612"/>
    <w:rsid w:val="0016324F"/>
    <w:rsid w:val="00163929"/>
    <w:rsid w:val="00163F28"/>
    <w:rsid w:val="00163F36"/>
    <w:rsid w:val="001641EF"/>
    <w:rsid w:val="00164497"/>
    <w:rsid w:val="00164540"/>
    <w:rsid w:val="001647A6"/>
    <w:rsid w:val="00164DA9"/>
    <w:rsid w:val="001651E9"/>
    <w:rsid w:val="0016533F"/>
    <w:rsid w:val="001653CD"/>
    <w:rsid w:val="00165B72"/>
    <w:rsid w:val="00165C8E"/>
    <w:rsid w:val="00165EAE"/>
    <w:rsid w:val="0016673B"/>
    <w:rsid w:val="00166B21"/>
    <w:rsid w:val="001674B2"/>
    <w:rsid w:val="001675ED"/>
    <w:rsid w:val="00167804"/>
    <w:rsid w:val="00167983"/>
    <w:rsid w:val="00167E31"/>
    <w:rsid w:val="001706BA"/>
    <w:rsid w:val="00170A9C"/>
    <w:rsid w:val="00170EB3"/>
    <w:rsid w:val="001711C6"/>
    <w:rsid w:val="001718BE"/>
    <w:rsid w:val="00171A14"/>
    <w:rsid w:val="00171D22"/>
    <w:rsid w:val="00171DE4"/>
    <w:rsid w:val="00172492"/>
    <w:rsid w:val="001741B6"/>
    <w:rsid w:val="00174AE2"/>
    <w:rsid w:val="00174D3B"/>
    <w:rsid w:val="00176027"/>
    <w:rsid w:val="00176028"/>
    <w:rsid w:val="001761BF"/>
    <w:rsid w:val="0017626A"/>
    <w:rsid w:val="001763FB"/>
    <w:rsid w:val="00176729"/>
    <w:rsid w:val="00176F0C"/>
    <w:rsid w:val="0017761A"/>
    <w:rsid w:val="00177770"/>
    <w:rsid w:val="001805AA"/>
    <w:rsid w:val="0018147C"/>
    <w:rsid w:val="00181C3C"/>
    <w:rsid w:val="001822A5"/>
    <w:rsid w:val="001828DB"/>
    <w:rsid w:val="00182DFD"/>
    <w:rsid w:val="00182F07"/>
    <w:rsid w:val="00183866"/>
    <w:rsid w:val="00183AAF"/>
    <w:rsid w:val="00183D32"/>
    <w:rsid w:val="00184179"/>
    <w:rsid w:val="00184A49"/>
    <w:rsid w:val="00184F04"/>
    <w:rsid w:val="0018568A"/>
    <w:rsid w:val="00185D5E"/>
    <w:rsid w:val="00185E33"/>
    <w:rsid w:val="0018628C"/>
    <w:rsid w:val="001867DC"/>
    <w:rsid w:val="001878C3"/>
    <w:rsid w:val="001905AF"/>
    <w:rsid w:val="00190AE1"/>
    <w:rsid w:val="00190F15"/>
    <w:rsid w:val="00191B7F"/>
    <w:rsid w:val="00191BA4"/>
    <w:rsid w:val="001921AB"/>
    <w:rsid w:val="00192C94"/>
    <w:rsid w:val="00192F2C"/>
    <w:rsid w:val="00193510"/>
    <w:rsid w:val="00193970"/>
    <w:rsid w:val="00193F70"/>
    <w:rsid w:val="001946AE"/>
    <w:rsid w:val="001946FB"/>
    <w:rsid w:val="00194BBF"/>
    <w:rsid w:val="00195A3B"/>
    <w:rsid w:val="00196595"/>
    <w:rsid w:val="0019671E"/>
    <w:rsid w:val="001968E3"/>
    <w:rsid w:val="0019691F"/>
    <w:rsid w:val="00196F80"/>
    <w:rsid w:val="0019771F"/>
    <w:rsid w:val="001979A1"/>
    <w:rsid w:val="00197B9F"/>
    <w:rsid w:val="00197CE2"/>
    <w:rsid w:val="001A0AA4"/>
    <w:rsid w:val="001A0ADB"/>
    <w:rsid w:val="001A0BEE"/>
    <w:rsid w:val="001A0F0A"/>
    <w:rsid w:val="001A1700"/>
    <w:rsid w:val="001A2080"/>
    <w:rsid w:val="001A2514"/>
    <w:rsid w:val="001A289F"/>
    <w:rsid w:val="001A28B0"/>
    <w:rsid w:val="001A2BB6"/>
    <w:rsid w:val="001A337E"/>
    <w:rsid w:val="001A353C"/>
    <w:rsid w:val="001A3BE1"/>
    <w:rsid w:val="001A41C3"/>
    <w:rsid w:val="001A44BD"/>
    <w:rsid w:val="001A4535"/>
    <w:rsid w:val="001A47EF"/>
    <w:rsid w:val="001A4E33"/>
    <w:rsid w:val="001A60D0"/>
    <w:rsid w:val="001A61BD"/>
    <w:rsid w:val="001A6772"/>
    <w:rsid w:val="001A682D"/>
    <w:rsid w:val="001A68E3"/>
    <w:rsid w:val="001A6A9B"/>
    <w:rsid w:val="001A6F7B"/>
    <w:rsid w:val="001A734A"/>
    <w:rsid w:val="001A75F5"/>
    <w:rsid w:val="001A777F"/>
    <w:rsid w:val="001A792F"/>
    <w:rsid w:val="001A7B96"/>
    <w:rsid w:val="001A7EE3"/>
    <w:rsid w:val="001A7F44"/>
    <w:rsid w:val="001B08FC"/>
    <w:rsid w:val="001B0BD8"/>
    <w:rsid w:val="001B0CC8"/>
    <w:rsid w:val="001B0D4A"/>
    <w:rsid w:val="001B0DF4"/>
    <w:rsid w:val="001B0E50"/>
    <w:rsid w:val="001B0F24"/>
    <w:rsid w:val="001B0FB5"/>
    <w:rsid w:val="001B15BA"/>
    <w:rsid w:val="001B1C0D"/>
    <w:rsid w:val="001B1E9C"/>
    <w:rsid w:val="001B1FB7"/>
    <w:rsid w:val="001B2641"/>
    <w:rsid w:val="001B29E3"/>
    <w:rsid w:val="001B2A18"/>
    <w:rsid w:val="001B30D8"/>
    <w:rsid w:val="001B362F"/>
    <w:rsid w:val="001B3FE9"/>
    <w:rsid w:val="001B439F"/>
    <w:rsid w:val="001B44B5"/>
    <w:rsid w:val="001B45D4"/>
    <w:rsid w:val="001B4C1F"/>
    <w:rsid w:val="001B5397"/>
    <w:rsid w:val="001B53AE"/>
    <w:rsid w:val="001B5494"/>
    <w:rsid w:val="001B5D89"/>
    <w:rsid w:val="001B70EF"/>
    <w:rsid w:val="001B75EB"/>
    <w:rsid w:val="001B773E"/>
    <w:rsid w:val="001B7F12"/>
    <w:rsid w:val="001C08F7"/>
    <w:rsid w:val="001C1028"/>
    <w:rsid w:val="001C246F"/>
    <w:rsid w:val="001C2A2E"/>
    <w:rsid w:val="001C2CFF"/>
    <w:rsid w:val="001C2E1A"/>
    <w:rsid w:val="001C2E44"/>
    <w:rsid w:val="001C2E96"/>
    <w:rsid w:val="001C30E0"/>
    <w:rsid w:val="001C3363"/>
    <w:rsid w:val="001C33B7"/>
    <w:rsid w:val="001C35B3"/>
    <w:rsid w:val="001C368C"/>
    <w:rsid w:val="001C36A8"/>
    <w:rsid w:val="001C3766"/>
    <w:rsid w:val="001C38C4"/>
    <w:rsid w:val="001C400D"/>
    <w:rsid w:val="001C4150"/>
    <w:rsid w:val="001C4B2D"/>
    <w:rsid w:val="001C4F0B"/>
    <w:rsid w:val="001C567B"/>
    <w:rsid w:val="001C5BD0"/>
    <w:rsid w:val="001C5CFE"/>
    <w:rsid w:val="001C5D03"/>
    <w:rsid w:val="001C5F9C"/>
    <w:rsid w:val="001C61AC"/>
    <w:rsid w:val="001C64C0"/>
    <w:rsid w:val="001C670D"/>
    <w:rsid w:val="001C67F3"/>
    <w:rsid w:val="001C6A7D"/>
    <w:rsid w:val="001C6D3D"/>
    <w:rsid w:val="001C6FAC"/>
    <w:rsid w:val="001C7846"/>
    <w:rsid w:val="001D063B"/>
    <w:rsid w:val="001D0741"/>
    <w:rsid w:val="001D0896"/>
    <w:rsid w:val="001D0997"/>
    <w:rsid w:val="001D12D5"/>
    <w:rsid w:val="001D14B9"/>
    <w:rsid w:val="001D1C39"/>
    <w:rsid w:val="001D1E23"/>
    <w:rsid w:val="001D23FA"/>
    <w:rsid w:val="001D2C13"/>
    <w:rsid w:val="001D2D3D"/>
    <w:rsid w:val="001D3283"/>
    <w:rsid w:val="001D35B6"/>
    <w:rsid w:val="001D3A8B"/>
    <w:rsid w:val="001D3B51"/>
    <w:rsid w:val="001D473D"/>
    <w:rsid w:val="001D4B81"/>
    <w:rsid w:val="001D5041"/>
    <w:rsid w:val="001D5C26"/>
    <w:rsid w:val="001D5FF4"/>
    <w:rsid w:val="001D6687"/>
    <w:rsid w:val="001D6D23"/>
    <w:rsid w:val="001D73D8"/>
    <w:rsid w:val="001D7869"/>
    <w:rsid w:val="001D7AE3"/>
    <w:rsid w:val="001E0418"/>
    <w:rsid w:val="001E0923"/>
    <w:rsid w:val="001E0CBB"/>
    <w:rsid w:val="001E0D9C"/>
    <w:rsid w:val="001E1801"/>
    <w:rsid w:val="001E1A2F"/>
    <w:rsid w:val="001E1AA6"/>
    <w:rsid w:val="001E1DB1"/>
    <w:rsid w:val="001E1F60"/>
    <w:rsid w:val="001E207B"/>
    <w:rsid w:val="001E2265"/>
    <w:rsid w:val="001E24DE"/>
    <w:rsid w:val="001E28BA"/>
    <w:rsid w:val="001E2C48"/>
    <w:rsid w:val="001E370A"/>
    <w:rsid w:val="001E3878"/>
    <w:rsid w:val="001E3BFB"/>
    <w:rsid w:val="001E3FEB"/>
    <w:rsid w:val="001E4018"/>
    <w:rsid w:val="001E41E6"/>
    <w:rsid w:val="001E4376"/>
    <w:rsid w:val="001E437E"/>
    <w:rsid w:val="001E448C"/>
    <w:rsid w:val="001E531C"/>
    <w:rsid w:val="001E58C4"/>
    <w:rsid w:val="001E5CB1"/>
    <w:rsid w:val="001E5DDA"/>
    <w:rsid w:val="001E6148"/>
    <w:rsid w:val="001E63B9"/>
    <w:rsid w:val="001E63E0"/>
    <w:rsid w:val="001E69B6"/>
    <w:rsid w:val="001E6A72"/>
    <w:rsid w:val="001E6F05"/>
    <w:rsid w:val="001E7AB5"/>
    <w:rsid w:val="001E7B65"/>
    <w:rsid w:val="001F06C5"/>
    <w:rsid w:val="001F0D59"/>
    <w:rsid w:val="001F0DC4"/>
    <w:rsid w:val="001F0E3D"/>
    <w:rsid w:val="001F17E1"/>
    <w:rsid w:val="001F203A"/>
    <w:rsid w:val="001F2A40"/>
    <w:rsid w:val="001F2ADA"/>
    <w:rsid w:val="001F2B2C"/>
    <w:rsid w:val="001F2CCC"/>
    <w:rsid w:val="001F319F"/>
    <w:rsid w:val="001F3543"/>
    <w:rsid w:val="001F3622"/>
    <w:rsid w:val="001F372C"/>
    <w:rsid w:val="001F3AE6"/>
    <w:rsid w:val="001F3C89"/>
    <w:rsid w:val="001F401F"/>
    <w:rsid w:val="001F487D"/>
    <w:rsid w:val="001F499D"/>
    <w:rsid w:val="001F4D79"/>
    <w:rsid w:val="001F5016"/>
    <w:rsid w:val="001F5771"/>
    <w:rsid w:val="001F6689"/>
    <w:rsid w:val="001F6F7F"/>
    <w:rsid w:val="001F6FE3"/>
    <w:rsid w:val="001F7128"/>
    <w:rsid w:val="001F73C9"/>
    <w:rsid w:val="001F77D3"/>
    <w:rsid w:val="002000CB"/>
    <w:rsid w:val="0020090D"/>
    <w:rsid w:val="00200F56"/>
    <w:rsid w:val="002011BB"/>
    <w:rsid w:val="0020150A"/>
    <w:rsid w:val="00201AD5"/>
    <w:rsid w:val="00201BB5"/>
    <w:rsid w:val="0020202C"/>
    <w:rsid w:val="002025F9"/>
    <w:rsid w:val="00202890"/>
    <w:rsid w:val="00203000"/>
    <w:rsid w:val="0020371A"/>
    <w:rsid w:val="0020382E"/>
    <w:rsid w:val="00203D2D"/>
    <w:rsid w:val="00204A21"/>
    <w:rsid w:val="00204D79"/>
    <w:rsid w:val="00205EC4"/>
    <w:rsid w:val="00206239"/>
    <w:rsid w:val="002065AA"/>
    <w:rsid w:val="0020711A"/>
    <w:rsid w:val="00207F12"/>
    <w:rsid w:val="002101B7"/>
    <w:rsid w:val="00210200"/>
    <w:rsid w:val="002102BB"/>
    <w:rsid w:val="0021060B"/>
    <w:rsid w:val="00210689"/>
    <w:rsid w:val="00210FF9"/>
    <w:rsid w:val="00211005"/>
    <w:rsid w:val="00211138"/>
    <w:rsid w:val="0021146B"/>
    <w:rsid w:val="002114FE"/>
    <w:rsid w:val="00211586"/>
    <w:rsid w:val="00211618"/>
    <w:rsid w:val="0021186B"/>
    <w:rsid w:val="00211993"/>
    <w:rsid w:val="002119F8"/>
    <w:rsid w:val="00211C50"/>
    <w:rsid w:val="00211C53"/>
    <w:rsid w:val="00211CAA"/>
    <w:rsid w:val="00211D42"/>
    <w:rsid w:val="002127F6"/>
    <w:rsid w:val="00212AD1"/>
    <w:rsid w:val="00212F33"/>
    <w:rsid w:val="00213980"/>
    <w:rsid w:val="00213A3B"/>
    <w:rsid w:val="00213C35"/>
    <w:rsid w:val="00213CF3"/>
    <w:rsid w:val="0021405F"/>
    <w:rsid w:val="0021482E"/>
    <w:rsid w:val="0021501A"/>
    <w:rsid w:val="002153A4"/>
    <w:rsid w:val="00215598"/>
    <w:rsid w:val="00215871"/>
    <w:rsid w:val="002158DC"/>
    <w:rsid w:val="002167A7"/>
    <w:rsid w:val="00216889"/>
    <w:rsid w:val="00216934"/>
    <w:rsid w:val="00216AB9"/>
    <w:rsid w:val="00216C2B"/>
    <w:rsid w:val="00216F8B"/>
    <w:rsid w:val="00217106"/>
    <w:rsid w:val="00217118"/>
    <w:rsid w:val="002175C9"/>
    <w:rsid w:val="002175E8"/>
    <w:rsid w:val="002178A4"/>
    <w:rsid w:val="00217BBB"/>
    <w:rsid w:val="002200D6"/>
    <w:rsid w:val="002200E9"/>
    <w:rsid w:val="0022013E"/>
    <w:rsid w:val="002209F1"/>
    <w:rsid w:val="00220D0F"/>
    <w:rsid w:val="00220EDF"/>
    <w:rsid w:val="00221042"/>
    <w:rsid w:val="002213E7"/>
    <w:rsid w:val="00222017"/>
    <w:rsid w:val="00222386"/>
    <w:rsid w:val="002224C1"/>
    <w:rsid w:val="00222ADC"/>
    <w:rsid w:val="00222F23"/>
    <w:rsid w:val="00223134"/>
    <w:rsid w:val="00223502"/>
    <w:rsid w:val="0022474A"/>
    <w:rsid w:val="00224846"/>
    <w:rsid w:val="00224AB5"/>
    <w:rsid w:val="00224C45"/>
    <w:rsid w:val="00224EE9"/>
    <w:rsid w:val="00224FA2"/>
    <w:rsid w:val="002253B1"/>
    <w:rsid w:val="00225CF2"/>
    <w:rsid w:val="00226486"/>
    <w:rsid w:val="002268D0"/>
    <w:rsid w:val="00226F41"/>
    <w:rsid w:val="002277B4"/>
    <w:rsid w:val="00227A17"/>
    <w:rsid w:val="00227E43"/>
    <w:rsid w:val="00227FB8"/>
    <w:rsid w:val="00231367"/>
    <w:rsid w:val="00231DBE"/>
    <w:rsid w:val="00231E5B"/>
    <w:rsid w:val="00232046"/>
    <w:rsid w:val="002327DB"/>
    <w:rsid w:val="00232B05"/>
    <w:rsid w:val="002345FC"/>
    <w:rsid w:val="00234700"/>
    <w:rsid w:val="00234809"/>
    <w:rsid w:val="00234AC9"/>
    <w:rsid w:val="002353A9"/>
    <w:rsid w:val="002357FA"/>
    <w:rsid w:val="0023586C"/>
    <w:rsid w:val="00235A80"/>
    <w:rsid w:val="00235AC4"/>
    <w:rsid w:val="00235E0F"/>
    <w:rsid w:val="00236809"/>
    <w:rsid w:val="00236CDF"/>
    <w:rsid w:val="0023724C"/>
    <w:rsid w:val="00237267"/>
    <w:rsid w:val="00237790"/>
    <w:rsid w:val="002377AD"/>
    <w:rsid w:val="0024023D"/>
    <w:rsid w:val="002402E0"/>
    <w:rsid w:val="002403A6"/>
    <w:rsid w:val="002408DB"/>
    <w:rsid w:val="00240BB3"/>
    <w:rsid w:val="00240CD0"/>
    <w:rsid w:val="0024122D"/>
    <w:rsid w:val="00241317"/>
    <w:rsid w:val="00241447"/>
    <w:rsid w:val="002417C7"/>
    <w:rsid w:val="00241995"/>
    <w:rsid w:val="00241C07"/>
    <w:rsid w:val="0024239F"/>
    <w:rsid w:val="00242885"/>
    <w:rsid w:val="0024356A"/>
    <w:rsid w:val="0024359A"/>
    <w:rsid w:val="00243B8E"/>
    <w:rsid w:val="002441BB"/>
    <w:rsid w:val="00244D4F"/>
    <w:rsid w:val="00244F51"/>
    <w:rsid w:val="00245012"/>
    <w:rsid w:val="00245819"/>
    <w:rsid w:val="00245A40"/>
    <w:rsid w:val="00245B54"/>
    <w:rsid w:val="0024637E"/>
    <w:rsid w:val="00246904"/>
    <w:rsid w:val="00246BD1"/>
    <w:rsid w:val="00247272"/>
    <w:rsid w:val="00247640"/>
    <w:rsid w:val="00247A52"/>
    <w:rsid w:val="00247D33"/>
    <w:rsid w:val="00247E80"/>
    <w:rsid w:val="00250564"/>
    <w:rsid w:val="0025074C"/>
    <w:rsid w:val="00250F48"/>
    <w:rsid w:val="00251707"/>
    <w:rsid w:val="002519A7"/>
    <w:rsid w:val="00251D35"/>
    <w:rsid w:val="00251D97"/>
    <w:rsid w:val="002534DC"/>
    <w:rsid w:val="00253D37"/>
    <w:rsid w:val="00253D94"/>
    <w:rsid w:val="00253F5D"/>
    <w:rsid w:val="0025445A"/>
    <w:rsid w:val="00254990"/>
    <w:rsid w:val="00254E52"/>
    <w:rsid w:val="00254E9E"/>
    <w:rsid w:val="00256ABA"/>
    <w:rsid w:val="002574D2"/>
    <w:rsid w:val="002579C4"/>
    <w:rsid w:val="00260A4C"/>
    <w:rsid w:val="00260C9A"/>
    <w:rsid w:val="002614A6"/>
    <w:rsid w:val="00261956"/>
    <w:rsid w:val="00261C01"/>
    <w:rsid w:val="00261F81"/>
    <w:rsid w:val="0026227F"/>
    <w:rsid w:val="002629BF"/>
    <w:rsid w:val="00262A67"/>
    <w:rsid w:val="00262C24"/>
    <w:rsid w:val="00263087"/>
    <w:rsid w:val="0026355E"/>
    <w:rsid w:val="00264267"/>
    <w:rsid w:val="00264328"/>
    <w:rsid w:val="00264454"/>
    <w:rsid w:val="00264925"/>
    <w:rsid w:val="00264A07"/>
    <w:rsid w:val="00264A83"/>
    <w:rsid w:val="00264A88"/>
    <w:rsid w:val="002653A8"/>
    <w:rsid w:val="002654FF"/>
    <w:rsid w:val="00265C6C"/>
    <w:rsid w:val="00266269"/>
    <w:rsid w:val="002668AA"/>
    <w:rsid w:val="00266931"/>
    <w:rsid w:val="00266C0F"/>
    <w:rsid w:val="0026704F"/>
    <w:rsid w:val="002670D5"/>
    <w:rsid w:val="00267646"/>
    <w:rsid w:val="002679B8"/>
    <w:rsid w:val="00270227"/>
    <w:rsid w:val="002706DC"/>
    <w:rsid w:val="00270918"/>
    <w:rsid w:val="00270B77"/>
    <w:rsid w:val="00270D89"/>
    <w:rsid w:val="00270FB8"/>
    <w:rsid w:val="0027280D"/>
    <w:rsid w:val="00272866"/>
    <w:rsid w:val="00272989"/>
    <w:rsid w:val="00272AF3"/>
    <w:rsid w:val="00272DE6"/>
    <w:rsid w:val="00273557"/>
    <w:rsid w:val="0027355C"/>
    <w:rsid w:val="00273673"/>
    <w:rsid w:val="00274582"/>
    <w:rsid w:val="00274630"/>
    <w:rsid w:val="002747B7"/>
    <w:rsid w:val="0027498A"/>
    <w:rsid w:val="00275EF1"/>
    <w:rsid w:val="0027675A"/>
    <w:rsid w:val="002771D3"/>
    <w:rsid w:val="002776EA"/>
    <w:rsid w:val="00277B5F"/>
    <w:rsid w:val="0028078E"/>
    <w:rsid w:val="002810D9"/>
    <w:rsid w:val="0028140B"/>
    <w:rsid w:val="00281DBA"/>
    <w:rsid w:val="00281F3F"/>
    <w:rsid w:val="00282428"/>
    <w:rsid w:val="002831F3"/>
    <w:rsid w:val="00283960"/>
    <w:rsid w:val="00283F1F"/>
    <w:rsid w:val="00284713"/>
    <w:rsid w:val="00284B37"/>
    <w:rsid w:val="00284E80"/>
    <w:rsid w:val="002850B6"/>
    <w:rsid w:val="002853B8"/>
    <w:rsid w:val="00285897"/>
    <w:rsid w:val="002867CF"/>
    <w:rsid w:val="002869B1"/>
    <w:rsid w:val="00286D83"/>
    <w:rsid w:val="00286DBD"/>
    <w:rsid w:val="0028784D"/>
    <w:rsid w:val="00287EAF"/>
    <w:rsid w:val="00287EE5"/>
    <w:rsid w:val="002900B7"/>
    <w:rsid w:val="00290114"/>
    <w:rsid w:val="00290210"/>
    <w:rsid w:val="002903BA"/>
    <w:rsid w:val="00290705"/>
    <w:rsid w:val="00290835"/>
    <w:rsid w:val="00290963"/>
    <w:rsid w:val="00290A75"/>
    <w:rsid w:val="00290D22"/>
    <w:rsid w:val="00290F8E"/>
    <w:rsid w:val="00291098"/>
    <w:rsid w:val="00291B93"/>
    <w:rsid w:val="00291DE9"/>
    <w:rsid w:val="002938D5"/>
    <w:rsid w:val="0029390B"/>
    <w:rsid w:val="0029411C"/>
    <w:rsid w:val="0029413F"/>
    <w:rsid w:val="002941F5"/>
    <w:rsid w:val="00294351"/>
    <w:rsid w:val="002945E2"/>
    <w:rsid w:val="002946B2"/>
    <w:rsid w:val="002947C4"/>
    <w:rsid w:val="002949F4"/>
    <w:rsid w:val="0029508B"/>
    <w:rsid w:val="0029530A"/>
    <w:rsid w:val="002953DE"/>
    <w:rsid w:val="002958BF"/>
    <w:rsid w:val="0029634B"/>
    <w:rsid w:val="00296CE9"/>
    <w:rsid w:val="00296E43"/>
    <w:rsid w:val="00296EFA"/>
    <w:rsid w:val="0029713D"/>
    <w:rsid w:val="0029765C"/>
    <w:rsid w:val="00297BF8"/>
    <w:rsid w:val="00297C1E"/>
    <w:rsid w:val="00297FFD"/>
    <w:rsid w:val="002A03CE"/>
    <w:rsid w:val="002A0B66"/>
    <w:rsid w:val="002A0BB1"/>
    <w:rsid w:val="002A1058"/>
    <w:rsid w:val="002A19C7"/>
    <w:rsid w:val="002A222F"/>
    <w:rsid w:val="002A25EC"/>
    <w:rsid w:val="002A2C0C"/>
    <w:rsid w:val="002A2D8F"/>
    <w:rsid w:val="002A3021"/>
    <w:rsid w:val="002A337C"/>
    <w:rsid w:val="002A386A"/>
    <w:rsid w:val="002A3A1E"/>
    <w:rsid w:val="002A3F3F"/>
    <w:rsid w:val="002A4424"/>
    <w:rsid w:val="002A5019"/>
    <w:rsid w:val="002A52D5"/>
    <w:rsid w:val="002A548A"/>
    <w:rsid w:val="002A5712"/>
    <w:rsid w:val="002A5B2A"/>
    <w:rsid w:val="002A608E"/>
    <w:rsid w:val="002A62A9"/>
    <w:rsid w:val="002A6540"/>
    <w:rsid w:val="002A6797"/>
    <w:rsid w:val="002A6B01"/>
    <w:rsid w:val="002A6E8B"/>
    <w:rsid w:val="002A7126"/>
    <w:rsid w:val="002B0053"/>
    <w:rsid w:val="002B0386"/>
    <w:rsid w:val="002B040A"/>
    <w:rsid w:val="002B05F5"/>
    <w:rsid w:val="002B14EA"/>
    <w:rsid w:val="002B19CD"/>
    <w:rsid w:val="002B1B05"/>
    <w:rsid w:val="002B1F89"/>
    <w:rsid w:val="002B25E8"/>
    <w:rsid w:val="002B2D71"/>
    <w:rsid w:val="002B2E99"/>
    <w:rsid w:val="002B2F52"/>
    <w:rsid w:val="002B33F7"/>
    <w:rsid w:val="002B3524"/>
    <w:rsid w:val="002B3C14"/>
    <w:rsid w:val="002B421F"/>
    <w:rsid w:val="002B43FE"/>
    <w:rsid w:val="002B4617"/>
    <w:rsid w:val="002B49ED"/>
    <w:rsid w:val="002B4FE1"/>
    <w:rsid w:val="002B5367"/>
    <w:rsid w:val="002B543F"/>
    <w:rsid w:val="002B709F"/>
    <w:rsid w:val="002B72BE"/>
    <w:rsid w:val="002B769B"/>
    <w:rsid w:val="002C1014"/>
    <w:rsid w:val="002C11F6"/>
    <w:rsid w:val="002C173E"/>
    <w:rsid w:val="002C1BFE"/>
    <w:rsid w:val="002C2538"/>
    <w:rsid w:val="002C2DCF"/>
    <w:rsid w:val="002C384C"/>
    <w:rsid w:val="002C38EF"/>
    <w:rsid w:val="002C3A79"/>
    <w:rsid w:val="002C3D55"/>
    <w:rsid w:val="002C3EAA"/>
    <w:rsid w:val="002C4286"/>
    <w:rsid w:val="002C46C2"/>
    <w:rsid w:val="002C4781"/>
    <w:rsid w:val="002C54E3"/>
    <w:rsid w:val="002C5B53"/>
    <w:rsid w:val="002C6164"/>
    <w:rsid w:val="002C6302"/>
    <w:rsid w:val="002C63B6"/>
    <w:rsid w:val="002C657E"/>
    <w:rsid w:val="002C6B9D"/>
    <w:rsid w:val="002C7E06"/>
    <w:rsid w:val="002C7EE8"/>
    <w:rsid w:val="002C7FF9"/>
    <w:rsid w:val="002D0EC0"/>
    <w:rsid w:val="002D174B"/>
    <w:rsid w:val="002D1958"/>
    <w:rsid w:val="002D1D3A"/>
    <w:rsid w:val="002D2425"/>
    <w:rsid w:val="002D3295"/>
    <w:rsid w:val="002D36F9"/>
    <w:rsid w:val="002D37DF"/>
    <w:rsid w:val="002D38BA"/>
    <w:rsid w:val="002D3A1A"/>
    <w:rsid w:val="002D4318"/>
    <w:rsid w:val="002D43BE"/>
    <w:rsid w:val="002D463B"/>
    <w:rsid w:val="002D4A23"/>
    <w:rsid w:val="002D4DA6"/>
    <w:rsid w:val="002D4E39"/>
    <w:rsid w:val="002D4E7A"/>
    <w:rsid w:val="002D50DA"/>
    <w:rsid w:val="002D50ED"/>
    <w:rsid w:val="002D5A99"/>
    <w:rsid w:val="002D5AF3"/>
    <w:rsid w:val="002D5B9C"/>
    <w:rsid w:val="002D5CCB"/>
    <w:rsid w:val="002D609D"/>
    <w:rsid w:val="002D6126"/>
    <w:rsid w:val="002D6305"/>
    <w:rsid w:val="002D656D"/>
    <w:rsid w:val="002D727A"/>
    <w:rsid w:val="002D73D7"/>
    <w:rsid w:val="002D7572"/>
    <w:rsid w:val="002D764D"/>
    <w:rsid w:val="002D7876"/>
    <w:rsid w:val="002D7D78"/>
    <w:rsid w:val="002E01BD"/>
    <w:rsid w:val="002E03B5"/>
    <w:rsid w:val="002E0D8B"/>
    <w:rsid w:val="002E13A7"/>
    <w:rsid w:val="002E14D8"/>
    <w:rsid w:val="002E14F2"/>
    <w:rsid w:val="002E171F"/>
    <w:rsid w:val="002E1814"/>
    <w:rsid w:val="002E19F1"/>
    <w:rsid w:val="002E21F5"/>
    <w:rsid w:val="002E2683"/>
    <w:rsid w:val="002E29C9"/>
    <w:rsid w:val="002E34BA"/>
    <w:rsid w:val="002E3E3D"/>
    <w:rsid w:val="002E43E9"/>
    <w:rsid w:val="002E500B"/>
    <w:rsid w:val="002E55FE"/>
    <w:rsid w:val="002E5705"/>
    <w:rsid w:val="002E59B9"/>
    <w:rsid w:val="002E5B9C"/>
    <w:rsid w:val="002E5EBA"/>
    <w:rsid w:val="002E60FD"/>
    <w:rsid w:val="002E612E"/>
    <w:rsid w:val="002E68F2"/>
    <w:rsid w:val="002E6CFD"/>
    <w:rsid w:val="002E7799"/>
    <w:rsid w:val="002E7B1F"/>
    <w:rsid w:val="002E7FA8"/>
    <w:rsid w:val="002F0229"/>
    <w:rsid w:val="002F0B11"/>
    <w:rsid w:val="002F1B63"/>
    <w:rsid w:val="002F1E36"/>
    <w:rsid w:val="002F256A"/>
    <w:rsid w:val="002F2698"/>
    <w:rsid w:val="002F297E"/>
    <w:rsid w:val="002F2A94"/>
    <w:rsid w:val="002F2A9A"/>
    <w:rsid w:val="002F2B27"/>
    <w:rsid w:val="002F3209"/>
    <w:rsid w:val="002F3A84"/>
    <w:rsid w:val="002F3B12"/>
    <w:rsid w:val="002F3C7F"/>
    <w:rsid w:val="002F52F4"/>
    <w:rsid w:val="002F5479"/>
    <w:rsid w:val="002F5850"/>
    <w:rsid w:val="002F5C51"/>
    <w:rsid w:val="002F612B"/>
    <w:rsid w:val="002F618F"/>
    <w:rsid w:val="002F650A"/>
    <w:rsid w:val="002F6BB6"/>
    <w:rsid w:val="002F6FDB"/>
    <w:rsid w:val="002F711E"/>
    <w:rsid w:val="002F77A2"/>
    <w:rsid w:val="002F7FCD"/>
    <w:rsid w:val="00300A6B"/>
    <w:rsid w:val="00300BF0"/>
    <w:rsid w:val="00300C6A"/>
    <w:rsid w:val="00300E55"/>
    <w:rsid w:val="00301A30"/>
    <w:rsid w:val="00301B0C"/>
    <w:rsid w:val="003028AF"/>
    <w:rsid w:val="00302CBB"/>
    <w:rsid w:val="00303183"/>
    <w:rsid w:val="003032BC"/>
    <w:rsid w:val="00303673"/>
    <w:rsid w:val="00303C8C"/>
    <w:rsid w:val="0030437C"/>
    <w:rsid w:val="00304765"/>
    <w:rsid w:val="00304CEA"/>
    <w:rsid w:val="003055A3"/>
    <w:rsid w:val="00305CE7"/>
    <w:rsid w:val="00305CFC"/>
    <w:rsid w:val="0030736B"/>
    <w:rsid w:val="003075F4"/>
    <w:rsid w:val="00307982"/>
    <w:rsid w:val="00307CCE"/>
    <w:rsid w:val="00307D2E"/>
    <w:rsid w:val="00311204"/>
    <w:rsid w:val="00311223"/>
    <w:rsid w:val="00311414"/>
    <w:rsid w:val="0031172D"/>
    <w:rsid w:val="00312391"/>
    <w:rsid w:val="00312775"/>
    <w:rsid w:val="003127B7"/>
    <w:rsid w:val="003128DD"/>
    <w:rsid w:val="00312D06"/>
    <w:rsid w:val="00312D76"/>
    <w:rsid w:val="00313382"/>
    <w:rsid w:val="00313D5D"/>
    <w:rsid w:val="00314604"/>
    <w:rsid w:val="00314938"/>
    <w:rsid w:val="00314974"/>
    <w:rsid w:val="00314DA4"/>
    <w:rsid w:val="003152AC"/>
    <w:rsid w:val="003158C8"/>
    <w:rsid w:val="00315CB5"/>
    <w:rsid w:val="003160DD"/>
    <w:rsid w:val="00317433"/>
    <w:rsid w:val="0031785B"/>
    <w:rsid w:val="00317F8F"/>
    <w:rsid w:val="003202B4"/>
    <w:rsid w:val="003204CA"/>
    <w:rsid w:val="003206EA"/>
    <w:rsid w:val="003209F1"/>
    <w:rsid w:val="003212E4"/>
    <w:rsid w:val="00321679"/>
    <w:rsid w:val="00321A69"/>
    <w:rsid w:val="00321E6A"/>
    <w:rsid w:val="0032209C"/>
    <w:rsid w:val="003227BE"/>
    <w:rsid w:val="00323037"/>
    <w:rsid w:val="00323099"/>
    <w:rsid w:val="00323951"/>
    <w:rsid w:val="00323D6B"/>
    <w:rsid w:val="003242AF"/>
    <w:rsid w:val="00324D95"/>
    <w:rsid w:val="003253EF"/>
    <w:rsid w:val="00325674"/>
    <w:rsid w:val="003256D8"/>
    <w:rsid w:val="003256EB"/>
    <w:rsid w:val="00325831"/>
    <w:rsid w:val="00325D6F"/>
    <w:rsid w:val="00325FBE"/>
    <w:rsid w:val="00326A89"/>
    <w:rsid w:val="00326DE4"/>
    <w:rsid w:val="00326F5F"/>
    <w:rsid w:val="00327155"/>
    <w:rsid w:val="0032721E"/>
    <w:rsid w:val="003276E4"/>
    <w:rsid w:val="0032785C"/>
    <w:rsid w:val="003279B2"/>
    <w:rsid w:val="00327B8C"/>
    <w:rsid w:val="00327D1F"/>
    <w:rsid w:val="00330504"/>
    <w:rsid w:val="00330EE1"/>
    <w:rsid w:val="00331781"/>
    <w:rsid w:val="00331841"/>
    <w:rsid w:val="00331D6E"/>
    <w:rsid w:val="00332BA9"/>
    <w:rsid w:val="003331F6"/>
    <w:rsid w:val="003334DF"/>
    <w:rsid w:val="0033362C"/>
    <w:rsid w:val="00333947"/>
    <w:rsid w:val="00333D95"/>
    <w:rsid w:val="00333FC7"/>
    <w:rsid w:val="003340F1"/>
    <w:rsid w:val="0033410C"/>
    <w:rsid w:val="003348B8"/>
    <w:rsid w:val="00335344"/>
    <w:rsid w:val="0033597A"/>
    <w:rsid w:val="00335ABD"/>
    <w:rsid w:val="00335B27"/>
    <w:rsid w:val="003360E6"/>
    <w:rsid w:val="00336C3C"/>
    <w:rsid w:val="00336FBD"/>
    <w:rsid w:val="00337A6A"/>
    <w:rsid w:val="00337A8C"/>
    <w:rsid w:val="003400C3"/>
    <w:rsid w:val="0034030E"/>
    <w:rsid w:val="0034155D"/>
    <w:rsid w:val="00341639"/>
    <w:rsid w:val="003418DA"/>
    <w:rsid w:val="00341ECA"/>
    <w:rsid w:val="0034239F"/>
    <w:rsid w:val="0034278C"/>
    <w:rsid w:val="00342984"/>
    <w:rsid w:val="00343562"/>
    <w:rsid w:val="00344588"/>
    <w:rsid w:val="00344E96"/>
    <w:rsid w:val="00345209"/>
    <w:rsid w:val="0034522F"/>
    <w:rsid w:val="003453FB"/>
    <w:rsid w:val="003458C6"/>
    <w:rsid w:val="00346223"/>
    <w:rsid w:val="00346A6F"/>
    <w:rsid w:val="00346FBA"/>
    <w:rsid w:val="00347B64"/>
    <w:rsid w:val="00347E78"/>
    <w:rsid w:val="003504EF"/>
    <w:rsid w:val="003512E9"/>
    <w:rsid w:val="00351642"/>
    <w:rsid w:val="0035180D"/>
    <w:rsid w:val="0035188D"/>
    <w:rsid w:val="0035197B"/>
    <w:rsid w:val="00352481"/>
    <w:rsid w:val="00352888"/>
    <w:rsid w:val="00352DC9"/>
    <w:rsid w:val="00352F9E"/>
    <w:rsid w:val="0035338C"/>
    <w:rsid w:val="00353568"/>
    <w:rsid w:val="00353613"/>
    <w:rsid w:val="003536E2"/>
    <w:rsid w:val="00354005"/>
    <w:rsid w:val="00354192"/>
    <w:rsid w:val="003545A1"/>
    <w:rsid w:val="00355CA1"/>
    <w:rsid w:val="00356263"/>
    <w:rsid w:val="00356D18"/>
    <w:rsid w:val="0035777D"/>
    <w:rsid w:val="0035789C"/>
    <w:rsid w:val="003606F6"/>
    <w:rsid w:val="00360DBC"/>
    <w:rsid w:val="003611A5"/>
    <w:rsid w:val="003613B6"/>
    <w:rsid w:val="00361F8D"/>
    <w:rsid w:val="003620A3"/>
    <w:rsid w:val="00362471"/>
    <w:rsid w:val="00362639"/>
    <w:rsid w:val="00362935"/>
    <w:rsid w:val="00362E2F"/>
    <w:rsid w:val="00363223"/>
    <w:rsid w:val="00363B3A"/>
    <w:rsid w:val="00363F80"/>
    <w:rsid w:val="00364D0E"/>
    <w:rsid w:val="00364E98"/>
    <w:rsid w:val="003652F4"/>
    <w:rsid w:val="003661E4"/>
    <w:rsid w:val="00366D30"/>
    <w:rsid w:val="00366D31"/>
    <w:rsid w:val="00366F6B"/>
    <w:rsid w:val="003672F0"/>
    <w:rsid w:val="00367E28"/>
    <w:rsid w:val="00370003"/>
    <w:rsid w:val="003706BB"/>
    <w:rsid w:val="00370C93"/>
    <w:rsid w:val="00371532"/>
    <w:rsid w:val="003715FD"/>
    <w:rsid w:val="00371F1B"/>
    <w:rsid w:val="00372984"/>
    <w:rsid w:val="00373AF4"/>
    <w:rsid w:val="00374675"/>
    <w:rsid w:val="003757C3"/>
    <w:rsid w:val="00375ED0"/>
    <w:rsid w:val="00376275"/>
    <w:rsid w:val="00376613"/>
    <w:rsid w:val="00377596"/>
    <w:rsid w:val="00380343"/>
    <w:rsid w:val="00380650"/>
    <w:rsid w:val="00380B2B"/>
    <w:rsid w:val="00380B48"/>
    <w:rsid w:val="00380C57"/>
    <w:rsid w:val="003811CA"/>
    <w:rsid w:val="00381358"/>
    <w:rsid w:val="00381B42"/>
    <w:rsid w:val="00382300"/>
    <w:rsid w:val="003824C4"/>
    <w:rsid w:val="00382715"/>
    <w:rsid w:val="00382952"/>
    <w:rsid w:val="00382E32"/>
    <w:rsid w:val="00383121"/>
    <w:rsid w:val="003842F3"/>
    <w:rsid w:val="00384934"/>
    <w:rsid w:val="00385829"/>
    <w:rsid w:val="003860F1"/>
    <w:rsid w:val="00386828"/>
    <w:rsid w:val="0038695E"/>
    <w:rsid w:val="00386A66"/>
    <w:rsid w:val="00386F66"/>
    <w:rsid w:val="00387576"/>
    <w:rsid w:val="00387621"/>
    <w:rsid w:val="003876E2"/>
    <w:rsid w:val="00387849"/>
    <w:rsid w:val="0038797F"/>
    <w:rsid w:val="00387F21"/>
    <w:rsid w:val="00387F44"/>
    <w:rsid w:val="00387F55"/>
    <w:rsid w:val="003901FC"/>
    <w:rsid w:val="003903E3"/>
    <w:rsid w:val="0039064A"/>
    <w:rsid w:val="003913E4"/>
    <w:rsid w:val="00391665"/>
    <w:rsid w:val="00391768"/>
    <w:rsid w:val="003919F5"/>
    <w:rsid w:val="00391A3A"/>
    <w:rsid w:val="00392186"/>
    <w:rsid w:val="00392B52"/>
    <w:rsid w:val="003938A0"/>
    <w:rsid w:val="00393FA0"/>
    <w:rsid w:val="00393FCD"/>
    <w:rsid w:val="003940E7"/>
    <w:rsid w:val="00394359"/>
    <w:rsid w:val="003947B0"/>
    <w:rsid w:val="00394B28"/>
    <w:rsid w:val="00394EF0"/>
    <w:rsid w:val="003950C1"/>
    <w:rsid w:val="0039543E"/>
    <w:rsid w:val="00395C0C"/>
    <w:rsid w:val="00395F6D"/>
    <w:rsid w:val="0039651F"/>
    <w:rsid w:val="003966E3"/>
    <w:rsid w:val="00396A93"/>
    <w:rsid w:val="00396B64"/>
    <w:rsid w:val="00396B92"/>
    <w:rsid w:val="00396F55"/>
    <w:rsid w:val="00396F9A"/>
    <w:rsid w:val="003A0685"/>
    <w:rsid w:val="003A0F81"/>
    <w:rsid w:val="003A1150"/>
    <w:rsid w:val="003A11C5"/>
    <w:rsid w:val="003A1A80"/>
    <w:rsid w:val="003A1BEE"/>
    <w:rsid w:val="003A1E93"/>
    <w:rsid w:val="003A1FE2"/>
    <w:rsid w:val="003A2249"/>
    <w:rsid w:val="003A2890"/>
    <w:rsid w:val="003A28C4"/>
    <w:rsid w:val="003A294C"/>
    <w:rsid w:val="003A316A"/>
    <w:rsid w:val="003A317A"/>
    <w:rsid w:val="003A39DB"/>
    <w:rsid w:val="003A4867"/>
    <w:rsid w:val="003A4E88"/>
    <w:rsid w:val="003A52A8"/>
    <w:rsid w:val="003A5983"/>
    <w:rsid w:val="003A5BD6"/>
    <w:rsid w:val="003A5E9B"/>
    <w:rsid w:val="003A61FD"/>
    <w:rsid w:val="003A629D"/>
    <w:rsid w:val="003A6663"/>
    <w:rsid w:val="003A693E"/>
    <w:rsid w:val="003A6A03"/>
    <w:rsid w:val="003A6B23"/>
    <w:rsid w:val="003A6E5F"/>
    <w:rsid w:val="003A7774"/>
    <w:rsid w:val="003A7866"/>
    <w:rsid w:val="003B06C4"/>
    <w:rsid w:val="003B0FE2"/>
    <w:rsid w:val="003B10A1"/>
    <w:rsid w:val="003B1190"/>
    <w:rsid w:val="003B1DA6"/>
    <w:rsid w:val="003B1F26"/>
    <w:rsid w:val="003B2477"/>
    <w:rsid w:val="003B2DC1"/>
    <w:rsid w:val="003B2E92"/>
    <w:rsid w:val="003B302F"/>
    <w:rsid w:val="003B362E"/>
    <w:rsid w:val="003B3A07"/>
    <w:rsid w:val="003B3AF1"/>
    <w:rsid w:val="003B3E2F"/>
    <w:rsid w:val="003B435D"/>
    <w:rsid w:val="003B44C5"/>
    <w:rsid w:val="003B4DF2"/>
    <w:rsid w:val="003B4E16"/>
    <w:rsid w:val="003B57C0"/>
    <w:rsid w:val="003B5F7D"/>
    <w:rsid w:val="003B6ABC"/>
    <w:rsid w:val="003B6B7D"/>
    <w:rsid w:val="003B6D4D"/>
    <w:rsid w:val="003B709C"/>
    <w:rsid w:val="003C062F"/>
    <w:rsid w:val="003C0842"/>
    <w:rsid w:val="003C1060"/>
    <w:rsid w:val="003C11A1"/>
    <w:rsid w:val="003C1881"/>
    <w:rsid w:val="003C1979"/>
    <w:rsid w:val="003C23CA"/>
    <w:rsid w:val="003C26A8"/>
    <w:rsid w:val="003C2C8F"/>
    <w:rsid w:val="003C32D5"/>
    <w:rsid w:val="003C3ED2"/>
    <w:rsid w:val="003C46E3"/>
    <w:rsid w:val="003C4799"/>
    <w:rsid w:val="003C492C"/>
    <w:rsid w:val="003C51EC"/>
    <w:rsid w:val="003C5E14"/>
    <w:rsid w:val="003C6708"/>
    <w:rsid w:val="003C6AC6"/>
    <w:rsid w:val="003C6B57"/>
    <w:rsid w:val="003C70E6"/>
    <w:rsid w:val="003C7803"/>
    <w:rsid w:val="003C7B8B"/>
    <w:rsid w:val="003D095F"/>
    <w:rsid w:val="003D11EF"/>
    <w:rsid w:val="003D161C"/>
    <w:rsid w:val="003D185F"/>
    <w:rsid w:val="003D1B93"/>
    <w:rsid w:val="003D1BD0"/>
    <w:rsid w:val="003D216A"/>
    <w:rsid w:val="003D2D37"/>
    <w:rsid w:val="003D339B"/>
    <w:rsid w:val="003D34BE"/>
    <w:rsid w:val="003D3823"/>
    <w:rsid w:val="003D3C2C"/>
    <w:rsid w:val="003D405C"/>
    <w:rsid w:val="003D40BD"/>
    <w:rsid w:val="003D42CF"/>
    <w:rsid w:val="003D4828"/>
    <w:rsid w:val="003D4A51"/>
    <w:rsid w:val="003D4BCD"/>
    <w:rsid w:val="003D4CC6"/>
    <w:rsid w:val="003D52F4"/>
    <w:rsid w:val="003D556A"/>
    <w:rsid w:val="003D55D9"/>
    <w:rsid w:val="003D5D9D"/>
    <w:rsid w:val="003D653B"/>
    <w:rsid w:val="003D6F1E"/>
    <w:rsid w:val="003D70E5"/>
    <w:rsid w:val="003D74C9"/>
    <w:rsid w:val="003D7569"/>
    <w:rsid w:val="003D75B0"/>
    <w:rsid w:val="003E044D"/>
    <w:rsid w:val="003E0B11"/>
    <w:rsid w:val="003E1101"/>
    <w:rsid w:val="003E12ED"/>
    <w:rsid w:val="003E1474"/>
    <w:rsid w:val="003E2075"/>
    <w:rsid w:val="003E21CF"/>
    <w:rsid w:val="003E21F4"/>
    <w:rsid w:val="003E2451"/>
    <w:rsid w:val="003E2E0A"/>
    <w:rsid w:val="003E336B"/>
    <w:rsid w:val="003E3452"/>
    <w:rsid w:val="003E3484"/>
    <w:rsid w:val="003E3861"/>
    <w:rsid w:val="003E3CFB"/>
    <w:rsid w:val="003E4168"/>
    <w:rsid w:val="003E4930"/>
    <w:rsid w:val="003E4B0B"/>
    <w:rsid w:val="003E4FAC"/>
    <w:rsid w:val="003E57EA"/>
    <w:rsid w:val="003E5925"/>
    <w:rsid w:val="003E62E9"/>
    <w:rsid w:val="003E6745"/>
    <w:rsid w:val="003E702D"/>
    <w:rsid w:val="003E7C2E"/>
    <w:rsid w:val="003E7C44"/>
    <w:rsid w:val="003F0591"/>
    <w:rsid w:val="003F0AA2"/>
    <w:rsid w:val="003F123E"/>
    <w:rsid w:val="003F16A0"/>
    <w:rsid w:val="003F1CF8"/>
    <w:rsid w:val="003F1D4C"/>
    <w:rsid w:val="003F1E83"/>
    <w:rsid w:val="003F211A"/>
    <w:rsid w:val="003F25D6"/>
    <w:rsid w:val="003F35DC"/>
    <w:rsid w:val="003F3C37"/>
    <w:rsid w:val="003F3DE8"/>
    <w:rsid w:val="003F3E9A"/>
    <w:rsid w:val="003F3EC3"/>
    <w:rsid w:val="003F5471"/>
    <w:rsid w:val="003F5732"/>
    <w:rsid w:val="003F59E5"/>
    <w:rsid w:val="003F5AC8"/>
    <w:rsid w:val="003F5FE9"/>
    <w:rsid w:val="003F6018"/>
    <w:rsid w:val="003F7336"/>
    <w:rsid w:val="003F7737"/>
    <w:rsid w:val="003F7F42"/>
    <w:rsid w:val="004011D8"/>
    <w:rsid w:val="0040163E"/>
    <w:rsid w:val="00401B6D"/>
    <w:rsid w:val="004021A6"/>
    <w:rsid w:val="004026C6"/>
    <w:rsid w:val="00402722"/>
    <w:rsid w:val="00402CF2"/>
    <w:rsid w:val="00403068"/>
    <w:rsid w:val="00403A43"/>
    <w:rsid w:val="0040440A"/>
    <w:rsid w:val="004044BA"/>
    <w:rsid w:val="0040533A"/>
    <w:rsid w:val="00405580"/>
    <w:rsid w:val="00405B59"/>
    <w:rsid w:val="00406CD7"/>
    <w:rsid w:val="004074EE"/>
    <w:rsid w:val="00407B3F"/>
    <w:rsid w:val="00407DF9"/>
    <w:rsid w:val="00410DB7"/>
    <w:rsid w:val="00410F29"/>
    <w:rsid w:val="00411799"/>
    <w:rsid w:val="00411A9B"/>
    <w:rsid w:val="00412C30"/>
    <w:rsid w:val="00412E43"/>
    <w:rsid w:val="00413876"/>
    <w:rsid w:val="00413F2A"/>
    <w:rsid w:val="00413F48"/>
    <w:rsid w:val="00413F72"/>
    <w:rsid w:val="004145B6"/>
    <w:rsid w:val="00414670"/>
    <w:rsid w:val="00414D70"/>
    <w:rsid w:val="004151F3"/>
    <w:rsid w:val="00415CD0"/>
    <w:rsid w:val="0041642F"/>
    <w:rsid w:val="00416964"/>
    <w:rsid w:val="00416E36"/>
    <w:rsid w:val="00416FD4"/>
    <w:rsid w:val="004170D2"/>
    <w:rsid w:val="0041769D"/>
    <w:rsid w:val="00417BC0"/>
    <w:rsid w:val="00417BED"/>
    <w:rsid w:val="00420113"/>
    <w:rsid w:val="004204F5"/>
    <w:rsid w:val="004209BF"/>
    <w:rsid w:val="00420AF2"/>
    <w:rsid w:val="00420D35"/>
    <w:rsid w:val="00421306"/>
    <w:rsid w:val="00421324"/>
    <w:rsid w:val="004216F4"/>
    <w:rsid w:val="00421910"/>
    <w:rsid w:val="00421933"/>
    <w:rsid w:val="00421B30"/>
    <w:rsid w:val="00421C02"/>
    <w:rsid w:val="004222B6"/>
    <w:rsid w:val="00422B68"/>
    <w:rsid w:val="00422C9A"/>
    <w:rsid w:val="00423352"/>
    <w:rsid w:val="00423D06"/>
    <w:rsid w:val="00423D7C"/>
    <w:rsid w:val="004242ED"/>
    <w:rsid w:val="004247E1"/>
    <w:rsid w:val="004247F2"/>
    <w:rsid w:val="00424873"/>
    <w:rsid w:val="00424A04"/>
    <w:rsid w:val="00424B63"/>
    <w:rsid w:val="00424F27"/>
    <w:rsid w:val="00424F3D"/>
    <w:rsid w:val="0042507E"/>
    <w:rsid w:val="00425383"/>
    <w:rsid w:val="004253A5"/>
    <w:rsid w:val="004253CA"/>
    <w:rsid w:val="00425B08"/>
    <w:rsid w:val="004265C8"/>
    <w:rsid w:val="00426D82"/>
    <w:rsid w:val="00427476"/>
    <w:rsid w:val="00427518"/>
    <w:rsid w:val="004278A3"/>
    <w:rsid w:val="00427FB4"/>
    <w:rsid w:val="004307FD"/>
    <w:rsid w:val="00430983"/>
    <w:rsid w:val="00430E5A"/>
    <w:rsid w:val="00431026"/>
    <w:rsid w:val="004310BD"/>
    <w:rsid w:val="00431EFD"/>
    <w:rsid w:val="00431F2D"/>
    <w:rsid w:val="00432096"/>
    <w:rsid w:val="00432182"/>
    <w:rsid w:val="004326F2"/>
    <w:rsid w:val="0043273C"/>
    <w:rsid w:val="00432F3D"/>
    <w:rsid w:val="00433125"/>
    <w:rsid w:val="004335A9"/>
    <w:rsid w:val="004336C4"/>
    <w:rsid w:val="00434125"/>
    <w:rsid w:val="004347CA"/>
    <w:rsid w:val="00434F9B"/>
    <w:rsid w:val="004353AF"/>
    <w:rsid w:val="00435A2D"/>
    <w:rsid w:val="00435F7B"/>
    <w:rsid w:val="00435F90"/>
    <w:rsid w:val="00435FAF"/>
    <w:rsid w:val="00437433"/>
    <w:rsid w:val="00437453"/>
    <w:rsid w:val="00437962"/>
    <w:rsid w:val="00437BDC"/>
    <w:rsid w:val="004403C9"/>
    <w:rsid w:val="00440584"/>
    <w:rsid w:val="00440D89"/>
    <w:rsid w:val="00440DE2"/>
    <w:rsid w:val="00440FD8"/>
    <w:rsid w:val="004413A1"/>
    <w:rsid w:val="00441915"/>
    <w:rsid w:val="00441A5E"/>
    <w:rsid w:val="00441A7C"/>
    <w:rsid w:val="0044205C"/>
    <w:rsid w:val="00442CC1"/>
    <w:rsid w:val="00442F48"/>
    <w:rsid w:val="004435AE"/>
    <w:rsid w:val="00443868"/>
    <w:rsid w:val="004439E2"/>
    <w:rsid w:val="00443AF8"/>
    <w:rsid w:val="00443EA7"/>
    <w:rsid w:val="00444381"/>
    <w:rsid w:val="0044488A"/>
    <w:rsid w:val="00444B34"/>
    <w:rsid w:val="00444F97"/>
    <w:rsid w:val="004457D9"/>
    <w:rsid w:val="00445965"/>
    <w:rsid w:val="00445D76"/>
    <w:rsid w:val="00446040"/>
    <w:rsid w:val="00446E02"/>
    <w:rsid w:val="00446E70"/>
    <w:rsid w:val="00447495"/>
    <w:rsid w:val="00447F28"/>
    <w:rsid w:val="00450555"/>
    <w:rsid w:val="00450DF0"/>
    <w:rsid w:val="00450E7D"/>
    <w:rsid w:val="00450EEE"/>
    <w:rsid w:val="004513C1"/>
    <w:rsid w:val="004520C1"/>
    <w:rsid w:val="00452A02"/>
    <w:rsid w:val="00452A7F"/>
    <w:rsid w:val="00452D20"/>
    <w:rsid w:val="00453F3F"/>
    <w:rsid w:val="004542EB"/>
    <w:rsid w:val="00454905"/>
    <w:rsid w:val="0045537A"/>
    <w:rsid w:val="004557F8"/>
    <w:rsid w:val="0045634C"/>
    <w:rsid w:val="004566CD"/>
    <w:rsid w:val="004568E2"/>
    <w:rsid w:val="00457545"/>
    <w:rsid w:val="004577EE"/>
    <w:rsid w:val="004579BA"/>
    <w:rsid w:val="00457E91"/>
    <w:rsid w:val="00460382"/>
    <w:rsid w:val="004605E4"/>
    <w:rsid w:val="00460B21"/>
    <w:rsid w:val="004617FD"/>
    <w:rsid w:val="00461A03"/>
    <w:rsid w:val="00461B59"/>
    <w:rsid w:val="00461CF1"/>
    <w:rsid w:val="00461DA0"/>
    <w:rsid w:val="00461DAF"/>
    <w:rsid w:val="00461E71"/>
    <w:rsid w:val="00461F17"/>
    <w:rsid w:val="00462543"/>
    <w:rsid w:val="0046295F"/>
    <w:rsid w:val="00462B5F"/>
    <w:rsid w:val="0046307D"/>
    <w:rsid w:val="004630BD"/>
    <w:rsid w:val="00463468"/>
    <w:rsid w:val="00463F9B"/>
    <w:rsid w:val="00464081"/>
    <w:rsid w:val="00464202"/>
    <w:rsid w:val="0046509B"/>
    <w:rsid w:val="0046514F"/>
    <w:rsid w:val="00465244"/>
    <w:rsid w:val="0046559A"/>
    <w:rsid w:val="00465823"/>
    <w:rsid w:val="0046607B"/>
    <w:rsid w:val="004660DB"/>
    <w:rsid w:val="0046679D"/>
    <w:rsid w:val="00466A06"/>
    <w:rsid w:val="00470416"/>
    <w:rsid w:val="00470884"/>
    <w:rsid w:val="00472267"/>
    <w:rsid w:val="004728E4"/>
    <w:rsid w:val="00472902"/>
    <w:rsid w:val="00472923"/>
    <w:rsid w:val="0047366C"/>
    <w:rsid w:val="004739BF"/>
    <w:rsid w:val="00474226"/>
    <w:rsid w:val="00474587"/>
    <w:rsid w:val="00474732"/>
    <w:rsid w:val="00474742"/>
    <w:rsid w:val="00474994"/>
    <w:rsid w:val="00474A1E"/>
    <w:rsid w:val="00474AA4"/>
    <w:rsid w:val="00474D0A"/>
    <w:rsid w:val="00475280"/>
    <w:rsid w:val="00475DE6"/>
    <w:rsid w:val="0047673D"/>
    <w:rsid w:val="00477024"/>
    <w:rsid w:val="004773F1"/>
    <w:rsid w:val="004800A9"/>
    <w:rsid w:val="00480982"/>
    <w:rsid w:val="00481040"/>
    <w:rsid w:val="00481263"/>
    <w:rsid w:val="00481528"/>
    <w:rsid w:val="004820F2"/>
    <w:rsid w:val="00482C44"/>
    <w:rsid w:val="00483098"/>
    <w:rsid w:val="00483E68"/>
    <w:rsid w:val="00484049"/>
    <w:rsid w:val="00485377"/>
    <w:rsid w:val="004858C9"/>
    <w:rsid w:val="00485CF7"/>
    <w:rsid w:val="00486196"/>
    <w:rsid w:val="00486511"/>
    <w:rsid w:val="004877AE"/>
    <w:rsid w:val="00487F39"/>
    <w:rsid w:val="00490870"/>
    <w:rsid w:val="004915D5"/>
    <w:rsid w:val="00491849"/>
    <w:rsid w:val="00491C43"/>
    <w:rsid w:val="004920B4"/>
    <w:rsid w:val="00492377"/>
    <w:rsid w:val="004926BE"/>
    <w:rsid w:val="004927B9"/>
    <w:rsid w:val="0049286E"/>
    <w:rsid w:val="0049313E"/>
    <w:rsid w:val="00493549"/>
    <w:rsid w:val="00493EE5"/>
    <w:rsid w:val="004945C4"/>
    <w:rsid w:val="00494A7D"/>
    <w:rsid w:val="00494C2F"/>
    <w:rsid w:val="0049538A"/>
    <w:rsid w:val="00496521"/>
    <w:rsid w:val="00496875"/>
    <w:rsid w:val="004969B1"/>
    <w:rsid w:val="00496BFB"/>
    <w:rsid w:val="00497005"/>
    <w:rsid w:val="004975C2"/>
    <w:rsid w:val="004975C6"/>
    <w:rsid w:val="0049788A"/>
    <w:rsid w:val="00497A9C"/>
    <w:rsid w:val="00497E03"/>
    <w:rsid w:val="004A0001"/>
    <w:rsid w:val="004A0622"/>
    <w:rsid w:val="004A07C9"/>
    <w:rsid w:val="004A10F3"/>
    <w:rsid w:val="004A1732"/>
    <w:rsid w:val="004A1816"/>
    <w:rsid w:val="004A19F5"/>
    <w:rsid w:val="004A1E4F"/>
    <w:rsid w:val="004A26A1"/>
    <w:rsid w:val="004A2A36"/>
    <w:rsid w:val="004A2DD1"/>
    <w:rsid w:val="004A2E34"/>
    <w:rsid w:val="004A310B"/>
    <w:rsid w:val="004A315F"/>
    <w:rsid w:val="004A31BA"/>
    <w:rsid w:val="004A32B2"/>
    <w:rsid w:val="004A32D3"/>
    <w:rsid w:val="004A3DD3"/>
    <w:rsid w:val="004A4C33"/>
    <w:rsid w:val="004A55CF"/>
    <w:rsid w:val="004A651D"/>
    <w:rsid w:val="004A6ECC"/>
    <w:rsid w:val="004A743D"/>
    <w:rsid w:val="004A7455"/>
    <w:rsid w:val="004A7B68"/>
    <w:rsid w:val="004B02B9"/>
    <w:rsid w:val="004B0572"/>
    <w:rsid w:val="004B05CD"/>
    <w:rsid w:val="004B107C"/>
    <w:rsid w:val="004B2EC4"/>
    <w:rsid w:val="004B2FFD"/>
    <w:rsid w:val="004B3B17"/>
    <w:rsid w:val="004B3DD8"/>
    <w:rsid w:val="004B3E77"/>
    <w:rsid w:val="004B3EB9"/>
    <w:rsid w:val="004B418B"/>
    <w:rsid w:val="004B44B9"/>
    <w:rsid w:val="004B44CD"/>
    <w:rsid w:val="004B4BE5"/>
    <w:rsid w:val="004B4F3B"/>
    <w:rsid w:val="004B5870"/>
    <w:rsid w:val="004B6B1D"/>
    <w:rsid w:val="004B790D"/>
    <w:rsid w:val="004C004B"/>
    <w:rsid w:val="004C00D8"/>
    <w:rsid w:val="004C08D4"/>
    <w:rsid w:val="004C0FEE"/>
    <w:rsid w:val="004C37C9"/>
    <w:rsid w:val="004C390D"/>
    <w:rsid w:val="004C3AF3"/>
    <w:rsid w:val="004C3BCE"/>
    <w:rsid w:val="004C3D9E"/>
    <w:rsid w:val="004C440B"/>
    <w:rsid w:val="004C44A3"/>
    <w:rsid w:val="004C4CA0"/>
    <w:rsid w:val="004C5310"/>
    <w:rsid w:val="004C56C4"/>
    <w:rsid w:val="004C5A1F"/>
    <w:rsid w:val="004C6A07"/>
    <w:rsid w:val="004C6C57"/>
    <w:rsid w:val="004C7047"/>
    <w:rsid w:val="004C7212"/>
    <w:rsid w:val="004C7E15"/>
    <w:rsid w:val="004D0460"/>
    <w:rsid w:val="004D0E7B"/>
    <w:rsid w:val="004D1802"/>
    <w:rsid w:val="004D1A52"/>
    <w:rsid w:val="004D1F73"/>
    <w:rsid w:val="004D21C4"/>
    <w:rsid w:val="004D248C"/>
    <w:rsid w:val="004D2599"/>
    <w:rsid w:val="004D2A2E"/>
    <w:rsid w:val="004D2B85"/>
    <w:rsid w:val="004D2BE8"/>
    <w:rsid w:val="004D2D3D"/>
    <w:rsid w:val="004D3119"/>
    <w:rsid w:val="004D33F3"/>
    <w:rsid w:val="004D35CD"/>
    <w:rsid w:val="004D387C"/>
    <w:rsid w:val="004D38EF"/>
    <w:rsid w:val="004D49BA"/>
    <w:rsid w:val="004D505D"/>
    <w:rsid w:val="004D5092"/>
    <w:rsid w:val="004D5264"/>
    <w:rsid w:val="004D53AF"/>
    <w:rsid w:val="004D5C7B"/>
    <w:rsid w:val="004D61CA"/>
    <w:rsid w:val="004D66D4"/>
    <w:rsid w:val="004D68E7"/>
    <w:rsid w:val="004D6A5F"/>
    <w:rsid w:val="004D790D"/>
    <w:rsid w:val="004D7CC0"/>
    <w:rsid w:val="004D7EAB"/>
    <w:rsid w:val="004E13F2"/>
    <w:rsid w:val="004E142D"/>
    <w:rsid w:val="004E1481"/>
    <w:rsid w:val="004E186D"/>
    <w:rsid w:val="004E1EBD"/>
    <w:rsid w:val="004E28C2"/>
    <w:rsid w:val="004E2D38"/>
    <w:rsid w:val="004E2F7B"/>
    <w:rsid w:val="004E3022"/>
    <w:rsid w:val="004E4055"/>
    <w:rsid w:val="004E4379"/>
    <w:rsid w:val="004E4B6D"/>
    <w:rsid w:val="004E5708"/>
    <w:rsid w:val="004E59AA"/>
    <w:rsid w:val="004E5B81"/>
    <w:rsid w:val="004E693B"/>
    <w:rsid w:val="004E6AE0"/>
    <w:rsid w:val="004E7679"/>
    <w:rsid w:val="004E7A03"/>
    <w:rsid w:val="004F052D"/>
    <w:rsid w:val="004F0565"/>
    <w:rsid w:val="004F1670"/>
    <w:rsid w:val="004F1BEF"/>
    <w:rsid w:val="004F27D7"/>
    <w:rsid w:val="004F2875"/>
    <w:rsid w:val="004F299F"/>
    <w:rsid w:val="004F2B2D"/>
    <w:rsid w:val="004F3132"/>
    <w:rsid w:val="004F3227"/>
    <w:rsid w:val="004F36A7"/>
    <w:rsid w:val="004F378B"/>
    <w:rsid w:val="004F3D9E"/>
    <w:rsid w:val="004F4191"/>
    <w:rsid w:val="004F4268"/>
    <w:rsid w:val="004F4595"/>
    <w:rsid w:val="004F4A62"/>
    <w:rsid w:val="004F4ABB"/>
    <w:rsid w:val="004F4D87"/>
    <w:rsid w:val="004F4DBB"/>
    <w:rsid w:val="004F5135"/>
    <w:rsid w:val="004F54C2"/>
    <w:rsid w:val="004F5A4D"/>
    <w:rsid w:val="004F5A9D"/>
    <w:rsid w:val="004F607A"/>
    <w:rsid w:val="004F60DD"/>
    <w:rsid w:val="004F6848"/>
    <w:rsid w:val="004F73C3"/>
    <w:rsid w:val="004F7C46"/>
    <w:rsid w:val="004F7CFE"/>
    <w:rsid w:val="004F7D28"/>
    <w:rsid w:val="00500092"/>
    <w:rsid w:val="005002E1"/>
    <w:rsid w:val="005002E6"/>
    <w:rsid w:val="00500692"/>
    <w:rsid w:val="00500E3D"/>
    <w:rsid w:val="00501037"/>
    <w:rsid w:val="0050114D"/>
    <w:rsid w:val="005012B5"/>
    <w:rsid w:val="00501A7D"/>
    <w:rsid w:val="005020AE"/>
    <w:rsid w:val="005023F5"/>
    <w:rsid w:val="005024A0"/>
    <w:rsid w:val="0050255E"/>
    <w:rsid w:val="0050264D"/>
    <w:rsid w:val="00502B1C"/>
    <w:rsid w:val="00502BB6"/>
    <w:rsid w:val="00503316"/>
    <w:rsid w:val="00503441"/>
    <w:rsid w:val="0050381F"/>
    <w:rsid w:val="00504829"/>
    <w:rsid w:val="005050CF"/>
    <w:rsid w:val="005051D5"/>
    <w:rsid w:val="005053BE"/>
    <w:rsid w:val="00506810"/>
    <w:rsid w:val="00506D1E"/>
    <w:rsid w:val="00507045"/>
    <w:rsid w:val="005072B7"/>
    <w:rsid w:val="00507CBF"/>
    <w:rsid w:val="00507E76"/>
    <w:rsid w:val="0051070A"/>
    <w:rsid w:val="0051084E"/>
    <w:rsid w:val="00510F0B"/>
    <w:rsid w:val="00511282"/>
    <w:rsid w:val="00511AF4"/>
    <w:rsid w:val="00511C51"/>
    <w:rsid w:val="0051229C"/>
    <w:rsid w:val="005122C3"/>
    <w:rsid w:val="00512FA4"/>
    <w:rsid w:val="0051332E"/>
    <w:rsid w:val="0051349F"/>
    <w:rsid w:val="005136CA"/>
    <w:rsid w:val="00513B63"/>
    <w:rsid w:val="005142D9"/>
    <w:rsid w:val="00514B48"/>
    <w:rsid w:val="00515D3D"/>
    <w:rsid w:val="00516547"/>
    <w:rsid w:val="00516A74"/>
    <w:rsid w:val="00516E6D"/>
    <w:rsid w:val="00517345"/>
    <w:rsid w:val="00517716"/>
    <w:rsid w:val="005178BA"/>
    <w:rsid w:val="00517C31"/>
    <w:rsid w:val="005206B7"/>
    <w:rsid w:val="00520A51"/>
    <w:rsid w:val="00520D8F"/>
    <w:rsid w:val="005217CE"/>
    <w:rsid w:val="0052189F"/>
    <w:rsid w:val="00521B4C"/>
    <w:rsid w:val="00522342"/>
    <w:rsid w:val="00522737"/>
    <w:rsid w:val="00522A00"/>
    <w:rsid w:val="00522FBF"/>
    <w:rsid w:val="0052409C"/>
    <w:rsid w:val="00524DA2"/>
    <w:rsid w:val="0052511C"/>
    <w:rsid w:val="005254A7"/>
    <w:rsid w:val="00525697"/>
    <w:rsid w:val="00525728"/>
    <w:rsid w:val="00525816"/>
    <w:rsid w:val="00525A60"/>
    <w:rsid w:val="00525CD0"/>
    <w:rsid w:val="005266D2"/>
    <w:rsid w:val="00526772"/>
    <w:rsid w:val="005267D0"/>
    <w:rsid w:val="00526B47"/>
    <w:rsid w:val="005279B1"/>
    <w:rsid w:val="00530016"/>
    <w:rsid w:val="0053009E"/>
    <w:rsid w:val="00530250"/>
    <w:rsid w:val="00530441"/>
    <w:rsid w:val="00530489"/>
    <w:rsid w:val="005306CA"/>
    <w:rsid w:val="00530ACD"/>
    <w:rsid w:val="00531025"/>
    <w:rsid w:val="00531078"/>
    <w:rsid w:val="005310F9"/>
    <w:rsid w:val="0053139C"/>
    <w:rsid w:val="005315E9"/>
    <w:rsid w:val="00531A28"/>
    <w:rsid w:val="0053256E"/>
    <w:rsid w:val="005329E2"/>
    <w:rsid w:val="00532AE4"/>
    <w:rsid w:val="0053307E"/>
    <w:rsid w:val="0053432D"/>
    <w:rsid w:val="0053447F"/>
    <w:rsid w:val="005344E5"/>
    <w:rsid w:val="00534D5D"/>
    <w:rsid w:val="00534DA8"/>
    <w:rsid w:val="00534E0A"/>
    <w:rsid w:val="00535D72"/>
    <w:rsid w:val="00535F8D"/>
    <w:rsid w:val="00536168"/>
    <w:rsid w:val="00536C9D"/>
    <w:rsid w:val="005374B3"/>
    <w:rsid w:val="005378B4"/>
    <w:rsid w:val="00537A9B"/>
    <w:rsid w:val="00537DD6"/>
    <w:rsid w:val="0054095A"/>
    <w:rsid w:val="005410C4"/>
    <w:rsid w:val="00541710"/>
    <w:rsid w:val="00541850"/>
    <w:rsid w:val="00541AA0"/>
    <w:rsid w:val="00541C36"/>
    <w:rsid w:val="0054244F"/>
    <w:rsid w:val="00542E0E"/>
    <w:rsid w:val="005430EB"/>
    <w:rsid w:val="005436DB"/>
    <w:rsid w:val="0054441F"/>
    <w:rsid w:val="00544952"/>
    <w:rsid w:val="0054520A"/>
    <w:rsid w:val="00545513"/>
    <w:rsid w:val="005455FC"/>
    <w:rsid w:val="00545CCF"/>
    <w:rsid w:val="00545CED"/>
    <w:rsid w:val="005462CE"/>
    <w:rsid w:val="00546CC1"/>
    <w:rsid w:val="00546F5B"/>
    <w:rsid w:val="005473E6"/>
    <w:rsid w:val="005478CE"/>
    <w:rsid w:val="00547AB3"/>
    <w:rsid w:val="00551095"/>
    <w:rsid w:val="00551159"/>
    <w:rsid w:val="00551847"/>
    <w:rsid w:val="00551C21"/>
    <w:rsid w:val="005521E9"/>
    <w:rsid w:val="0055228B"/>
    <w:rsid w:val="005525E2"/>
    <w:rsid w:val="005526ED"/>
    <w:rsid w:val="0055276B"/>
    <w:rsid w:val="005529FE"/>
    <w:rsid w:val="00552B66"/>
    <w:rsid w:val="00552DDF"/>
    <w:rsid w:val="00553044"/>
    <w:rsid w:val="00553943"/>
    <w:rsid w:val="005549A5"/>
    <w:rsid w:val="00554BA9"/>
    <w:rsid w:val="00554FD7"/>
    <w:rsid w:val="00555DBA"/>
    <w:rsid w:val="00555E6B"/>
    <w:rsid w:val="00556F24"/>
    <w:rsid w:val="005572B6"/>
    <w:rsid w:val="00557B10"/>
    <w:rsid w:val="0056046C"/>
    <w:rsid w:val="0056049D"/>
    <w:rsid w:val="005604F0"/>
    <w:rsid w:val="00561474"/>
    <w:rsid w:val="00561B42"/>
    <w:rsid w:val="00561E44"/>
    <w:rsid w:val="00562042"/>
    <w:rsid w:val="005623E3"/>
    <w:rsid w:val="005635DB"/>
    <w:rsid w:val="00563755"/>
    <w:rsid w:val="0056376D"/>
    <w:rsid w:val="005639AE"/>
    <w:rsid w:val="00563F51"/>
    <w:rsid w:val="00563F55"/>
    <w:rsid w:val="0056415E"/>
    <w:rsid w:val="0056431C"/>
    <w:rsid w:val="005655F4"/>
    <w:rsid w:val="00565C9A"/>
    <w:rsid w:val="00565CE4"/>
    <w:rsid w:val="00565F4D"/>
    <w:rsid w:val="00566009"/>
    <w:rsid w:val="00566342"/>
    <w:rsid w:val="00566A68"/>
    <w:rsid w:val="00566CCE"/>
    <w:rsid w:val="005673A7"/>
    <w:rsid w:val="00567751"/>
    <w:rsid w:val="00567860"/>
    <w:rsid w:val="00567AC5"/>
    <w:rsid w:val="00570224"/>
    <w:rsid w:val="0057083E"/>
    <w:rsid w:val="00570BB6"/>
    <w:rsid w:val="00570DD4"/>
    <w:rsid w:val="00571923"/>
    <w:rsid w:val="0057250C"/>
    <w:rsid w:val="00572849"/>
    <w:rsid w:val="005729FB"/>
    <w:rsid w:val="00572A86"/>
    <w:rsid w:val="00572DA2"/>
    <w:rsid w:val="005731A5"/>
    <w:rsid w:val="005739E9"/>
    <w:rsid w:val="00573A78"/>
    <w:rsid w:val="005743DC"/>
    <w:rsid w:val="0057478F"/>
    <w:rsid w:val="00574946"/>
    <w:rsid w:val="00574F5B"/>
    <w:rsid w:val="005755B3"/>
    <w:rsid w:val="00575A33"/>
    <w:rsid w:val="00575C7A"/>
    <w:rsid w:val="00575E32"/>
    <w:rsid w:val="00575FD3"/>
    <w:rsid w:val="005769C9"/>
    <w:rsid w:val="00576C59"/>
    <w:rsid w:val="00577319"/>
    <w:rsid w:val="00577F90"/>
    <w:rsid w:val="00580BD2"/>
    <w:rsid w:val="00580CD4"/>
    <w:rsid w:val="00581036"/>
    <w:rsid w:val="0058135D"/>
    <w:rsid w:val="005818CC"/>
    <w:rsid w:val="00581F4D"/>
    <w:rsid w:val="00582510"/>
    <w:rsid w:val="00582EF5"/>
    <w:rsid w:val="0058343B"/>
    <w:rsid w:val="005839BB"/>
    <w:rsid w:val="005842E1"/>
    <w:rsid w:val="00584B9A"/>
    <w:rsid w:val="00585016"/>
    <w:rsid w:val="0058513A"/>
    <w:rsid w:val="005855C2"/>
    <w:rsid w:val="005858A1"/>
    <w:rsid w:val="005859D9"/>
    <w:rsid w:val="00586464"/>
    <w:rsid w:val="00586608"/>
    <w:rsid w:val="00587099"/>
    <w:rsid w:val="005871EC"/>
    <w:rsid w:val="00587DC3"/>
    <w:rsid w:val="00590254"/>
    <w:rsid w:val="00590413"/>
    <w:rsid w:val="005908F8"/>
    <w:rsid w:val="00590934"/>
    <w:rsid w:val="00590CCA"/>
    <w:rsid w:val="005914A3"/>
    <w:rsid w:val="005915D2"/>
    <w:rsid w:val="00591B7D"/>
    <w:rsid w:val="00591F90"/>
    <w:rsid w:val="00591FB1"/>
    <w:rsid w:val="0059253C"/>
    <w:rsid w:val="00592888"/>
    <w:rsid w:val="005928FB"/>
    <w:rsid w:val="00592966"/>
    <w:rsid w:val="005939DE"/>
    <w:rsid w:val="00593B47"/>
    <w:rsid w:val="00594046"/>
    <w:rsid w:val="00594077"/>
    <w:rsid w:val="005944A8"/>
    <w:rsid w:val="00595411"/>
    <w:rsid w:val="00596083"/>
    <w:rsid w:val="005963FA"/>
    <w:rsid w:val="0059664D"/>
    <w:rsid w:val="00596889"/>
    <w:rsid w:val="005968AF"/>
    <w:rsid w:val="00596A56"/>
    <w:rsid w:val="00596AF6"/>
    <w:rsid w:val="00596CF4"/>
    <w:rsid w:val="00597111"/>
    <w:rsid w:val="00597185"/>
    <w:rsid w:val="005973DB"/>
    <w:rsid w:val="005A05A9"/>
    <w:rsid w:val="005A08B8"/>
    <w:rsid w:val="005A09BC"/>
    <w:rsid w:val="005A0ADC"/>
    <w:rsid w:val="005A0F67"/>
    <w:rsid w:val="005A13CE"/>
    <w:rsid w:val="005A1400"/>
    <w:rsid w:val="005A1792"/>
    <w:rsid w:val="005A17A6"/>
    <w:rsid w:val="005A1936"/>
    <w:rsid w:val="005A1D8F"/>
    <w:rsid w:val="005A20F5"/>
    <w:rsid w:val="005A22F9"/>
    <w:rsid w:val="005A284A"/>
    <w:rsid w:val="005A28E4"/>
    <w:rsid w:val="005A2CCA"/>
    <w:rsid w:val="005A3040"/>
    <w:rsid w:val="005A3774"/>
    <w:rsid w:val="005A4051"/>
    <w:rsid w:val="005A40D6"/>
    <w:rsid w:val="005A424C"/>
    <w:rsid w:val="005A4E97"/>
    <w:rsid w:val="005A4F6B"/>
    <w:rsid w:val="005A52C5"/>
    <w:rsid w:val="005A5331"/>
    <w:rsid w:val="005A5648"/>
    <w:rsid w:val="005A57A8"/>
    <w:rsid w:val="005A5917"/>
    <w:rsid w:val="005A60EC"/>
    <w:rsid w:val="005A6543"/>
    <w:rsid w:val="005A6B63"/>
    <w:rsid w:val="005A6CD1"/>
    <w:rsid w:val="005A6EC8"/>
    <w:rsid w:val="005A6FF5"/>
    <w:rsid w:val="005A70A6"/>
    <w:rsid w:val="005A7199"/>
    <w:rsid w:val="005A746F"/>
    <w:rsid w:val="005B0087"/>
    <w:rsid w:val="005B00AD"/>
    <w:rsid w:val="005B01A6"/>
    <w:rsid w:val="005B04A9"/>
    <w:rsid w:val="005B1E79"/>
    <w:rsid w:val="005B2032"/>
    <w:rsid w:val="005B2258"/>
    <w:rsid w:val="005B2270"/>
    <w:rsid w:val="005B28DA"/>
    <w:rsid w:val="005B28ED"/>
    <w:rsid w:val="005B2F05"/>
    <w:rsid w:val="005B2F5E"/>
    <w:rsid w:val="005B315B"/>
    <w:rsid w:val="005B3226"/>
    <w:rsid w:val="005B36B5"/>
    <w:rsid w:val="005B388C"/>
    <w:rsid w:val="005B4848"/>
    <w:rsid w:val="005B488D"/>
    <w:rsid w:val="005B57A3"/>
    <w:rsid w:val="005B5B91"/>
    <w:rsid w:val="005B5E40"/>
    <w:rsid w:val="005B65DF"/>
    <w:rsid w:val="005B7092"/>
    <w:rsid w:val="005B7621"/>
    <w:rsid w:val="005C07B3"/>
    <w:rsid w:val="005C07E8"/>
    <w:rsid w:val="005C115F"/>
    <w:rsid w:val="005C1446"/>
    <w:rsid w:val="005C1A35"/>
    <w:rsid w:val="005C309D"/>
    <w:rsid w:val="005C3178"/>
    <w:rsid w:val="005C390F"/>
    <w:rsid w:val="005C3A50"/>
    <w:rsid w:val="005C4039"/>
    <w:rsid w:val="005C462E"/>
    <w:rsid w:val="005C46B4"/>
    <w:rsid w:val="005C5316"/>
    <w:rsid w:val="005C531F"/>
    <w:rsid w:val="005C54F5"/>
    <w:rsid w:val="005C5521"/>
    <w:rsid w:val="005C608B"/>
    <w:rsid w:val="005C63DA"/>
    <w:rsid w:val="005C7066"/>
    <w:rsid w:val="005C7758"/>
    <w:rsid w:val="005C7E36"/>
    <w:rsid w:val="005D0094"/>
    <w:rsid w:val="005D0455"/>
    <w:rsid w:val="005D078F"/>
    <w:rsid w:val="005D0DC6"/>
    <w:rsid w:val="005D14FB"/>
    <w:rsid w:val="005D3087"/>
    <w:rsid w:val="005D30AF"/>
    <w:rsid w:val="005D3CEE"/>
    <w:rsid w:val="005D4195"/>
    <w:rsid w:val="005D41D7"/>
    <w:rsid w:val="005D4500"/>
    <w:rsid w:val="005D467E"/>
    <w:rsid w:val="005D47D5"/>
    <w:rsid w:val="005D4CAD"/>
    <w:rsid w:val="005D56D3"/>
    <w:rsid w:val="005D5C4E"/>
    <w:rsid w:val="005D5D74"/>
    <w:rsid w:val="005D5E7C"/>
    <w:rsid w:val="005D5F1D"/>
    <w:rsid w:val="005D628E"/>
    <w:rsid w:val="005D6F3D"/>
    <w:rsid w:val="005D7444"/>
    <w:rsid w:val="005E0D23"/>
    <w:rsid w:val="005E0E5A"/>
    <w:rsid w:val="005E117E"/>
    <w:rsid w:val="005E1466"/>
    <w:rsid w:val="005E151E"/>
    <w:rsid w:val="005E1847"/>
    <w:rsid w:val="005E214A"/>
    <w:rsid w:val="005E2DE1"/>
    <w:rsid w:val="005E35B7"/>
    <w:rsid w:val="005E38E6"/>
    <w:rsid w:val="005E3914"/>
    <w:rsid w:val="005E3F99"/>
    <w:rsid w:val="005E404E"/>
    <w:rsid w:val="005E4345"/>
    <w:rsid w:val="005E4FBE"/>
    <w:rsid w:val="005E516E"/>
    <w:rsid w:val="005E52E4"/>
    <w:rsid w:val="005E5369"/>
    <w:rsid w:val="005E6195"/>
    <w:rsid w:val="005E68B7"/>
    <w:rsid w:val="005E732B"/>
    <w:rsid w:val="005E73B9"/>
    <w:rsid w:val="005E798F"/>
    <w:rsid w:val="005F0979"/>
    <w:rsid w:val="005F0A1B"/>
    <w:rsid w:val="005F0A30"/>
    <w:rsid w:val="005F0F5B"/>
    <w:rsid w:val="005F1421"/>
    <w:rsid w:val="005F1888"/>
    <w:rsid w:val="005F2CB5"/>
    <w:rsid w:val="005F32A2"/>
    <w:rsid w:val="005F3C69"/>
    <w:rsid w:val="005F4B55"/>
    <w:rsid w:val="005F5569"/>
    <w:rsid w:val="005F5D93"/>
    <w:rsid w:val="005F6F1F"/>
    <w:rsid w:val="005F722B"/>
    <w:rsid w:val="005F740A"/>
    <w:rsid w:val="005F77CB"/>
    <w:rsid w:val="005F7AA9"/>
    <w:rsid w:val="005F7BCD"/>
    <w:rsid w:val="005F7C8F"/>
    <w:rsid w:val="005F7EE9"/>
    <w:rsid w:val="0060019C"/>
    <w:rsid w:val="00600545"/>
    <w:rsid w:val="0060093C"/>
    <w:rsid w:val="00600C85"/>
    <w:rsid w:val="0060145D"/>
    <w:rsid w:val="006014F5"/>
    <w:rsid w:val="006018BE"/>
    <w:rsid w:val="00602877"/>
    <w:rsid w:val="006031F2"/>
    <w:rsid w:val="006035F5"/>
    <w:rsid w:val="0060378F"/>
    <w:rsid w:val="00604636"/>
    <w:rsid w:val="0060494A"/>
    <w:rsid w:val="006052F6"/>
    <w:rsid w:val="0060580E"/>
    <w:rsid w:val="00605A5F"/>
    <w:rsid w:val="006068A7"/>
    <w:rsid w:val="0060732E"/>
    <w:rsid w:val="00610143"/>
    <w:rsid w:val="00610193"/>
    <w:rsid w:val="0061030B"/>
    <w:rsid w:val="006103AB"/>
    <w:rsid w:val="006106BE"/>
    <w:rsid w:val="00611013"/>
    <w:rsid w:val="0061103B"/>
    <w:rsid w:val="0061115F"/>
    <w:rsid w:val="0061246A"/>
    <w:rsid w:val="00612A61"/>
    <w:rsid w:val="00612E1C"/>
    <w:rsid w:val="006139DD"/>
    <w:rsid w:val="00613B60"/>
    <w:rsid w:val="00613CB5"/>
    <w:rsid w:val="006148D4"/>
    <w:rsid w:val="00614F2D"/>
    <w:rsid w:val="00615A16"/>
    <w:rsid w:val="00615E24"/>
    <w:rsid w:val="006164B9"/>
    <w:rsid w:val="006165F2"/>
    <w:rsid w:val="00616742"/>
    <w:rsid w:val="00616804"/>
    <w:rsid w:val="00616CD5"/>
    <w:rsid w:val="0061748F"/>
    <w:rsid w:val="00617F35"/>
    <w:rsid w:val="00617FBA"/>
    <w:rsid w:val="00620847"/>
    <w:rsid w:val="00620CBF"/>
    <w:rsid w:val="00620E83"/>
    <w:rsid w:val="00621200"/>
    <w:rsid w:val="00621535"/>
    <w:rsid w:val="006215D6"/>
    <w:rsid w:val="00621B21"/>
    <w:rsid w:val="006224C3"/>
    <w:rsid w:val="00622A05"/>
    <w:rsid w:val="00622B59"/>
    <w:rsid w:val="00622D50"/>
    <w:rsid w:val="0062307B"/>
    <w:rsid w:val="00623B66"/>
    <w:rsid w:val="00623D34"/>
    <w:rsid w:val="0062448A"/>
    <w:rsid w:val="006247D6"/>
    <w:rsid w:val="00624D26"/>
    <w:rsid w:val="00624F6D"/>
    <w:rsid w:val="00624F83"/>
    <w:rsid w:val="0062515E"/>
    <w:rsid w:val="00625C9F"/>
    <w:rsid w:val="00625F76"/>
    <w:rsid w:val="00626B9D"/>
    <w:rsid w:val="00626BD9"/>
    <w:rsid w:val="00626E58"/>
    <w:rsid w:val="006273EC"/>
    <w:rsid w:val="006279D6"/>
    <w:rsid w:val="00627C37"/>
    <w:rsid w:val="00627D59"/>
    <w:rsid w:val="00627D67"/>
    <w:rsid w:val="0063003C"/>
    <w:rsid w:val="006300E3"/>
    <w:rsid w:val="00630205"/>
    <w:rsid w:val="0063039F"/>
    <w:rsid w:val="00630D0C"/>
    <w:rsid w:val="00631403"/>
    <w:rsid w:val="006318D2"/>
    <w:rsid w:val="006318D7"/>
    <w:rsid w:val="0063238C"/>
    <w:rsid w:val="006326D7"/>
    <w:rsid w:val="00632719"/>
    <w:rsid w:val="006334A6"/>
    <w:rsid w:val="00633E77"/>
    <w:rsid w:val="00634108"/>
    <w:rsid w:val="006349D1"/>
    <w:rsid w:val="00634CC3"/>
    <w:rsid w:val="0063516F"/>
    <w:rsid w:val="006359B8"/>
    <w:rsid w:val="00635ABE"/>
    <w:rsid w:val="00635BB0"/>
    <w:rsid w:val="00635BBE"/>
    <w:rsid w:val="00637366"/>
    <w:rsid w:val="00637716"/>
    <w:rsid w:val="00640546"/>
    <w:rsid w:val="00640A83"/>
    <w:rsid w:val="006412D1"/>
    <w:rsid w:val="00641852"/>
    <w:rsid w:val="00641AA2"/>
    <w:rsid w:val="006420C0"/>
    <w:rsid w:val="00642238"/>
    <w:rsid w:val="00642835"/>
    <w:rsid w:val="00642D11"/>
    <w:rsid w:val="00642F81"/>
    <w:rsid w:val="006431FF"/>
    <w:rsid w:val="006432E4"/>
    <w:rsid w:val="0064335E"/>
    <w:rsid w:val="0064373C"/>
    <w:rsid w:val="00644431"/>
    <w:rsid w:val="00644456"/>
    <w:rsid w:val="006446FB"/>
    <w:rsid w:val="006449FA"/>
    <w:rsid w:val="00644E22"/>
    <w:rsid w:val="00646002"/>
    <w:rsid w:val="00646140"/>
    <w:rsid w:val="00646959"/>
    <w:rsid w:val="00646C6B"/>
    <w:rsid w:val="006471A0"/>
    <w:rsid w:val="00647599"/>
    <w:rsid w:val="006476FD"/>
    <w:rsid w:val="00647C5A"/>
    <w:rsid w:val="00647CB8"/>
    <w:rsid w:val="00647D82"/>
    <w:rsid w:val="00647E5C"/>
    <w:rsid w:val="00647EA5"/>
    <w:rsid w:val="00650349"/>
    <w:rsid w:val="00650982"/>
    <w:rsid w:val="00650E27"/>
    <w:rsid w:val="00651955"/>
    <w:rsid w:val="00651C6E"/>
    <w:rsid w:val="00651CA0"/>
    <w:rsid w:val="00653AEB"/>
    <w:rsid w:val="00653DA1"/>
    <w:rsid w:val="00654092"/>
    <w:rsid w:val="006549C0"/>
    <w:rsid w:val="006549EF"/>
    <w:rsid w:val="00655089"/>
    <w:rsid w:val="006553C4"/>
    <w:rsid w:val="006556DB"/>
    <w:rsid w:val="00655AC8"/>
    <w:rsid w:val="006560C1"/>
    <w:rsid w:val="006566E4"/>
    <w:rsid w:val="0065670F"/>
    <w:rsid w:val="00657157"/>
    <w:rsid w:val="006573EF"/>
    <w:rsid w:val="00657457"/>
    <w:rsid w:val="006577DD"/>
    <w:rsid w:val="00657ACF"/>
    <w:rsid w:val="00657CC2"/>
    <w:rsid w:val="00657CF3"/>
    <w:rsid w:val="00660D9C"/>
    <w:rsid w:val="006614B2"/>
    <w:rsid w:val="00662D17"/>
    <w:rsid w:val="006631CF"/>
    <w:rsid w:val="00663250"/>
    <w:rsid w:val="00663765"/>
    <w:rsid w:val="0066390E"/>
    <w:rsid w:val="00663D66"/>
    <w:rsid w:val="006640DD"/>
    <w:rsid w:val="0066427B"/>
    <w:rsid w:val="006644A6"/>
    <w:rsid w:val="006644DA"/>
    <w:rsid w:val="00664517"/>
    <w:rsid w:val="0066463F"/>
    <w:rsid w:val="0066493A"/>
    <w:rsid w:val="00664DB6"/>
    <w:rsid w:val="0066503B"/>
    <w:rsid w:val="00665335"/>
    <w:rsid w:val="00665515"/>
    <w:rsid w:val="006669E7"/>
    <w:rsid w:val="00666B84"/>
    <w:rsid w:val="00667679"/>
    <w:rsid w:val="0066780A"/>
    <w:rsid w:val="00667D19"/>
    <w:rsid w:val="00670778"/>
    <w:rsid w:val="0067127B"/>
    <w:rsid w:val="00671301"/>
    <w:rsid w:val="00671467"/>
    <w:rsid w:val="006718ED"/>
    <w:rsid w:val="00671911"/>
    <w:rsid w:val="00672E4C"/>
    <w:rsid w:val="006735C6"/>
    <w:rsid w:val="0067369B"/>
    <w:rsid w:val="00674410"/>
    <w:rsid w:val="00674AF3"/>
    <w:rsid w:val="00674DD6"/>
    <w:rsid w:val="0067502F"/>
    <w:rsid w:val="00675D83"/>
    <w:rsid w:val="00676112"/>
    <w:rsid w:val="00676D04"/>
    <w:rsid w:val="00677075"/>
    <w:rsid w:val="00677336"/>
    <w:rsid w:val="006773A9"/>
    <w:rsid w:val="00677770"/>
    <w:rsid w:val="00677D1A"/>
    <w:rsid w:val="00680C90"/>
    <w:rsid w:val="00680D28"/>
    <w:rsid w:val="00680DD6"/>
    <w:rsid w:val="00681499"/>
    <w:rsid w:val="00681C1D"/>
    <w:rsid w:val="006827D4"/>
    <w:rsid w:val="00682939"/>
    <w:rsid w:val="0068336B"/>
    <w:rsid w:val="00683D15"/>
    <w:rsid w:val="00683E34"/>
    <w:rsid w:val="00683F24"/>
    <w:rsid w:val="006844FC"/>
    <w:rsid w:val="00684F93"/>
    <w:rsid w:val="00685458"/>
    <w:rsid w:val="00685689"/>
    <w:rsid w:val="006869D4"/>
    <w:rsid w:val="006870A7"/>
    <w:rsid w:val="00687405"/>
    <w:rsid w:val="006874BA"/>
    <w:rsid w:val="00687793"/>
    <w:rsid w:val="006879EF"/>
    <w:rsid w:val="00687E80"/>
    <w:rsid w:val="006902D8"/>
    <w:rsid w:val="006919EE"/>
    <w:rsid w:val="00691E5C"/>
    <w:rsid w:val="00692B75"/>
    <w:rsid w:val="00693377"/>
    <w:rsid w:val="00693875"/>
    <w:rsid w:val="00693A29"/>
    <w:rsid w:val="00693E6C"/>
    <w:rsid w:val="00693F58"/>
    <w:rsid w:val="00694453"/>
    <w:rsid w:val="00694553"/>
    <w:rsid w:val="00694654"/>
    <w:rsid w:val="0069472C"/>
    <w:rsid w:val="00694ADB"/>
    <w:rsid w:val="00694CAD"/>
    <w:rsid w:val="00694E10"/>
    <w:rsid w:val="00694EB6"/>
    <w:rsid w:val="0069598E"/>
    <w:rsid w:val="00695D83"/>
    <w:rsid w:val="00695FB4"/>
    <w:rsid w:val="006963D2"/>
    <w:rsid w:val="0069650F"/>
    <w:rsid w:val="0069687E"/>
    <w:rsid w:val="00696A46"/>
    <w:rsid w:val="006974F7"/>
    <w:rsid w:val="00697743"/>
    <w:rsid w:val="006A03B0"/>
    <w:rsid w:val="006A0553"/>
    <w:rsid w:val="006A072F"/>
    <w:rsid w:val="006A0887"/>
    <w:rsid w:val="006A0B1D"/>
    <w:rsid w:val="006A0E4B"/>
    <w:rsid w:val="006A11D8"/>
    <w:rsid w:val="006A14E9"/>
    <w:rsid w:val="006A1A3A"/>
    <w:rsid w:val="006A22DC"/>
    <w:rsid w:val="006A25B9"/>
    <w:rsid w:val="006A3893"/>
    <w:rsid w:val="006A40CD"/>
    <w:rsid w:val="006A41D2"/>
    <w:rsid w:val="006A41ED"/>
    <w:rsid w:val="006A448C"/>
    <w:rsid w:val="006A4495"/>
    <w:rsid w:val="006A46AE"/>
    <w:rsid w:val="006A4A5D"/>
    <w:rsid w:val="006A4B86"/>
    <w:rsid w:val="006A6084"/>
    <w:rsid w:val="006A6135"/>
    <w:rsid w:val="006A6455"/>
    <w:rsid w:val="006A64D0"/>
    <w:rsid w:val="006A6551"/>
    <w:rsid w:val="006A69AE"/>
    <w:rsid w:val="006A6C49"/>
    <w:rsid w:val="006A6E0A"/>
    <w:rsid w:val="006A70C7"/>
    <w:rsid w:val="006A7408"/>
    <w:rsid w:val="006A75D6"/>
    <w:rsid w:val="006A765A"/>
    <w:rsid w:val="006A7D22"/>
    <w:rsid w:val="006A7E80"/>
    <w:rsid w:val="006B007B"/>
    <w:rsid w:val="006B0ADE"/>
    <w:rsid w:val="006B0D67"/>
    <w:rsid w:val="006B14F8"/>
    <w:rsid w:val="006B1CC2"/>
    <w:rsid w:val="006B1FB9"/>
    <w:rsid w:val="006B25C6"/>
    <w:rsid w:val="006B269D"/>
    <w:rsid w:val="006B2A93"/>
    <w:rsid w:val="006B31EF"/>
    <w:rsid w:val="006B3C39"/>
    <w:rsid w:val="006B490F"/>
    <w:rsid w:val="006B4967"/>
    <w:rsid w:val="006B4A49"/>
    <w:rsid w:val="006B5039"/>
    <w:rsid w:val="006B5306"/>
    <w:rsid w:val="006B5A3E"/>
    <w:rsid w:val="006B5DC5"/>
    <w:rsid w:val="006B6144"/>
    <w:rsid w:val="006B69A5"/>
    <w:rsid w:val="006B6C3F"/>
    <w:rsid w:val="006B73BD"/>
    <w:rsid w:val="006B7899"/>
    <w:rsid w:val="006B7963"/>
    <w:rsid w:val="006B7C0A"/>
    <w:rsid w:val="006B7F81"/>
    <w:rsid w:val="006C0125"/>
    <w:rsid w:val="006C0426"/>
    <w:rsid w:val="006C0ADF"/>
    <w:rsid w:val="006C0D4B"/>
    <w:rsid w:val="006C0DDA"/>
    <w:rsid w:val="006C14C4"/>
    <w:rsid w:val="006C16EC"/>
    <w:rsid w:val="006C16FC"/>
    <w:rsid w:val="006C177F"/>
    <w:rsid w:val="006C1A47"/>
    <w:rsid w:val="006C202E"/>
    <w:rsid w:val="006C2DDA"/>
    <w:rsid w:val="006C2E0D"/>
    <w:rsid w:val="006C3513"/>
    <w:rsid w:val="006C3B69"/>
    <w:rsid w:val="006C42BE"/>
    <w:rsid w:val="006C4314"/>
    <w:rsid w:val="006C47AB"/>
    <w:rsid w:val="006C4BF1"/>
    <w:rsid w:val="006C5381"/>
    <w:rsid w:val="006C576A"/>
    <w:rsid w:val="006C5978"/>
    <w:rsid w:val="006C5D78"/>
    <w:rsid w:val="006C720D"/>
    <w:rsid w:val="006C75B5"/>
    <w:rsid w:val="006C7C35"/>
    <w:rsid w:val="006C7EAE"/>
    <w:rsid w:val="006C7EDA"/>
    <w:rsid w:val="006D0132"/>
    <w:rsid w:val="006D046E"/>
    <w:rsid w:val="006D0704"/>
    <w:rsid w:val="006D085E"/>
    <w:rsid w:val="006D0F16"/>
    <w:rsid w:val="006D12E0"/>
    <w:rsid w:val="006D1654"/>
    <w:rsid w:val="006D2361"/>
    <w:rsid w:val="006D2649"/>
    <w:rsid w:val="006D35B3"/>
    <w:rsid w:val="006D4A40"/>
    <w:rsid w:val="006D556A"/>
    <w:rsid w:val="006D5743"/>
    <w:rsid w:val="006D57C6"/>
    <w:rsid w:val="006D5883"/>
    <w:rsid w:val="006D589B"/>
    <w:rsid w:val="006D5CFF"/>
    <w:rsid w:val="006D63F1"/>
    <w:rsid w:val="006D6DA0"/>
    <w:rsid w:val="006D71F8"/>
    <w:rsid w:val="006D7C3E"/>
    <w:rsid w:val="006D7E44"/>
    <w:rsid w:val="006D7EF1"/>
    <w:rsid w:val="006D7F48"/>
    <w:rsid w:val="006E0435"/>
    <w:rsid w:val="006E091D"/>
    <w:rsid w:val="006E0AB8"/>
    <w:rsid w:val="006E0CA5"/>
    <w:rsid w:val="006E13A8"/>
    <w:rsid w:val="006E1705"/>
    <w:rsid w:val="006E1E37"/>
    <w:rsid w:val="006E2382"/>
    <w:rsid w:val="006E3194"/>
    <w:rsid w:val="006E31D5"/>
    <w:rsid w:val="006E3E34"/>
    <w:rsid w:val="006E3F2E"/>
    <w:rsid w:val="006E48BB"/>
    <w:rsid w:val="006E48BC"/>
    <w:rsid w:val="006E4BFD"/>
    <w:rsid w:val="006E4CDF"/>
    <w:rsid w:val="006E5102"/>
    <w:rsid w:val="006E54B8"/>
    <w:rsid w:val="006E5695"/>
    <w:rsid w:val="006E5E34"/>
    <w:rsid w:val="006E5E6B"/>
    <w:rsid w:val="006E62A2"/>
    <w:rsid w:val="006E64E4"/>
    <w:rsid w:val="006E695D"/>
    <w:rsid w:val="006E6C39"/>
    <w:rsid w:val="006F0776"/>
    <w:rsid w:val="006F08B7"/>
    <w:rsid w:val="006F0B24"/>
    <w:rsid w:val="006F0B5F"/>
    <w:rsid w:val="006F0C9A"/>
    <w:rsid w:val="006F0D42"/>
    <w:rsid w:val="006F134D"/>
    <w:rsid w:val="006F1574"/>
    <w:rsid w:val="006F1810"/>
    <w:rsid w:val="006F2020"/>
    <w:rsid w:val="006F2221"/>
    <w:rsid w:val="006F222D"/>
    <w:rsid w:val="006F23CD"/>
    <w:rsid w:val="006F2789"/>
    <w:rsid w:val="006F3388"/>
    <w:rsid w:val="006F3896"/>
    <w:rsid w:val="006F39A6"/>
    <w:rsid w:val="006F3A4E"/>
    <w:rsid w:val="006F3A71"/>
    <w:rsid w:val="006F3AF9"/>
    <w:rsid w:val="006F3DF1"/>
    <w:rsid w:val="006F3E3B"/>
    <w:rsid w:val="006F4027"/>
    <w:rsid w:val="006F4AC9"/>
    <w:rsid w:val="006F4B62"/>
    <w:rsid w:val="006F5593"/>
    <w:rsid w:val="006F5F24"/>
    <w:rsid w:val="006F6410"/>
    <w:rsid w:val="006F65E7"/>
    <w:rsid w:val="006F792B"/>
    <w:rsid w:val="006F794A"/>
    <w:rsid w:val="006F7A80"/>
    <w:rsid w:val="006F7FA0"/>
    <w:rsid w:val="007001F3"/>
    <w:rsid w:val="0070041E"/>
    <w:rsid w:val="00700662"/>
    <w:rsid w:val="00700B56"/>
    <w:rsid w:val="00700D2D"/>
    <w:rsid w:val="00701434"/>
    <w:rsid w:val="007015BC"/>
    <w:rsid w:val="00701B3A"/>
    <w:rsid w:val="00701C2F"/>
    <w:rsid w:val="00701E6C"/>
    <w:rsid w:val="007020FE"/>
    <w:rsid w:val="0070249C"/>
    <w:rsid w:val="007028D9"/>
    <w:rsid w:val="00702A35"/>
    <w:rsid w:val="00703356"/>
    <w:rsid w:val="007035C0"/>
    <w:rsid w:val="00703817"/>
    <w:rsid w:val="00703AE4"/>
    <w:rsid w:val="00703F50"/>
    <w:rsid w:val="00704BBA"/>
    <w:rsid w:val="00704E58"/>
    <w:rsid w:val="00704F64"/>
    <w:rsid w:val="0070567F"/>
    <w:rsid w:val="007060ED"/>
    <w:rsid w:val="007066AE"/>
    <w:rsid w:val="007073AC"/>
    <w:rsid w:val="00707FEC"/>
    <w:rsid w:val="00710024"/>
    <w:rsid w:val="007101A9"/>
    <w:rsid w:val="00710583"/>
    <w:rsid w:val="00710806"/>
    <w:rsid w:val="00710938"/>
    <w:rsid w:val="0071098F"/>
    <w:rsid w:val="007114A7"/>
    <w:rsid w:val="00711D4E"/>
    <w:rsid w:val="0071211D"/>
    <w:rsid w:val="007127D6"/>
    <w:rsid w:val="00712CEA"/>
    <w:rsid w:val="007130CF"/>
    <w:rsid w:val="007137BB"/>
    <w:rsid w:val="007148AF"/>
    <w:rsid w:val="00715716"/>
    <w:rsid w:val="007158A7"/>
    <w:rsid w:val="007159D0"/>
    <w:rsid w:val="00715A0D"/>
    <w:rsid w:val="00715AB7"/>
    <w:rsid w:val="0071728D"/>
    <w:rsid w:val="007172BB"/>
    <w:rsid w:val="00717D51"/>
    <w:rsid w:val="00720020"/>
    <w:rsid w:val="00720BD8"/>
    <w:rsid w:val="00720EF3"/>
    <w:rsid w:val="0072161E"/>
    <w:rsid w:val="007219C9"/>
    <w:rsid w:val="00721A71"/>
    <w:rsid w:val="00721DDB"/>
    <w:rsid w:val="00722324"/>
    <w:rsid w:val="00722925"/>
    <w:rsid w:val="00722F53"/>
    <w:rsid w:val="00722FE3"/>
    <w:rsid w:val="00723253"/>
    <w:rsid w:val="0072342D"/>
    <w:rsid w:val="007238EB"/>
    <w:rsid w:val="00723AE5"/>
    <w:rsid w:val="0072401F"/>
    <w:rsid w:val="00724288"/>
    <w:rsid w:val="00724918"/>
    <w:rsid w:val="00724A10"/>
    <w:rsid w:val="00724C40"/>
    <w:rsid w:val="00724D3D"/>
    <w:rsid w:val="007252B8"/>
    <w:rsid w:val="00725B40"/>
    <w:rsid w:val="00725B8E"/>
    <w:rsid w:val="00725D3F"/>
    <w:rsid w:val="00726D2B"/>
    <w:rsid w:val="00726E08"/>
    <w:rsid w:val="007276A7"/>
    <w:rsid w:val="007276E5"/>
    <w:rsid w:val="007277EF"/>
    <w:rsid w:val="00727A69"/>
    <w:rsid w:val="00727B2A"/>
    <w:rsid w:val="007303F9"/>
    <w:rsid w:val="007306F9"/>
    <w:rsid w:val="00730B5F"/>
    <w:rsid w:val="007314DE"/>
    <w:rsid w:val="00731B9A"/>
    <w:rsid w:val="0073284E"/>
    <w:rsid w:val="00732B06"/>
    <w:rsid w:val="00732D92"/>
    <w:rsid w:val="00733127"/>
    <w:rsid w:val="007337AA"/>
    <w:rsid w:val="00733943"/>
    <w:rsid w:val="00734034"/>
    <w:rsid w:val="0073634D"/>
    <w:rsid w:val="007365E4"/>
    <w:rsid w:val="00736810"/>
    <w:rsid w:val="00736CFE"/>
    <w:rsid w:val="00737652"/>
    <w:rsid w:val="007402AD"/>
    <w:rsid w:val="0074077D"/>
    <w:rsid w:val="00740F58"/>
    <w:rsid w:val="0074170B"/>
    <w:rsid w:val="00741818"/>
    <w:rsid w:val="007419C4"/>
    <w:rsid w:val="00742008"/>
    <w:rsid w:val="00742012"/>
    <w:rsid w:val="00742024"/>
    <w:rsid w:val="007434A1"/>
    <w:rsid w:val="007436AA"/>
    <w:rsid w:val="00743B45"/>
    <w:rsid w:val="00744721"/>
    <w:rsid w:val="0074478E"/>
    <w:rsid w:val="00744B7E"/>
    <w:rsid w:val="00744BDB"/>
    <w:rsid w:val="0074506A"/>
    <w:rsid w:val="00745247"/>
    <w:rsid w:val="00745A31"/>
    <w:rsid w:val="00745EDD"/>
    <w:rsid w:val="00746335"/>
    <w:rsid w:val="007466F9"/>
    <w:rsid w:val="00746944"/>
    <w:rsid w:val="0074694F"/>
    <w:rsid w:val="00746D2E"/>
    <w:rsid w:val="007474E6"/>
    <w:rsid w:val="0074756D"/>
    <w:rsid w:val="007479C5"/>
    <w:rsid w:val="007479F3"/>
    <w:rsid w:val="00750312"/>
    <w:rsid w:val="0075083C"/>
    <w:rsid w:val="00750D8A"/>
    <w:rsid w:val="00751AA3"/>
    <w:rsid w:val="00752400"/>
    <w:rsid w:val="0075257C"/>
    <w:rsid w:val="007529B8"/>
    <w:rsid w:val="00752C18"/>
    <w:rsid w:val="00752DBB"/>
    <w:rsid w:val="007540E8"/>
    <w:rsid w:val="00754FA7"/>
    <w:rsid w:val="00755118"/>
    <w:rsid w:val="00755370"/>
    <w:rsid w:val="00755527"/>
    <w:rsid w:val="00755727"/>
    <w:rsid w:val="00756085"/>
    <w:rsid w:val="0075625E"/>
    <w:rsid w:val="00756759"/>
    <w:rsid w:val="00756C5B"/>
    <w:rsid w:val="00756C76"/>
    <w:rsid w:val="007578CE"/>
    <w:rsid w:val="00757910"/>
    <w:rsid w:val="00760A11"/>
    <w:rsid w:val="00761A7E"/>
    <w:rsid w:val="00761BBD"/>
    <w:rsid w:val="00761C99"/>
    <w:rsid w:val="00761FAE"/>
    <w:rsid w:val="007624E8"/>
    <w:rsid w:val="00762CB6"/>
    <w:rsid w:val="00762D8A"/>
    <w:rsid w:val="007633CC"/>
    <w:rsid w:val="00763E73"/>
    <w:rsid w:val="00764725"/>
    <w:rsid w:val="00764AC1"/>
    <w:rsid w:val="00764D67"/>
    <w:rsid w:val="007659A5"/>
    <w:rsid w:val="0076617C"/>
    <w:rsid w:val="00766CB5"/>
    <w:rsid w:val="00767354"/>
    <w:rsid w:val="00767636"/>
    <w:rsid w:val="007702A2"/>
    <w:rsid w:val="00770738"/>
    <w:rsid w:val="00770E7C"/>
    <w:rsid w:val="00770E9D"/>
    <w:rsid w:val="007726CB"/>
    <w:rsid w:val="00772A0F"/>
    <w:rsid w:val="00772D11"/>
    <w:rsid w:val="00773762"/>
    <w:rsid w:val="0077399D"/>
    <w:rsid w:val="00773A0D"/>
    <w:rsid w:val="00773DC1"/>
    <w:rsid w:val="00773FF2"/>
    <w:rsid w:val="00774653"/>
    <w:rsid w:val="00774846"/>
    <w:rsid w:val="007749E5"/>
    <w:rsid w:val="00774A32"/>
    <w:rsid w:val="00774A75"/>
    <w:rsid w:val="0077519C"/>
    <w:rsid w:val="0077521E"/>
    <w:rsid w:val="007755C6"/>
    <w:rsid w:val="007765A0"/>
    <w:rsid w:val="0077680A"/>
    <w:rsid w:val="00776E58"/>
    <w:rsid w:val="007772C9"/>
    <w:rsid w:val="0077734C"/>
    <w:rsid w:val="0077778B"/>
    <w:rsid w:val="00777FDD"/>
    <w:rsid w:val="0078030C"/>
    <w:rsid w:val="0078057B"/>
    <w:rsid w:val="007805FD"/>
    <w:rsid w:val="00780887"/>
    <w:rsid w:val="00780B2B"/>
    <w:rsid w:val="00780D78"/>
    <w:rsid w:val="00780F36"/>
    <w:rsid w:val="007813DC"/>
    <w:rsid w:val="00781808"/>
    <w:rsid w:val="00781A07"/>
    <w:rsid w:val="00782275"/>
    <w:rsid w:val="007824BD"/>
    <w:rsid w:val="007824D0"/>
    <w:rsid w:val="0078276D"/>
    <w:rsid w:val="00782D60"/>
    <w:rsid w:val="00782EFF"/>
    <w:rsid w:val="007834B3"/>
    <w:rsid w:val="007837DF"/>
    <w:rsid w:val="0078380E"/>
    <w:rsid w:val="00783A08"/>
    <w:rsid w:val="00783DA6"/>
    <w:rsid w:val="00784689"/>
    <w:rsid w:val="00784CDF"/>
    <w:rsid w:val="00784D82"/>
    <w:rsid w:val="00785422"/>
    <w:rsid w:val="007859F3"/>
    <w:rsid w:val="00785BED"/>
    <w:rsid w:val="00785E7C"/>
    <w:rsid w:val="00786551"/>
    <w:rsid w:val="00786781"/>
    <w:rsid w:val="007867F4"/>
    <w:rsid w:val="00786847"/>
    <w:rsid w:val="007868EB"/>
    <w:rsid w:val="00787A24"/>
    <w:rsid w:val="00787A2C"/>
    <w:rsid w:val="00787B24"/>
    <w:rsid w:val="007906F2"/>
    <w:rsid w:val="00790749"/>
    <w:rsid w:val="007907A5"/>
    <w:rsid w:val="00790D70"/>
    <w:rsid w:val="00791684"/>
    <w:rsid w:val="007923E9"/>
    <w:rsid w:val="0079246B"/>
    <w:rsid w:val="007933A1"/>
    <w:rsid w:val="0079351E"/>
    <w:rsid w:val="007935E3"/>
    <w:rsid w:val="007942D7"/>
    <w:rsid w:val="00794302"/>
    <w:rsid w:val="007945C4"/>
    <w:rsid w:val="007946E3"/>
    <w:rsid w:val="007948BA"/>
    <w:rsid w:val="00794B4B"/>
    <w:rsid w:val="00794D09"/>
    <w:rsid w:val="00794DCF"/>
    <w:rsid w:val="00794F60"/>
    <w:rsid w:val="00795A82"/>
    <w:rsid w:val="00795B14"/>
    <w:rsid w:val="00797543"/>
    <w:rsid w:val="0079777F"/>
    <w:rsid w:val="00797781"/>
    <w:rsid w:val="007A0632"/>
    <w:rsid w:val="007A0C1A"/>
    <w:rsid w:val="007A0DF4"/>
    <w:rsid w:val="007A130C"/>
    <w:rsid w:val="007A1C75"/>
    <w:rsid w:val="007A1E54"/>
    <w:rsid w:val="007A1F21"/>
    <w:rsid w:val="007A2E4E"/>
    <w:rsid w:val="007A2E87"/>
    <w:rsid w:val="007A306F"/>
    <w:rsid w:val="007A307D"/>
    <w:rsid w:val="007A30D9"/>
    <w:rsid w:val="007A388A"/>
    <w:rsid w:val="007A3F4C"/>
    <w:rsid w:val="007A440D"/>
    <w:rsid w:val="007A4AC7"/>
    <w:rsid w:val="007A5351"/>
    <w:rsid w:val="007A5488"/>
    <w:rsid w:val="007A55E7"/>
    <w:rsid w:val="007A5808"/>
    <w:rsid w:val="007A590D"/>
    <w:rsid w:val="007A591A"/>
    <w:rsid w:val="007A5A95"/>
    <w:rsid w:val="007A5D4A"/>
    <w:rsid w:val="007A5E0C"/>
    <w:rsid w:val="007A64DE"/>
    <w:rsid w:val="007A6A0F"/>
    <w:rsid w:val="007A6BAE"/>
    <w:rsid w:val="007A72A4"/>
    <w:rsid w:val="007A7569"/>
    <w:rsid w:val="007A7F93"/>
    <w:rsid w:val="007B0A41"/>
    <w:rsid w:val="007B0AF6"/>
    <w:rsid w:val="007B0C20"/>
    <w:rsid w:val="007B0EFB"/>
    <w:rsid w:val="007B10AD"/>
    <w:rsid w:val="007B1475"/>
    <w:rsid w:val="007B290B"/>
    <w:rsid w:val="007B292F"/>
    <w:rsid w:val="007B29AD"/>
    <w:rsid w:val="007B3351"/>
    <w:rsid w:val="007B3A65"/>
    <w:rsid w:val="007B3B31"/>
    <w:rsid w:val="007B4702"/>
    <w:rsid w:val="007B4E56"/>
    <w:rsid w:val="007B50AC"/>
    <w:rsid w:val="007B55C4"/>
    <w:rsid w:val="007B5C81"/>
    <w:rsid w:val="007B5F0D"/>
    <w:rsid w:val="007B67FF"/>
    <w:rsid w:val="007B6A47"/>
    <w:rsid w:val="007B6ACE"/>
    <w:rsid w:val="007B6AD3"/>
    <w:rsid w:val="007B7523"/>
    <w:rsid w:val="007B76E4"/>
    <w:rsid w:val="007B7F9A"/>
    <w:rsid w:val="007C041A"/>
    <w:rsid w:val="007C0C11"/>
    <w:rsid w:val="007C15C9"/>
    <w:rsid w:val="007C1736"/>
    <w:rsid w:val="007C1D02"/>
    <w:rsid w:val="007C22C0"/>
    <w:rsid w:val="007C25CF"/>
    <w:rsid w:val="007C2AC9"/>
    <w:rsid w:val="007C2DCB"/>
    <w:rsid w:val="007C315B"/>
    <w:rsid w:val="007C4604"/>
    <w:rsid w:val="007C47E5"/>
    <w:rsid w:val="007C4F8D"/>
    <w:rsid w:val="007C5507"/>
    <w:rsid w:val="007C561A"/>
    <w:rsid w:val="007C59AC"/>
    <w:rsid w:val="007C665C"/>
    <w:rsid w:val="007C6B18"/>
    <w:rsid w:val="007C7059"/>
    <w:rsid w:val="007C7C4D"/>
    <w:rsid w:val="007C7D22"/>
    <w:rsid w:val="007D02C8"/>
    <w:rsid w:val="007D030C"/>
    <w:rsid w:val="007D041A"/>
    <w:rsid w:val="007D0595"/>
    <w:rsid w:val="007D0B9F"/>
    <w:rsid w:val="007D0E56"/>
    <w:rsid w:val="007D1855"/>
    <w:rsid w:val="007D29B7"/>
    <w:rsid w:val="007D2F13"/>
    <w:rsid w:val="007D3135"/>
    <w:rsid w:val="007D38C5"/>
    <w:rsid w:val="007D3A05"/>
    <w:rsid w:val="007D3B35"/>
    <w:rsid w:val="007D3D0A"/>
    <w:rsid w:val="007D3F47"/>
    <w:rsid w:val="007D3F8D"/>
    <w:rsid w:val="007D405A"/>
    <w:rsid w:val="007D4E50"/>
    <w:rsid w:val="007D539F"/>
    <w:rsid w:val="007D567B"/>
    <w:rsid w:val="007D5BB8"/>
    <w:rsid w:val="007D5C8C"/>
    <w:rsid w:val="007D5DEB"/>
    <w:rsid w:val="007D5FE1"/>
    <w:rsid w:val="007D68C0"/>
    <w:rsid w:val="007E0B5A"/>
    <w:rsid w:val="007E0C9E"/>
    <w:rsid w:val="007E0CB1"/>
    <w:rsid w:val="007E128B"/>
    <w:rsid w:val="007E1610"/>
    <w:rsid w:val="007E16D5"/>
    <w:rsid w:val="007E18E7"/>
    <w:rsid w:val="007E222F"/>
    <w:rsid w:val="007E22EA"/>
    <w:rsid w:val="007E2FF3"/>
    <w:rsid w:val="007E34BB"/>
    <w:rsid w:val="007E421F"/>
    <w:rsid w:val="007E56A3"/>
    <w:rsid w:val="007E57C1"/>
    <w:rsid w:val="007E57F1"/>
    <w:rsid w:val="007E6215"/>
    <w:rsid w:val="007E64E7"/>
    <w:rsid w:val="007E6EEA"/>
    <w:rsid w:val="007E6F60"/>
    <w:rsid w:val="007E70AA"/>
    <w:rsid w:val="007E722C"/>
    <w:rsid w:val="007E72FC"/>
    <w:rsid w:val="007E77A5"/>
    <w:rsid w:val="007E7E12"/>
    <w:rsid w:val="007E7E7D"/>
    <w:rsid w:val="007F0393"/>
    <w:rsid w:val="007F045A"/>
    <w:rsid w:val="007F052C"/>
    <w:rsid w:val="007F0642"/>
    <w:rsid w:val="007F0C2D"/>
    <w:rsid w:val="007F0E93"/>
    <w:rsid w:val="007F0EFB"/>
    <w:rsid w:val="007F10FF"/>
    <w:rsid w:val="007F145D"/>
    <w:rsid w:val="007F1664"/>
    <w:rsid w:val="007F17EF"/>
    <w:rsid w:val="007F1E12"/>
    <w:rsid w:val="007F21BA"/>
    <w:rsid w:val="007F2962"/>
    <w:rsid w:val="007F2F6C"/>
    <w:rsid w:val="007F37A6"/>
    <w:rsid w:val="007F3A26"/>
    <w:rsid w:val="007F3BD8"/>
    <w:rsid w:val="007F4CFA"/>
    <w:rsid w:val="007F52E6"/>
    <w:rsid w:val="007F5CDA"/>
    <w:rsid w:val="007F5DA8"/>
    <w:rsid w:val="007F60D9"/>
    <w:rsid w:val="007F63D1"/>
    <w:rsid w:val="007F662F"/>
    <w:rsid w:val="007F6E37"/>
    <w:rsid w:val="007F7281"/>
    <w:rsid w:val="007F7AA1"/>
    <w:rsid w:val="007F7AE0"/>
    <w:rsid w:val="007F7D29"/>
    <w:rsid w:val="008004A0"/>
    <w:rsid w:val="00800601"/>
    <w:rsid w:val="00800B5E"/>
    <w:rsid w:val="00800F3E"/>
    <w:rsid w:val="008015E4"/>
    <w:rsid w:val="008016CD"/>
    <w:rsid w:val="00801A1F"/>
    <w:rsid w:val="00802F20"/>
    <w:rsid w:val="00802F53"/>
    <w:rsid w:val="00803358"/>
    <w:rsid w:val="008036A9"/>
    <w:rsid w:val="008037BB"/>
    <w:rsid w:val="00803D37"/>
    <w:rsid w:val="008040C2"/>
    <w:rsid w:val="00804316"/>
    <w:rsid w:val="0080431C"/>
    <w:rsid w:val="00805276"/>
    <w:rsid w:val="00805412"/>
    <w:rsid w:val="00805FBC"/>
    <w:rsid w:val="008060A7"/>
    <w:rsid w:val="008062A8"/>
    <w:rsid w:val="008069B5"/>
    <w:rsid w:val="0080721D"/>
    <w:rsid w:val="00807682"/>
    <w:rsid w:val="0080784D"/>
    <w:rsid w:val="008079E1"/>
    <w:rsid w:val="00807F70"/>
    <w:rsid w:val="00810372"/>
    <w:rsid w:val="0081049B"/>
    <w:rsid w:val="00810882"/>
    <w:rsid w:val="008108A2"/>
    <w:rsid w:val="00810CA2"/>
    <w:rsid w:val="00810CDD"/>
    <w:rsid w:val="00810D4A"/>
    <w:rsid w:val="00811732"/>
    <w:rsid w:val="00811EBB"/>
    <w:rsid w:val="00811FC0"/>
    <w:rsid w:val="00812468"/>
    <w:rsid w:val="00812DC0"/>
    <w:rsid w:val="00812FBE"/>
    <w:rsid w:val="008134BC"/>
    <w:rsid w:val="00813C92"/>
    <w:rsid w:val="00813DED"/>
    <w:rsid w:val="00813F0D"/>
    <w:rsid w:val="00814BBD"/>
    <w:rsid w:val="008155E7"/>
    <w:rsid w:val="00816122"/>
    <w:rsid w:val="00816542"/>
    <w:rsid w:val="00817A67"/>
    <w:rsid w:val="00820097"/>
    <w:rsid w:val="00820ABD"/>
    <w:rsid w:val="00821445"/>
    <w:rsid w:val="008220F8"/>
    <w:rsid w:val="0082213A"/>
    <w:rsid w:val="00822833"/>
    <w:rsid w:val="00822B82"/>
    <w:rsid w:val="0082374D"/>
    <w:rsid w:val="008238D4"/>
    <w:rsid w:val="00823A7C"/>
    <w:rsid w:val="00823C01"/>
    <w:rsid w:val="0082407A"/>
    <w:rsid w:val="00824584"/>
    <w:rsid w:val="00824A37"/>
    <w:rsid w:val="008251B1"/>
    <w:rsid w:val="008259D6"/>
    <w:rsid w:val="00825EFF"/>
    <w:rsid w:val="00826113"/>
    <w:rsid w:val="00827035"/>
    <w:rsid w:val="00827311"/>
    <w:rsid w:val="0082736D"/>
    <w:rsid w:val="008273E0"/>
    <w:rsid w:val="0083080F"/>
    <w:rsid w:val="00830FE9"/>
    <w:rsid w:val="00831324"/>
    <w:rsid w:val="008327D8"/>
    <w:rsid w:val="008328BA"/>
    <w:rsid w:val="00832CBD"/>
    <w:rsid w:val="008338B3"/>
    <w:rsid w:val="0083455F"/>
    <w:rsid w:val="00834BC0"/>
    <w:rsid w:val="008351A8"/>
    <w:rsid w:val="008351C4"/>
    <w:rsid w:val="00835AEB"/>
    <w:rsid w:val="00835E7A"/>
    <w:rsid w:val="00836265"/>
    <w:rsid w:val="0083675F"/>
    <w:rsid w:val="008368C0"/>
    <w:rsid w:val="0083727A"/>
    <w:rsid w:val="00837532"/>
    <w:rsid w:val="00837D52"/>
    <w:rsid w:val="00837EAB"/>
    <w:rsid w:val="0084098F"/>
    <w:rsid w:val="00841051"/>
    <w:rsid w:val="008414F6"/>
    <w:rsid w:val="008418A9"/>
    <w:rsid w:val="00841F88"/>
    <w:rsid w:val="00842590"/>
    <w:rsid w:val="008429A8"/>
    <w:rsid w:val="00842DF7"/>
    <w:rsid w:val="00842E82"/>
    <w:rsid w:val="00844B83"/>
    <w:rsid w:val="00844B95"/>
    <w:rsid w:val="008467A3"/>
    <w:rsid w:val="0084694A"/>
    <w:rsid w:val="00846AB5"/>
    <w:rsid w:val="008470DD"/>
    <w:rsid w:val="008470E4"/>
    <w:rsid w:val="0084710F"/>
    <w:rsid w:val="00847378"/>
    <w:rsid w:val="00847DF7"/>
    <w:rsid w:val="0085055E"/>
    <w:rsid w:val="008505D8"/>
    <w:rsid w:val="008506D2"/>
    <w:rsid w:val="00851753"/>
    <w:rsid w:val="00851D1D"/>
    <w:rsid w:val="00851D6C"/>
    <w:rsid w:val="00852415"/>
    <w:rsid w:val="008528CF"/>
    <w:rsid w:val="00852BE4"/>
    <w:rsid w:val="00852CEE"/>
    <w:rsid w:val="00852F99"/>
    <w:rsid w:val="008534A7"/>
    <w:rsid w:val="0085416A"/>
    <w:rsid w:val="0085439C"/>
    <w:rsid w:val="008545FB"/>
    <w:rsid w:val="00854621"/>
    <w:rsid w:val="00854A7A"/>
    <w:rsid w:val="008558F5"/>
    <w:rsid w:val="00856964"/>
    <w:rsid w:val="00856D22"/>
    <w:rsid w:val="00856F63"/>
    <w:rsid w:val="00857601"/>
    <w:rsid w:val="00857B10"/>
    <w:rsid w:val="00857C87"/>
    <w:rsid w:val="00860013"/>
    <w:rsid w:val="00860689"/>
    <w:rsid w:val="008608CB"/>
    <w:rsid w:val="00860D58"/>
    <w:rsid w:val="00860F60"/>
    <w:rsid w:val="00860FBB"/>
    <w:rsid w:val="008628CD"/>
    <w:rsid w:val="008637BC"/>
    <w:rsid w:val="008639A4"/>
    <w:rsid w:val="008639C1"/>
    <w:rsid w:val="00863B9E"/>
    <w:rsid w:val="00863BD4"/>
    <w:rsid w:val="008641A1"/>
    <w:rsid w:val="0086485F"/>
    <w:rsid w:val="00864CBF"/>
    <w:rsid w:val="008650A7"/>
    <w:rsid w:val="008653B5"/>
    <w:rsid w:val="008659EA"/>
    <w:rsid w:val="00866007"/>
    <w:rsid w:val="00866154"/>
    <w:rsid w:val="0086674E"/>
    <w:rsid w:val="00866EBB"/>
    <w:rsid w:val="008673F7"/>
    <w:rsid w:val="008673FA"/>
    <w:rsid w:val="00870199"/>
    <w:rsid w:val="00870495"/>
    <w:rsid w:val="008704F9"/>
    <w:rsid w:val="00870F70"/>
    <w:rsid w:val="0087118A"/>
    <w:rsid w:val="00871802"/>
    <w:rsid w:val="00871C78"/>
    <w:rsid w:val="00871D5B"/>
    <w:rsid w:val="00871D6A"/>
    <w:rsid w:val="00871EDF"/>
    <w:rsid w:val="00872449"/>
    <w:rsid w:val="00872758"/>
    <w:rsid w:val="00872FD2"/>
    <w:rsid w:val="00873318"/>
    <w:rsid w:val="00873411"/>
    <w:rsid w:val="00873AC8"/>
    <w:rsid w:val="008742CE"/>
    <w:rsid w:val="00874527"/>
    <w:rsid w:val="00874EFE"/>
    <w:rsid w:val="00875237"/>
    <w:rsid w:val="008752FF"/>
    <w:rsid w:val="0087535D"/>
    <w:rsid w:val="0087569D"/>
    <w:rsid w:val="008757A1"/>
    <w:rsid w:val="00875D05"/>
    <w:rsid w:val="008769C8"/>
    <w:rsid w:val="008775D3"/>
    <w:rsid w:val="00877858"/>
    <w:rsid w:val="0088036C"/>
    <w:rsid w:val="00881B36"/>
    <w:rsid w:val="0088285D"/>
    <w:rsid w:val="00882972"/>
    <w:rsid w:val="008829D4"/>
    <w:rsid w:val="00882A95"/>
    <w:rsid w:val="00882BBD"/>
    <w:rsid w:val="0088320D"/>
    <w:rsid w:val="00883376"/>
    <w:rsid w:val="008837C0"/>
    <w:rsid w:val="0088465F"/>
    <w:rsid w:val="00884B3B"/>
    <w:rsid w:val="00884E08"/>
    <w:rsid w:val="008854D3"/>
    <w:rsid w:val="00885D42"/>
    <w:rsid w:val="008864BD"/>
    <w:rsid w:val="00886560"/>
    <w:rsid w:val="0088664B"/>
    <w:rsid w:val="00886821"/>
    <w:rsid w:val="0088693E"/>
    <w:rsid w:val="008869D8"/>
    <w:rsid w:val="00886AE4"/>
    <w:rsid w:val="00890322"/>
    <w:rsid w:val="008905FA"/>
    <w:rsid w:val="008908A2"/>
    <w:rsid w:val="00890BEB"/>
    <w:rsid w:val="008912F3"/>
    <w:rsid w:val="008914D3"/>
    <w:rsid w:val="0089171C"/>
    <w:rsid w:val="00891754"/>
    <w:rsid w:val="0089213E"/>
    <w:rsid w:val="008923B7"/>
    <w:rsid w:val="00892E5F"/>
    <w:rsid w:val="00892F98"/>
    <w:rsid w:val="0089341B"/>
    <w:rsid w:val="00893530"/>
    <w:rsid w:val="00893872"/>
    <w:rsid w:val="008940CF"/>
    <w:rsid w:val="00894330"/>
    <w:rsid w:val="00894675"/>
    <w:rsid w:val="00894988"/>
    <w:rsid w:val="00894C19"/>
    <w:rsid w:val="00894EAA"/>
    <w:rsid w:val="00895160"/>
    <w:rsid w:val="0089585A"/>
    <w:rsid w:val="00895C84"/>
    <w:rsid w:val="00895FCF"/>
    <w:rsid w:val="008967E9"/>
    <w:rsid w:val="0089770F"/>
    <w:rsid w:val="00897ADB"/>
    <w:rsid w:val="00897E99"/>
    <w:rsid w:val="00897EB8"/>
    <w:rsid w:val="008A0200"/>
    <w:rsid w:val="008A03C0"/>
    <w:rsid w:val="008A05C4"/>
    <w:rsid w:val="008A0E63"/>
    <w:rsid w:val="008A1476"/>
    <w:rsid w:val="008A22AE"/>
    <w:rsid w:val="008A2651"/>
    <w:rsid w:val="008A2CE5"/>
    <w:rsid w:val="008A2D66"/>
    <w:rsid w:val="008A36FD"/>
    <w:rsid w:val="008A395C"/>
    <w:rsid w:val="008A3C91"/>
    <w:rsid w:val="008A41B5"/>
    <w:rsid w:val="008A4770"/>
    <w:rsid w:val="008A4ACE"/>
    <w:rsid w:val="008A4C8F"/>
    <w:rsid w:val="008A5F41"/>
    <w:rsid w:val="008A685C"/>
    <w:rsid w:val="008A6D3A"/>
    <w:rsid w:val="008A7757"/>
    <w:rsid w:val="008B0633"/>
    <w:rsid w:val="008B080F"/>
    <w:rsid w:val="008B0844"/>
    <w:rsid w:val="008B0EA4"/>
    <w:rsid w:val="008B0F97"/>
    <w:rsid w:val="008B11F4"/>
    <w:rsid w:val="008B123B"/>
    <w:rsid w:val="008B12B5"/>
    <w:rsid w:val="008B1E65"/>
    <w:rsid w:val="008B2073"/>
    <w:rsid w:val="008B27A6"/>
    <w:rsid w:val="008B2C04"/>
    <w:rsid w:val="008B2CB6"/>
    <w:rsid w:val="008B32FA"/>
    <w:rsid w:val="008B3449"/>
    <w:rsid w:val="008B3719"/>
    <w:rsid w:val="008B37FE"/>
    <w:rsid w:val="008B3AC6"/>
    <w:rsid w:val="008B3AF8"/>
    <w:rsid w:val="008B3B47"/>
    <w:rsid w:val="008B3D21"/>
    <w:rsid w:val="008B4702"/>
    <w:rsid w:val="008B4C7E"/>
    <w:rsid w:val="008B54BC"/>
    <w:rsid w:val="008B54F1"/>
    <w:rsid w:val="008B67CA"/>
    <w:rsid w:val="008B6998"/>
    <w:rsid w:val="008B6AF3"/>
    <w:rsid w:val="008B73D3"/>
    <w:rsid w:val="008B7439"/>
    <w:rsid w:val="008B7656"/>
    <w:rsid w:val="008B7EAB"/>
    <w:rsid w:val="008C0265"/>
    <w:rsid w:val="008C02C3"/>
    <w:rsid w:val="008C036F"/>
    <w:rsid w:val="008C06A6"/>
    <w:rsid w:val="008C06E4"/>
    <w:rsid w:val="008C06FF"/>
    <w:rsid w:val="008C0790"/>
    <w:rsid w:val="008C08CC"/>
    <w:rsid w:val="008C0CA7"/>
    <w:rsid w:val="008C1494"/>
    <w:rsid w:val="008C1B5F"/>
    <w:rsid w:val="008C1E02"/>
    <w:rsid w:val="008C1F17"/>
    <w:rsid w:val="008C2B65"/>
    <w:rsid w:val="008C2D45"/>
    <w:rsid w:val="008C3213"/>
    <w:rsid w:val="008C3BD4"/>
    <w:rsid w:val="008C4278"/>
    <w:rsid w:val="008C440C"/>
    <w:rsid w:val="008C4439"/>
    <w:rsid w:val="008C452C"/>
    <w:rsid w:val="008C465C"/>
    <w:rsid w:val="008C547D"/>
    <w:rsid w:val="008C5ED5"/>
    <w:rsid w:val="008C5F04"/>
    <w:rsid w:val="008C63A4"/>
    <w:rsid w:val="008C68D2"/>
    <w:rsid w:val="008C6BA7"/>
    <w:rsid w:val="008C74B3"/>
    <w:rsid w:val="008D004C"/>
    <w:rsid w:val="008D0281"/>
    <w:rsid w:val="008D0288"/>
    <w:rsid w:val="008D08C0"/>
    <w:rsid w:val="008D08E2"/>
    <w:rsid w:val="008D0F72"/>
    <w:rsid w:val="008D0FED"/>
    <w:rsid w:val="008D150C"/>
    <w:rsid w:val="008D16A0"/>
    <w:rsid w:val="008D1791"/>
    <w:rsid w:val="008D1BAD"/>
    <w:rsid w:val="008D1FAF"/>
    <w:rsid w:val="008D2625"/>
    <w:rsid w:val="008D285C"/>
    <w:rsid w:val="008D315E"/>
    <w:rsid w:val="008D355E"/>
    <w:rsid w:val="008D3D61"/>
    <w:rsid w:val="008D47D5"/>
    <w:rsid w:val="008D4905"/>
    <w:rsid w:val="008D4CC5"/>
    <w:rsid w:val="008D589B"/>
    <w:rsid w:val="008D58B6"/>
    <w:rsid w:val="008D6414"/>
    <w:rsid w:val="008D6C6E"/>
    <w:rsid w:val="008D6FAF"/>
    <w:rsid w:val="008D718A"/>
    <w:rsid w:val="008D751D"/>
    <w:rsid w:val="008D7792"/>
    <w:rsid w:val="008D7997"/>
    <w:rsid w:val="008E026B"/>
    <w:rsid w:val="008E0420"/>
    <w:rsid w:val="008E0659"/>
    <w:rsid w:val="008E1F26"/>
    <w:rsid w:val="008E21C4"/>
    <w:rsid w:val="008E21CB"/>
    <w:rsid w:val="008E228D"/>
    <w:rsid w:val="008E2345"/>
    <w:rsid w:val="008E2579"/>
    <w:rsid w:val="008E30AE"/>
    <w:rsid w:val="008E3734"/>
    <w:rsid w:val="008E47A7"/>
    <w:rsid w:val="008E4E47"/>
    <w:rsid w:val="008E5915"/>
    <w:rsid w:val="008E5E03"/>
    <w:rsid w:val="008E6117"/>
    <w:rsid w:val="008E6989"/>
    <w:rsid w:val="008E6D57"/>
    <w:rsid w:val="008E6E81"/>
    <w:rsid w:val="008E702F"/>
    <w:rsid w:val="008E7111"/>
    <w:rsid w:val="008E766E"/>
    <w:rsid w:val="008F096B"/>
    <w:rsid w:val="008F1031"/>
    <w:rsid w:val="008F1BC8"/>
    <w:rsid w:val="008F24F1"/>
    <w:rsid w:val="008F259D"/>
    <w:rsid w:val="008F2AB5"/>
    <w:rsid w:val="008F2C89"/>
    <w:rsid w:val="008F2CE4"/>
    <w:rsid w:val="008F3094"/>
    <w:rsid w:val="008F4DF2"/>
    <w:rsid w:val="008F5359"/>
    <w:rsid w:val="008F5734"/>
    <w:rsid w:val="008F604F"/>
    <w:rsid w:val="008F6337"/>
    <w:rsid w:val="008F668F"/>
    <w:rsid w:val="008F6716"/>
    <w:rsid w:val="008F67F9"/>
    <w:rsid w:val="008F7633"/>
    <w:rsid w:val="008F7C88"/>
    <w:rsid w:val="008F7DF5"/>
    <w:rsid w:val="009002C4"/>
    <w:rsid w:val="00900665"/>
    <w:rsid w:val="00900ED5"/>
    <w:rsid w:val="009010E8"/>
    <w:rsid w:val="009012FF"/>
    <w:rsid w:val="00901937"/>
    <w:rsid w:val="00901E68"/>
    <w:rsid w:val="00902FFA"/>
    <w:rsid w:val="00903025"/>
    <w:rsid w:val="0090354D"/>
    <w:rsid w:val="009037BB"/>
    <w:rsid w:val="00903ACC"/>
    <w:rsid w:val="009050F1"/>
    <w:rsid w:val="009054F4"/>
    <w:rsid w:val="009055D9"/>
    <w:rsid w:val="0090570B"/>
    <w:rsid w:val="00905D4D"/>
    <w:rsid w:val="00906E3E"/>
    <w:rsid w:val="00907216"/>
    <w:rsid w:val="00907FE4"/>
    <w:rsid w:val="0091002B"/>
    <w:rsid w:val="0091038B"/>
    <w:rsid w:val="009103D2"/>
    <w:rsid w:val="00910696"/>
    <w:rsid w:val="009106D9"/>
    <w:rsid w:val="009107B3"/>
    <w:rsid w:val="0091080D"/>
    <w:rsid w:val="00910C4A"/>
    <w:rsid w:val="00910F9F"/>
    <w:rsid w:val="00911009"/>
    <w:rsid w:val="00911FBA"/>
    <w:rsid w:val="00912136"/>
    <w:rsid w:val="00912279"/>
    <w:rsid w:val="009125E7"/>
    <w:rsid w:val="009127BE"/>
    <w:rsid w:val="0091285F"/>
    <w:rsid w:val="00912D47"/>
    <w:rsid w:val="00912F96"/>
    <w:rsid w:val="00913BA6"/>
    <w:rsid w:val="00913DA4"/>
    <w:rsid w:val="009140EB"/>
    <w:rsid w:val="00914106"/>
    <w:rsid w:val="0091428C"/>
    <w:rsid w:val="00915702"/>
    <w:rsid w:val="00915827"/>
    <w:rsid w:val="00915F32"/>
    <w:rsid w:val="00915F4E"/>
    <w:rsid w:val="009161BE"/>
    <w:rsid w:val="009172AA"/>
    <w:rsid w:val="00917364"/>
    <w:rsid w:val="00917674"/>
    <w:rsid w:val="00920233"/>
    <w:rsid w:val="00920335"/>
    <w:rsid w:val="00920C81"/>
    <w:rsid w:val="00921017"/>
    <w:rsid w:val="009219DF"/>
    <w:rsid w:val="009223F0"/>
    <w:rsid w:val="009232A5"/>
    <w:rsid w:val="00923869"/>
    <w:rsid w:val="009244CB"/>
    <w:rsid w:val="00924563"/>
    <w:rsid w:val="00924AE9"/>
    <w:rsid w:val="00924DEA"/>
    <w:rsid w:val="00925660"/>
    <w:rsid w:val="00925CA5"/>
    <w:rsid w:val="00926CF3"/>
    <w:rsid w:val="00926DF7"/>
    <w:rsid w:val="009271A5"/>
    <w:rsid w:val="009272FF"/>
    <w:rsid w:val="009276EF"/>
    <w:rsid w:val="00927CE8"/>
    <w:rsid w:val="00930136"/>
    <w:rsid w:val="0093029D"/>
    <w:rsid w:val="00930DBA"/>
    <w:rsid w:val="009311B9"/>
    <w:rsid w:val="00931757"/>
    <w:rsid w:val="00931845"/>
    <w:rsid w:val="00931D62"/>
    <w:rsid w:val="00932D2B"/>
    <w:rsid w:val="00933790"/>
    <w:rsid w:val="009338DF"/>
    <w:rsid w:val="009339DC"/>
    <w:rsid w:val="00933A53"/>
    <w:rsid w:val="00933C39"/>
    <w:rsid w:val="009340C4"/>
    <w:rsid w:val="0093419B"/>
    <w:rsid w:val="00935EAC"/>
    <w:rsid w:val="00936158"/>
    <w:rsid w:val="0093691B"/>
    <w:rsid w:val="009378BA"/>
    <w:rsid w:val="009400E9"/>
    <w:rsid w:val="009405A1"/>
    <w:rsid w:val="00940D9F"/>
    <w:rsid w:val="00940DF5"/>
    <w:rsid w:val="00940ECC"/>
    <w:rsid w:val="0094160A"/>
    <w:rsid w:val="0094176F"/>
    <w:rsid w:val="00941ACA"/>
    <w:rsid w:val="00942105"/>
    <w:rsid w:val="009425AE"/>
    <w:rsid w:val="00942E87"/>
    <w:rsid w:val="00942E92"/>
    <w:rsid w:val="00942EAB"/>
    <w:rsid w:val="00942F28"/>
    <w:rsid w:val="00943282"/>
    <w:rsid w:val="0094370C"/>
    <w:rsid w:val="009438FC"/>
    <w:rsid w:val="00943A6E"/>
    <w:rsid w:val="00943E0A"/>
    <w:rsid w:val="0094419B"/>
    <w:rsid w:val="009441E8"/>
    <w:rsid w:val="00944CA3"/>
    <w:rsid w:val="009453E5"/>
    <w:rsid w:val="009460FA"/>
    <w:rsid w:val="009467B6"/>
    <w:rsid w:val="00946BE4"/>
    <w:rsid w:val="009471FB"/>
    <w:rsid w:val="0094726C"/>
    <w:rsid w:val="009472B9"/>
    <w:rsid w:val="00947A58"/>
    <w:rsid w:val="00947E45"/>
    <w:rsid w:val="009502D0"/>
    <w:rsid w:val="00950411"/>
    <w:rsid w:val="009506EB"/>
    <w:rsid w:val="00950F5B"/>
    <w:rsid w:val="0095114D"/>
    <w:rsid w:val="00951153"/>
    <w:rsid w:val="00951326"/>
    <w:rsid w:val="009522A6"/>
    <w:rsid w:val="0095311D"/>
    <w:rsid w:val="009532F3"/>
    <w:rsid w:val="00953398"/>
    <w:rsid w:val="00953BC8"/>
    <w:rsid w:val="009540B5"/>
    <w:rsid w:val="0095465C"/>
    <w:rsid w:val="00954D16"/>
    <w:rsid w:val="00954FF2"/>
    <w:rsid w:val="0095503B"/>
    <w:rsid w:val="00955CDC"/>
    <w:rsid w:val="00955F7C"/>
    <w:rsid w:val="009560BC"/>
    <w:rsid w:val="0095625F"/>
    <w:rsid w:val="00956946"/>
    <w:rsid w:val="00956E8C"/>
    <w:rsid w:val="0095704A"/>
    <w:rsid w:val="009570CC"/>
    <w:rsid w:val="00957887"/>
    <w:rsid w:val="009578BA"/>
    <w:rsid w:val="00957EBE"/>
    <w:rsid w:val="009600D2"/>
    <w:rsid w:val="00960337"/>
    <w:rsid w:val="009607AD"/>
    <w:rsid w:val="009615EB"/>
    <w:rsid w:val="00961857"/>
    <w:rsid w:val="0096234E"/>
    <w:rsid w:val="00962463"/>
    <w:rsid w:val="00962FDE"/>
    <w:rsid w:val="0096391E"/>
    <w:rsid w:val="009639D4"/>
    <w:rsid w:val="00963AEF"/>
    <w:rsid w:val="00965130"/>
    <w:rsid w:val="009656AB"/>
    <w:rsid w:val="00966156"/>
    <w:rsid w:val="0096655A"/>
    <w:rsid w:val="00966EC6"/>
    <w:rsid w:val="00967A3E"/>
    <w:rsid w:val="00967A5E"/>
    <w:rsid w:val="00967C0D"/>
    <w:rsid w:val="00967D06"/>
    <w:rsid w:val="00967DE8"/>
    <w:rsid w:val="00967F2B"/>
    <w:rsid w:val="0097005C"/>
    <w:rsid w:val="00970651"/>
    <w:rsid w:val="009714A8"/>
    <w:rsid w:val="00971567"/>
    <w:rsid w:val="009719BB"/>
    <w:rsid w:val="0097202F"/>
    <w:rsid w:val="009723BD"/>
    <w:rsid w:val="0097309A"/>
    <w:rsid w:val="00973292"/>
    <w:rsid w:val="009733A1"/>
    <w:rsid w:val="00973549"/>
    <w:rsid w:val="009735BF"/>
    <w:rsid w:val="009736E9"/>
    <w:rsid w:val="009737BF"/>
    <w:rsid w:val="00973C7B"/>
    <w:rsid w:val="00974631"/>
    <w:rsid w:val="00974A3A"/>
    <w:rsid w:val="00974D10"/>
    <w:rsid w:val="0097511A"/>
    <w:rsid w:val="00975546"/>
    <w:rsid w:val="00975BD5"/>
    <w:rsid w:val="00975C4F"/>
    <w:rsid w:val="009766AF"/>
    <w:rsid w:val="0097737F"/>
    <w:rsid w:val="0097784C"/>
    <w:rsid w:val="00977EE9"/>
    <w:rsid w:val="00980020"/>
    <w:rsid w:val="00980734"/>
    <w:rsid w:val="009808B0"/>
    <w:rsid w:val="00981451"/>
    <w:rsid w:val="0098189C"/>
    <w:rsid w:val="00981CE5"/>
    <w:rsid w:val="00981E27"/>
    <w:rsid w:val="00981E72"/>
    <w:rsid w:val="0098385A"/>
    <w:rsid w:val="00983D6F"/>
    <w:rsid w:val="00983F8D"/>
    <w:rsid w:val="009849F6"/>
    <w:rsid w:val="00984F17"/>
    <w:rsid w:val="009850FC"/>
    <w:rsid w:val="0098598F"/>
    <w:rsid w:val="00986294"/>
    <w:rsid w:val="00986885"/>
    <w:rsid w:val="00986A1E"/>
    <w:rsid w:val="00986DA7"/>
    <w:rsid w:val="00987622"/>
    <w:rsid w:val="00987995"/>
    <w:rsid w:val="00987AFE"/>
    <w:rsid w:val="00987F1C"/>
    <w:rsid w:val="00987FEA"/>
    <w:rsid w:val="00990522"/>
    <w:rsid w:val="00990F3C"/>
    <w:rsid w:val="0099117F"/>
    <w:rsid w:val="00992376"/>
    <w:rsid w:val="0099243B"/>
    <w:rsid w:val="00992898"/>
    <w:rsid w:val="00992C05"/>
    <w:rsid w:val="009933CF"/>
    <w:rsid w:val="009935AA"/>
    <w:rsid w:val="00993B26"/>
    <w:rsid w:val="009942BE"/>
    <w:rsid w:val="009944BA"/>
    <w:rsid w:val="0099466B"/>
    <w:rsid w:val="00994C97"/>
    <w:rsid w:val="00994DD2"/>
    <w:rsid w:val="00994F1E"/>
    <w:rsid w:val="009951A1"/>
    <w:rsid w:val="009954F2"/>
    <w:rsid w:val="00995D35"/>
    <w:rsid w:val="0099779A"/>
    <w:rsid w:val="00997862"/>
    <w:rsid w:val="00997DBB"/>
    <w:rsid w:val="009A06E8"/>
    <w:rsid w:val="009A07EB"/>
    <w:rsid w:val="009A0A08"/>
    <w:rsid w:val="009A0A9D"/>
    <w:rsid w:val="009A1053"/>
    <w:rsid w:val="009A18DB"/>
    <w:rsid w:val="009A195D"/>
    <w:rsid w:val="009A226D"/>
    <w:rsid w:val="009A2414"/>
    <w:rsid w:val="009A2B1B"/>
    <w:rsid w:val="009A3010"/>
    <w:rsid w:val="009A30C5"/>
    <w:rsid w:val="009A3982"/>
    <w:rsid w:val="009A3C7D"/>
    <w:rsid w:val="009A471B"/>
    <w:rsid w:val="009A49DC"/>
    <w:rsid w:val="009A56E9"/>
    <w:rsid w:val="009A56FE"/>
    <w:rsid w:val="009A61E6"/>
    <w:rsid w:val="009A6607"/>
    <w:rsid w:val="009A72B2"/>
    <w:rsid w:val="009B0DA8"/>
    <w:rsid w:val="009B0F0D"/>
    <w:rsid w:val="009B1AF0"/>
    <w:rsid w:val="009B2221"/>
    <w:rsid w:val="009B2343"/>
    <w:rsid w:val="009B23C1"/>
    <w:rsid w:val="009B2608"/>
    <w:rsid w:val="009B29B9"/>
    <w:rsid w:val="009B2B42"/>
    <w:rsid w:val="009B2FAB"/>
    <w:rsid w:val="009B3850"/>
    <w:rsid w:val="009B3DC6"/>
    <w:rsid w:val="009B425E"/>
    <w:rsid w:val="009B467C"/>
    <w:rsid w:val="009B46B6"/>
    <w:rsid w:val="009B47F7"/>
    <w:rsid w:val="009B4993"/>
    <w:rsid w:val="009B4EA8"/>
    <w:rsid w:val="009B50BF"/>
    <w:rsid w:val="009B51B9"/>
    <w:rsid w:val="009B526C"/>
    <w:rsid w:val="009B5436"/>
    <w:rsid w:val="009B5628"/>
    <w:rsid w:val="009B6000"/>
    <w:rsid w:val="009B6193"/>
    <w:rsid w:val="009B6554"/>
    <w:rsid w:val="009B6BA0"/>
    <w:rsid w:val="009B6E14"/>
    <w:rsid w:val="009B6F54"/>
    <w:rsid w:val="009B705C"/>
    <w:rsid w:val="009B72AC"/>
    <w:rsid w:val="009C00AC"/>
    <w:rsid w:val="009C0736"/>
    <w:rsid w:val="009C0859"/>
    <w:rsid w:val="009C0F16"/>
    <w:rsid w:val="009C12E4"/>
    <w:rsid w:val="009C1BF8"/>
    <w:rsid w:val="009C1CE8"/>
    <w:rsid w:val="009C1F47"/>
    <w:rsid w:val="009C1FC9"/>
    <w:rsid w:val="009C20ED"/>
    <w:rsid w:val="009C2A58"/>
    <w:rsid w:val="009C2BC6"/>
    <w:rsid w:val="009C325D"/>
    <w:rsid w:val="009C3471"/>
    <w:rsid w:val="009C3E71"/>
    <w:rsid w:val="009C4357"/>
    <w:rsid w:val="009C4BE1"/>
    <w:rsid w:val="009C51AD"/>
    <w:rsid w:val="009C5660"/>
    <w:rsid w:val="009C5FBE"/>
    <w:rsid w:val="009C638D"/>
    <w:rsid w:val="009C66EC"/>
    <w:rsid w:val="009C68B1"/>
    <w:rsid w:val="009C690D"/>
    <w:rsid w:val="009C6FE2"/>
    <w:rsid w:val="009C7847"/>
    <w:rsid w:val="009C7FCC"/>
    <w:rsid w:val="009D00EC"/>
    <w:rsid w:val="009D14FC"/>
    <w:rsid w:val="009D1544"/>
    <w:rsid w:val="009D1A5D"/>
    <w:rsid w:val="009D1C97"/>
    <w:rsid w:val="009D2BDF"/>
    <w:rsid w:val="009D2CBB"/>
    <w:rsid w:val="009D2DB2"/>
    <w:rsid w:val="009D3106"/>
    <w:rsid w:val="009D3390"/>
    <w:rsid w:val="009D349C"/>
    <w:rsid w:val="009D384F"/>
    <w:rsid w:val="009D3D3B"/>
    <w:rsid w:val="009D4180"/>
    <w:rsid w:val="009D432A"/>
    <w:rsid w:val="009D47B0"/>
    <w:rsid w:val="009D488D"/>
    <w:rsid w:val="009D4A94"/>
    <w:rsid w:val="009D519D"/>
    <w:rsid w:val="009D55A2"/>
    <w:rsid w:val="009D574C"/>
    <w:rsid w:val="009D6217"/>
    <w:rsid w:val="009D68D5"/>
    <w:rsid w:val="009D7291"/>
    <w:rsid w:val="009D7725"/>
    <w:rsid w:val="009D7CFB"/>
    <w:rsid w:val="009E0F80"/>
    <w:rsid w:val="009E1043"/>
    <w:rsid w:val="009E13BB"/>
    <w:rsid w:val="009E1BC5"/>
    <w:rsid w:val="009E1C0F"/>
    <w:rsid w:val="009E1E92"/>
    <w:rsid w:val="009E2247"/>
    <w:rsid w:val="009E2334"/>
    <w:rsid w:val="009E2400"/>
    <w:rsid w:val="009E2787"/>
    <w:rsid w:val="009E2A21"/>
    <w:rsid w:val="009E2B39"/>
    <w:rsid w:val="009E3408"/>
    <w:rsid w:val="009E35B3"/>
    <w:rsid w:val="009E3615"/>
    <w:rsid w:val="009E36C3"/>
    <w:rsid w:val="009E42C9"/>
    <w:rsid w:val="009E45E7"/>
    <w:rsid w:val="009E4F33"/>
    <w:rsid w:val="009E5228"/>
    <w:rsid w:val="009E52C2"/>
    <w:rsid w:val="009E5F9E"/>
    <w:rsid w:val="009E6321"/>
    <w:rsid w:val="009E71D7"/>
    <w:rsid w:val="009E74F4"/>
    <w:rsid w:val="009F0AC2"/>
    <w:rsid w:val="009F0D59"/>
    <w:rsid w:val="009F0DFC"/>
    <w:rsid w:val="009F1093"/>
    <w:rsid w:val="009F142A"/>
    <w:rsid w:val="009F25DD"/>
    <w:rsid w:val="009F286F"/>
    <w:rsid w:val="009F2C46"/>
    <w:rsid w:val="009F2D08"/>
    <w:rsid w:val="009F3B55"/>
    <w:rsid w:val="009F447E"/>
    <w:rsid w:val="009F47E5"/>
    <w:rsid w:val="009F48B5"/>
    <w:rsid w:val="009F4AAC"/>
    <w:rsid w:val="009F4B72"/>
    <w:rsid w:val="009F50C6"/>
    <w:rsid w:val="009F5642"/>
    <w:rsid w:val="009F5FA2"/>
    <w:rsid w:val="009F6BCA"/>
    <w:rsid w:val="009F7AF0"/>
    <w:rsid w:val="009F7C53"/>
    <w:rsid w:val="00A00045"/>
    <w:rsid w:val="00A007DE"/>
    <w:rsid w:val="00A00D72"/>
    <w:rsid w:val="00A01295"/>
    <w:rsid w:val="00A01351"/>
    <w:rsid w:val="00A01806"/>
    <w:rsid w:val="00A019F0"/>
    <w:rsid w:val="00A01FE6"/>
    <w:rsid w:val="00A02115"/>
    <w:rsid w:val="00A02C66"/>
    <w:rsid w:val="00A03088"/>
    <w:rsid w:val="00A037C8"/>
    <w:rsid w:val="00A03EC1"/>
    <w:rsid w:val="00A0498A"/>
    <w:rsid w:val="00A04D8F"/>
    <w:rsid w:val="00A05534"/>
    <w:rsid w:val="00A05F1C"/>
    <w:rsid w:val="00A05FF9"/>
    <w:rsid w:val="00A0639D"/>
    <w:rsid w:val="00A06996"/>
    <w:rsid w:val="00A06CD6"/>
    <w:rsid w:val="00A06D18"/>
    <w:rsid w:val="00A06D56"/>
    <w:rsid w:val="00A06DC0"/>
    <w:rsid w:val="00A0708F"/>
    <w:rsid w:val="00A0741E"/>
    <w:rsid w:val="00A07C93"/>
    <w:rsid w:val="00A10646"/>
    <w:rsid w:val="00A10898"/>
    <w:rsid w:val="00A10D9F"/>
    <w:rsid w:val="00A10FD7"/>
    <w:rsid w:val="00A110CE"/>
    <w:rsid w:val="00A11C42"/>
    <w:rsid w:val="00A11E56"/>
    <w:rsid w:val="00A12D51"/>
    <w:rsid w:val="00A12E63"/>
    <w:rsid w:val="00A134BA"/>
    <w:rsid w:val="00A13C6B"/>
    <w:rsid w:val="00A13E5C"/>
    <w:rsid w:val="00A141D0"/>
    <w:rsid w:val="00A141F7"/>
    <w:rsid w:val="00A142B1"/>
    <w:rsid w:val="00A15502"/>
    <w:rsid w:val="00A15545"/>
    <w:rsid w:val="00A15A97"/>
    <w:rsid w:val="00A15FB8"/>
    <w:rsid w:val="00A1672F"/>
    <w:rsid w:val="00A169D8"/>
    <w:rsid w:val="00A16C82"/>
    <w:rsid w:val="00A16C83"/>
    <w:rsid w:val="00A17D00"/>
    <w:rsid w:val="00A2016B"/>
    <w:rsid w:val="00A202B3"/>
    <w:rsid w:val="00A20441"/>
    <w:rsid w:val="00A2089D"/>
    <w:rsid w:val="00A2223B"/>
    <w:rsid w:val="00A2273D"/>
    <w:rsid w:val="00A22904"/>
    <w:rsid w:val="00A22C07"/>
    <w:rsid w:val="00A2320F"/>
    <w:rsid w:val="00A23745"/>
    <w:rsid w:val="00A2386F"/>
    <w:rsid w:val="00A23FD6"/>
    <w:rsid w:val="00A2569E"/>
    <w:rsid w:val="00A25772"/>
    <w:rsid w:val="00A25CFE"/>
    <w:rsid w:val="00A25E76"/>
    <w:rsid w:val="00A26193"/>
    <w:rsid w:val="00A2644E"/>
    <w:rsid w:val="00A269EF"/>
    <w:rsid w:val="00A26CE3"/>
    <w:rsid w:val="00A27050"/>
    <w:rsid w:val="00A27848"/>
    <w:rsid w:val="00A30A09"/>
    <w:rsid w:val="00A30C13"/>
    <w:rsid w:val="00A31E1E"/>
    <w:rsid w:val="00A31F26"/>
    <w:rsid w:val="00A3219A"/>
    <w:rsid w:val="00A326F6"/>
    <w:rsid w:val="00A32A6E"/>
    <w:rsid w:val="00A32BB4"/>
    <w:rsid w:val="00A3335E"/>
    <w:rsid w:val="00A34457"/>
    <w:rsid w:val="00A34523"/>
    <w:rsid w:val="00A34A24"/>
    <w:rsid w:val="00A34BEF"/>
    <w:rsid w:val="00A34E0E"/>
    <w:rsid w:val="00A351EC"/>
    <w:rsid w:val="00A354C3"/>
    <w:rsid w:val="00A35E79"/>
    <w:rsid w:val="00A361E6"/>
    <w:rsid w:val="00A36B26"/>
    <w:rsid w:val="00A36FD4"/>
    <w:rsid w:val="00A37790"/>
    <w:rsid w:val="00A377FB"/>
    <w:rsid w:val="00A37893"/>
    <w:rsid w:val="00A4004E"/>
    <w:rsid w:val="00A40358"/>
    <w:rsid w:val="00A40AF7"/>
    <w:rsid w:val="00A41658"/>
    <w:rsid w:val="00A41860"/>
    <w:rsid w:val="00A41C1D"/>
    <w:rsid w:val="00A43136"/>
    <w:rsid w:val="00A434B6"/>
    <w:rsid w:val="00A436D6"/>
    <w:rsid w:val="00A438E3"/>
    <w:rsid w:val="00A43A72"/>
    <w:rsid w:val="00A43E2F"/>
    <w:rsid w:val="00A4445B"/>
    <w:rsid w:val="00A455B1"/>
    <w:rsid w:val="00A4665D"/>
    <w:rsid w:val="00A46DB8"/>
    <w:rsid w:val="00A46E66"/>
    <w:rsid w:val="00A47AD8"/>
    <w:rsid w:val="00A47B16"/>
    <w:rsid w:val="00A47E00"/>
    <w:rsid w:val="00A50D4D"/>
    <w:rsid w:val="00A50EA3"/>
    <w:rsid w:val="00A5196C"/>
    <w:rsid w:val="00A51A18"/>
    <w:rsid w:val="00A51CF0"/>
    <w:rsid w:val="00A5239F"/>
    <w:rsid w:val="00A52448"/>
    <w:rsid w:val="00A5249F"/>
    <w:rsid w:val="00A52E08"/>
    <w:rsid w:val="00A530FD"/>
    <w:rsid w:val="00A5329E"/>
    <w:rsid w:val="00A53661"/>
    <w:rsid w:val="00A53E02"/>
    <w:rsid w:val="00A54703"/>
    <w:rsid w:val="00A5496A"/>
    <w:rsid w:val="00A554BB"/>
    <w:rsid w:val="00A55BB4"/>
    <w:rsid w:val="00A55CE9"/>
    <w:rsid w:val="00A55DDD"/>
    <w:rsid w:val="00A56278"/>
    <w:rsid w:val="00A562E1"/>
    <w:rsid w:val="00A5649D"/>
    <w:rsid w:val="00A56772"/>
    <w:rsid w:val="00A56D89"/>
    <w:rsid w:val="00A5727B"/>
    <w:rsid w:val="00A575B6"/>
    <w:rsid w:val="00A57893"/>
    <w:rsid w:val="00A57F0C"/>
    <w:rsid w:val="00A612B5"/>
    <w:rsid w:val="00A612CB"/>
    <w:rsid w:val="00A61825"/>
    <w:rsid w:val="00A61A95"/>
    <w:rsid w:val="00A61AED"/>
    <w:rsid w:val="00A6239C"/>
    <w:rsid w:val="00A62525"/>
    <w:rsid w:val="00A62FCA"/>
    <w:rsid w:val="00A638B4"/>
    <w:rsid w:val="00A6465A"/>
    <w:rsid w:val="00A6479E"/>
    <w:rsid w:val="00A64816"/>
    <w:rsid w:val="00A64AD9"/>
    <w:rsid w:val="00A655B8"/>
    <w:rsid w:val="00A6583A"/>
    <w:rsid w:val="00A65FED"/>
    <w:rsid w:val="00A6654F"/>
    <w:rsid w:val="00A67BBC"/>
    <w:rsid w:val="00A67D22"/>
    <w:rsid w:val="00A70D27"/>
    <w:rsid w:val="00A7120F"/>
    <w:rsid w:val="00A73ACE"/>
    <w:rsid w:val="00A73F0A"/>
    <w:rsid w:val="00A73F29"/>
    <w:rsid w:val="00A745CE"/>
    <w:rsid w:val="00A74E4C"/>
    <w:rsid w:val="00A75548"/>
    <w:rsid w:val="00A759BE"/>
    <w:rsid w:val="00A75AF7"/>
    <w:rsid w:val="00A7643E"/>
    <w:rsid w:val="00A76E11"/>
    <w:rsid w:val="00A7726D"/>
    <w:rsid w:val="00A7782C"/>
    <w:rsid w:val="00A804F0"/>
    <w:rsid w:val="00A80733"/>
    <w:rsid w:val="00A80AC8"/>
    <w:rsid w:val="00A813FB"/>
    <w:rsid w:val="00A81D35"/>
    <w:rsid w:val="00A8201C"/>
    <w:rsid w:val="00A825A1"/>
    <w:rsid w:val="00A83065"/>
    <w:rsid w:val="00A83474"/>
    <w:rsid w:val="00A835ED"/>
    <w:rsid w:val="00A83C43"/>
    <w:rsid w:val="00A8470E"/>
    <w:rsid w:val="00A84B2C"/>
    <w:rsid w:val="00A84CCD"/>
    <w:rsid w:val="00A853DA"/>
    <w:rsid w:val="00A8544F"/>
    <w:rsid w:val="00A8562C"/>
    <w:rsid w:val="00A85B5E"/>
    <w:rsid w:val="00A85BFA"/>
    <w:rsid w:val="00A85F17"/>
    <w:rsid w:val="00A860CC"/>
    <w:rsid w:val="00A87E16"/>
    <w:rsid w:val="00A90090"/>
    <w:rsid w:val="00A900DC"/>
    <w:rsid w:val="00A90335"/>
    <w:rsid w:val="00A908DD"/>
    <w:rsid w:val="00A90F53"/>
    <w:rsid w:val="00A910FB"/>
    <w:rsid w:val="00A9125B"/>
    <w:rsid w:val="00A912B2"/>
    <w:rsid w:val="00A9170E"/>
    <w:rsid w:val="00A91A82"/>
    <w:rsid w:val="00A91ACD"/>
    <w:rsid w:val="00A91D2F"/>
    <w:rsid w:val="00A92985"/>
    <w:rsid w:val="00A92A13"/>
    <w:rsid w:val="00A9359F"/>
    <w:rsid w:val="00A9385E"/>
    <w:rsid w:val="00A95623"/>
    <w:rsid w:val="00A9585F"/>
    <w:rsid w:val="00A95CD0"/>
    <w:rsid w:val="00A965B1"/>
    <w:rsid w:val="00A96E12"/>
    <w:rsid w:val="00A97B5E"/>
    <w:rsid w:val="00A97E89"/>
    <w:rsid w:val="00AA0C33"/>
    <w:rsid w:val="00AA0CE2"/>
    <w:rsid w:val="00AA0F76"/>
    <w:rsid w:val="00AA13B4"/>
    <w:rsid w:val="00AA13BF"/>
    <w:rsid w:val="00AA19E9"/>
    <w:rsid w:val="00AA1E41"/>
    <w:rsid w:val="00AA2FEE"/>
    <w:rsid w:val="00AA32AC"/>
    <w:rsid w:val="00AA3A42"/>
    <w:rsid w:val="00AA5479"/>
    <w:rsid w:val="00AA5A33"/>
    <w:rsid w:val="00AA6056"/>
    <w:rsid w:val="00AA61A7"/>
    <w:rsid w:val="00AA646B"/>
    <w:rsid w:val="00AA65DB"/>
    <w:rsid w:val="00AA67E6"/>
    <w:rsid w:val="00AA67FC"/>
    <w:rsid w:val="00AA6FA8"/>
    <w:rsid w:val="00AA7341"/>
    <w:rsid w:val="00AA7BA0"/>
    <w:rsid w:val="00AA7BCC"/>
    <w:rsid w:val="00AA7D7B"/>
    <w:rsid w:val="00AB059E"/>
    <w:rsid w:val="00AB062F"/>
    <w:rsid w:val="00AB0679"/>
    <w:rsid w:val="00AB0BFD"/>
    <w:rsid w:val="00AB1291"/>
    <w:rsid w:val="00AB16F8"/>
    <w:rsid w:val="00AB1785"/>
    <w:rsid w:val="00AB180B"/>
    <w:rsid w:val="00AB1E79"/>
    <w:rsid w:val="00AB251D"/>
    <w:rsid w:val="00AB3033"/>
    <w:rsid w:val="00AB3309"/>
    <w:rsid w:val="00AB3C70"/>
    <w:rsid w:val="00AB3D18"/>
    <w:rsid w:val="00AB409F"/>
    <w:rsid w:val="00AB4570"/>
    <w:rsid w:val="00AB48F3"/>
    <w:rsid w:val="00AB5448"/>
    <w:rsid w:val="00AB561F"/>
    <w:rsid w:val="00AB5C5F"/>
    <w:rsid w:val="00AB5F0D"/>
    <w:rsid w:val="00AB6F15"/>
    <w:rsid w:val="00AB7521"/>
    <w:rsid w:val="00AB7738"/>
    <w:rsid w:val="00AB7C99"/>
    <w:rsid w:val="00AC0007"/>
    <w:rsid w:val="00AC0A9C"/>
    <w:rsid w:val="00AC0F11"/>
    <w:rsid w:val="00AC200B"/>
    <w:rsid w:val="00AC20E5"/>
    <w:rsid w:val="00AC248C"/>
    <w:rsid w:val="00AC248F"/>
    <w:rsid w:val="00AC2B09"/>
    <w:rsid w:val="00AC2EDE"/>
    <w:rsid w:val="00AC346B"/>
    <w:rsid w:val="00AC3DD2"/>
    <w:rsid w:val="00AC3FA2"/>
    <w:rsid w:val="00AC455A"/>
    <w:rsid w:val="00AC4688"/>
    <w:rsid w:val="00AC4C7E"/>
    <w:rsid w:val="00AC4D95"/>
    <w:rsid w:val="00AC52C5"/>
    <w:rsid w:val="00AC568D"/>
    <w:rsid w:val="00AC59AB"/>
    <w:rsid w:val="00AC5AE7"/>
    <w:rsid w:val="00AC64A0"/>
    <w:rsid w:val="00AC669A"/>
    <w:rsid w:val="00AC77A7"/>
    <w:rsid w:val="00AC7A2A"/>
    <w:rsid w:val="00AC7C29"/>
    <w:rsid w:val="00AD038D"/>
    <w:rsid w:val="00AD0E08"/>
    <w:rsid w:val="00AD0E43"/>
    <w:rsid w:val="00AD1202"/>
    <w:rsid w:val="00AD176C"/>
    <w:rsid w:val="00AD1AFB"/>
    <w:rsid w:val="00AD2524"/>
    <w:rsid w:val="00AD2D74"/>
    <w:rsid w:val="00AD2EC8"/>
    <w:rsid w:val="00AD3E9E"/>
    <w:rsid w:val="00AD42C1"/>
    <w:rsid w:val="00AD449C"/>
    <w:rsid w:val="00AD463D"/>
    <w:rsid w:val="00AD52AA"/>
    <w:rsid w:val="00AD5A7D"/>
    <w:rsid w:val="00AD5B79"/>
    <w:rsid w:val="00AD6D08"/>
    <w:rsid w:val="00AD6DD1"/>
    <w:rsid w:val="00AD7DB6"/>
    <w:rsid w:val="00AE0C88"/>
    <w:rsid w:val="00AE0DD9"/>
    <w:rsid w:val="00AE1879"/>
    <w:rsid w:val="00AE1D8D"/>
    <w:rsid w:val="00AE241F"/>
    <w:rsid w:val="00AE2502"/>
    <w:rsid w:val="00AE276E"/>
    <w:rsid w:val="00AE2D00"/>
    <w:rsid w:val="00AE2E70"/>
    <w:rsid w:val="00AE3308"/>
    <w:rsid w:val="00AE345E"/>
    <w:rsid w:val="00AE3602"/>
    <w:rsid w:val="00AE376B"/>
    <w:rsid w:val="00AE412D"/>
    <w:rsid w:val="00AE45E7"/>
    <w:rsid w:val="00AE4AC8"/>
    <w:rsid w:val="00AE4F3B"/>
    <w:rsid w:val="00AE4FDE"/>
    <w:rsid w:val="00AE5155"/>
    <w:rsid w:val="00AE530A"/>
    <w:rsid w:val="00AE53EE"/>
    <w:rsid w:val="00AE59A9"/>
    <w:rsid w:val="00AE5F9B"/>
    <w:rsid w:val="00AE60EF"/>
    <w:rsid w:val="00AE64B5"/>
    <w:rsid w:val="00AE6575"/>
    <w:rsid w:val="00AE7214"/>
    <w:rsid w:val="00AE744B"/>
    <w:rsid w:val="00AE7C85"/>
    <w:rsid w:val="00AF0889"/>
    <w:rsid w:val="00AF0BC3"/>
    <w:rsid w:val="00AF0CC6"/>
    <w:rsid w:val="00AF1119"/>
    <w:rsid w:val="00AF1C5D"/>
    <w:rsid w:val="00AF1D51"/>
    <w:rsid w:val="00AF1DC9"/>
    <w:rsid w:val="00AF1ED6"/>
    <w:rsid w:val="00AF2687"/>
    <w:rsid w:val="00AF2C24"/>
    <w:rsid w:val="00AF2E45"/>
    <w:rsid w:val="00AF3007"/>
    <w:rsid w:val="00AF3743"/>
    <w:rsid w:val="00AF3790"/>
    <w:rsid w:val="00AF3E55"/>
    <w:rsid w:val="00AF3F58"/>
    <w:rsid w:val="00AF496E"/>
    <w:rsid w:val="00AF4C9C"/>
    <w:rsid w:val="00AF4D92"/>
    <w:rsid w:val="00AF4FC6"/>
    <w:rsid w:val="00AF54B2"/>
    <w:rsid w:val="00AF5BD0"/>
    <w:rsid w:val="00AF6BA0"/>
    <w:rsid w:val="00AF787D"/>
    <w:rsid w:val="00AF79CD"/>
    <w:rsid w:val="00AF7EE0"/>
    <w:rsid w:val="00AF7F35"/>
    <w:rsid w:val="00B002E9"/>
    <w:rsid w:val="00B00A8B"/>
    <w:rsid w:val="00B00ED3"/>
    <w:rsid w:val="00B01219"/>
    <w:rsid w:val="00B016F2"/>
    <w:rsid w:val="00B01E8A"/>
    <w:rsid w:val="00B01F09"/>
    <w:rsid w:val="00B02859"/>
    <w:rsid w:val="00B02F31"/>
    <w:rsid w:val="00B02F71"/>
    <w:rsid w:val="00B0304C"/>
    <w:rsid w:val="00B0344F"/>
    <w:rsid w:val="00B03709"/>
    <w:rsid w:val="00B03C2D"/>
    <w:rsid w:val="00B0496B"/>
    <w:rsid w:val="00B049DA"/>
    <w:rsid w:val="00B04A1C"/>
    <w:rsid w:val="00B04C08"/>
    <w:rsid w:val="00B04E97"/>
    <w:rsid w:val="00B0507B"/>
    <w:rsid w:val="00B051F4"/>
    <w:rsid w:val="00B05538"/>
    <w:rsid w:val="00B059F1"/>
    <w:rsid w:val="00B05AE2"/>
    <w:rsid w:val="00B05E26"/>
    <w:rsid w:val="00B05E49"/>
    <w:rsid w:val="00B06218"/>
    <w:rsid w:val="00B06C43"/>
    <w:rsid w:val="00B077D8"/>
    <w:rsid w:val="00B07B25"/>
    <w:rsid w:val="00B07BED"/>
    <w:rsid w:val="00B07EC6"/>
    <w:rsid w:val="00B100CD"/>
    <w:rsid w:val="00B10134"/>
    <w:rsid w:val="00B1053F"/>
    <w:rsid w:val="00B11452"/>
    <w:rsid w:val="00B117FD"/>
    <w:rsid w:val="00B11989"/>
    <w:rsid w:val="00B11B15"/>
    <w:rsid w:val="00B11B5C"/>
    <w:rsid w:val="00B126A3"/>
    <w:rsid w:val="00B12A79"/>
    <w:rsid w:val="00B13455"/>
    <w:rsid w:val="00B135D5"/>
    <w:rsid w:val="00B142EA"/>
    <w:rsid w:val="00B14433"/>
    <w:rsid w:val="00B1481C"/>
    <w:rsid w:val="00B151AA"/>
    <w:rsid w:val="00B15502"/>
    <w:rsid w:val="00B15602"/>
    <w:rsid w:val="00B1577F"/>
    <w:rsid w:val="00B15AF6"/>
    <w:rsid w:val="00B15EAB"/>
    <w:rsid w:val="00B16455"/>
    <w:rsid w:val="00B16550"/>
    <w:rsid w:val="00B166F3"/>
    <w:rsid w:val="00B167D0"/>
    <w:rsid w:val="00B16B62"/>
    <w:rsid w:val="00B16BFD"/>
    <w:rsid w:val="00B175CE"/>
    <w:rsid w:val="00B20062"/>
    <w:rsid w:val="00B20461"/>
    <w:rsid w:val="00B2051B"/>
    <w:rsid w:val="00B207CA"/>
    <w:rsid w:val="00B20D29"/>
    <w:rsid w:val="00B20FF0"/>
    <w:rsid w:val="00B2140E"/>
    <w:rsid w:val="00B21740"/>
    <w:rsid w:val="00B217BC"/>
    <w:rsid w:val="00B218B7"/>
    <w:rsid w:val="00B2296F"/>
    <w:rsid w:val="00B2331B"/>
    <w:rsid w:val="00B23657"/>
    <w:rsid w:val="00B23C03"/>
    <w:rsid w:val="00B2563D"/>
    <w:rsid w:val="00B257D2"/>
    <w:rsid w:val="00B27218"/>
    <w:rsid w:val="00B27370"/>
    <w:rsid w:val="00B27491"/>
    <w:rsid w:val="00B27CDA"/>
    <w:rsid w:val="00B3088C"/>
    <w:rsid w:val="00B3093C"/>
    <w:rsid w:val="00B3185C"/>
    <w:rsid w:val="00B31B0D"/>
    <w:rsid w:val="00B31B30"/>
    <w:rsid w:val="00B3207F"/>
    <w:rsid w:val="00B32A10"/>
    <w:rsid w:val="00B331CA"/>
    <w:rsid w:val="00B3373C"/>
    <w:rsid w:val="00B34484"/>
    <w:rsid w:val="00B344F8"/>
    <w:rsid w:val="00B34A41"/>
    <w:rsid w:val="00B34C40"/>
    <w:rsid w:val="00B35CDC"/>
    <w:rsid w:val="00B35D3B"/>
    <w:rsid w:val="00B35D52"/>
    <w:rsid w:val="00B35E61"/>
    <w:rsid w:val="00B360F2"/>
    <w:rsid w:val="00B367CA"/>
    <w:rsid w:val="00B367F5"/>
    <w:rsid w:val="00B3697B"/>
    <w:rsid w:val="00B36D71"/>
    <w:rsid w:val="00B372D8"/>
    <w:rsid w:val="00B375F7"/>
    <w:rsid w:val="00B3782C"/>
    <w:rsid w:val="00B37C92"/>
    <w:rsid w:val="00B40F3D"/>
    <w:rsid w:val="00B41509"/>
    <w:rsid w:val="00B416C1"/>
    <w:rsid w:val="00B418C3"/>
    <w:rsid w:val="00B41CE6"/>
    <w:rsid w:val="00B420C8"/>
    <w:rsid w:val="00B420FB"/>
    <w:rsid w:val="00B4247F"/>
    <w:rsid w:val="00B42C4B"/>
    <w:rsid w:val="00B42F54"/>
    <w:rsid w:val="00B4301A"/>
    <w:rsid w:val="00B4328A"/>
    <w:rsid w:val="00B437CD"/>
    <w:rsid w:val="00B43801"/>
    <w:rsid w:val="00B43D14"/>
    <w:rsid w:val="00B43D1E"/>
    <w:rsid w:val="00B43D1F"/>
    <w:rsid w:val="00B4476D"/>
    <w:rsid w:val="00B44EB8"/>
    <w:rsid w:val="00B45192"/>
    <w:rsid w:val="00B4554C"/>
    <w:rsid w:val="00B45A3B"/>
    <w:rsid w:val="00B45B87"/>
    <w:rsid w:val="00B45D19"/>
    <w:rsid w:val="00B46089"/>
    <w:rsid w:val="00B4652F"/>
    <w:rsid w:val="00B466B0"/>
    <w:rsid w:val="00B47572"/>
    <w:rsid w:val="00B47577"/>
    <w:rsid w:val="00B47B17"/>
    <w:rsid w:val="00B47C76"/>
    <w:rsid w:val="00B47DCF"/>
    <w:rsid w:val="00B50772"/>
    <w:rsid w:val="00B50FE5"/>
    <w:rsid w:val="00B5117D"/>
    <w:rsid w:val="00B51AC6"/>
    <w:rsid w:val="00B523C9"/>
    <w:rsid w:val="00B52531"/>
    <w:rsid w:val="00B528C6"/>
    <w:rsid w:val="00B54577"/>
    <w:rsid w:val="00B561FF"/>
    <w:rsid w:val="00B56DFF"/>
    <w:rsid w:val="00B571E7"/>
    <w:rsid w:val="00B57981"/>
    <w:rsid w:val="00B57DB9"/>
    <w:rsid w:val="00B608D6"/>
    <w:rsid w:val="00B60947"/>
    <w:rsid w:val="00B612D4"/>
    <w:rsid w:val="00B61D4E"/>
    <w:rsid w:val="00B61FC1"/>
    <w:rsid w:val="00B62B9E"/>
    <w:rsid w:val="00B63123"/>
    <w:rsid w:val="00B634C4"/>
    <w:rsid w:val="00B63699"/>
    <w:rsid w:val="00B6390C"/>
    <w:rsid w:val="00B64331"/>
    <w:rsid w:val="00B64D1E"/>
    <w:rsid w:val="00B64D97"/>
    <w:rsid w:val="00B64F91"/>
    <w:rsid w:val="00B655D9"/>
    <w:rsid w:val="00B66A4A"/>
    <w:rsid w:val="00B670BD"/>
    <w:rsid w:val="00B67CFE"/>
    <w:rsid w:val="00B70056"/>
    <w:rsid w:val="00B7048E"/>
    <w:rsid w:val="00B711DB"/>
    <w:rsid w:val="00B713CA"/>
    <w:rsid w:val="00B71B20"/>
    <w:rsid w:val="00B71C29"/>
    <w:rsid w:val="00B71DEC"/>
    <w:rsid w:val="00B7204F"/>
    <w:rsid w:val="00B726A1"/>
    <w:rsid w:val="00B72A31"/>
    <w:rsid w:val="00B72BB2"/>
    <w:rsid w:val="00B72C58"/>
    <w:rsid w:val="00B72C89"/>
    <w:rsid w:val="00B72EA8"/>
    <w:rsid w:val="00B73941"/>
    <w:rsid w:val="00B7488F"/>
    <w:rsid w:val="00B74982"/>
    <w:rsid w:val="00B74FAF"/>
    <w:rsid w:val="00B74FE1"/>
    <w:rsid w:val="00B75230"/>
    <w:rsid w:val="00B75D89"/>
    <w:rsid w:val="00B75E4B"/>
    <w:rsid w:val="00B76175"/>
    <w:rsid w:val="00B76E8C"/>
    <w:rsid w:val="00B77002"/>
    <w:rsid w:val="00B7701C"/>
    <w:rsid w:val="00B8010D"/>
    <w:rsid w:val="00B80552"/>
    <w:rsid w:val="00B820E9"/>
    <w:rsid w:val="00B8232D"/>
    <w:rsid w:val="00B82414"/>
    <w:rsid w:val="00B82ED5"/>
    <w:rsid w:val="00B8306D"/>
    <w:rsid w:val="00B83122"/>
    <w:rsid w:val="00B832D2"/>
    <w:rsid w:val="00B8349D"/>
    <w:rsid w:val="00B83A4D"/>
    <w:rsid w:val="00B83F32"/>
    <w:rsid w:val="00B846AB"/>
    <w:rsid w:val="00B84727"/>
    <w:rsid w:val="00B84ADA"/>
    <w:rsid w:val="00B84E4E"/>
    <w:rsid w:val="00B84F35"/>
    <w:rsid w:val="00B8530B"/>
    <w:rsid w:val="00B85662"/>
    <w:rsid w:val="00B85894"/>
    <w:rsid w:val="00B858F4"/>
    <w:rsid w:val="00B85DA0"/>
    <w:rsid w:val="00B85DAB"/>
    <w:rsid w:val="00B863A2"/>
    <w:rsid w:val="00B86BC9"/>
    <w:rsid w:val="00B87457"/>
    <w:rsid w:val="00B87D80"/>
    <w:rsid w:val="00B87EF3"/>
    <w:rsid w:val="00B904D7"/>
    <w:rsid w:val="00B904EA"/>
    <w:rsid w:val="00B90A2F"/>
    <w:rsid w:val="00B916CF"/>
    <w:rsid w:val="00B91931"/>
    <w:rsid w:val="00B91B11"/>
    <w:rsid w:val="00B91BC5"/>
    <w:rsid w:val="00B91C55"/>
    <w:rsid w:val="00B91CC0"/>
    <w:rsid w:val="00B91D21"/>
    <w:rsid w:val="00B922C7"/>
    <w:rsid w:val="00B92581"/>
    <w:rsid w:val="00B9272B"/>
    <w:rsid w:val="00B9295B"/>
    <w:rsid w:val="00B931F7"/>
    <w:rsid w:val="00B93900"/>
    <w:rsid w:val="00B93E57"/>
    <w:rsid w:val="00B940B0"/>
    <w:rsid w:val="00B94215"/>
    <w:rsid w:val="00B94500"/>
    <w:rsid w:val="00B95E4E"/>
    <w:rsid w:val="00B96797"/>
    <w:rsid w:val="00B96E5B"/>
    <w:rsid w:val="00B96ECB"/>
    <w:rsid w:val="00B96F56"/>
    <w:rsid w:val="00B9759D"/>
    <w:rsid w:val="00B97996"/>
    <w:rsid w:val="00B97CFC"/>
    <w:rsid w:val="00B97FA7"/>
    <w:rsid w:val="00BA0070"/>
    <w:rsid w:val="00BA01F4"/>
    <w:rsid w:val="00BA17DA"/>
    <w:rsid w:val="00BA1A09"/>
    <w:rsid w:val="00BA1F7B"/>
    <w:rsid w:val="00BA2B41"/>
    <w:rsid w:val="00BA2CE4"/>
    <w:rsid w:val="00BA2F8C"/>
    <w:rsid w:val="00BA3036"/>
    <w:rsid w:val="00BA3648"/>
    <w:rsid w:val="00BA3E60"/>
    <w:rsid w:val="00BA43AF"/>
    <w:rsid w:val="00BA4644"/>
    <w:rsid w:val="00BA4A1A"/>
    <w:rsid w:val="00BA5C52"/>
    <w:rsid w:val="00BA61BA"/>
    <w:rsid w:val="00BA682A"/>
    <w:rsid w:val="00BB0CF6"/>
    <w:rsid w:val="00BB14F4"/>
    <w:rsid w:val="00BB158F"/>
    <w:rsid w:val="00BB15F9"/>
    <w:rsid w:val="00BB22EE"/>
    <w:rsid w:val="00BB230E"/>
    <w:rsid w:val="00BB233A"/>
    <w:rsid w:val="00BB2657"/>
    <w:rsid w:val="00BB290B"/>
    <w:rsid w:val="00BB2927"/>
    <w:rsid w:val="00BB2A0A"/>
    <w:rsid w:val="00BB2D71"/>
    <w:rsid w:val="00BB2F8D"/>
    <w:rsid w:val="00BB323D"/>
    <w:rsid w:val="00BB3580"/>
    <w:rsid w:val="00BB370C"/>
    <w:rsid w:val="00BB3CD3"/>
    <w:rsid w:val="00BB4742"/>
    <w:rsid w:val="00BB47B8"/>
    <w:rsid w:val="00BB4CCD"/>
    <w:rsid w:val="00BB54AC"/>
    <w:rsid w:val="00BB58DF"/>
    <w:rsid w:val="00BB631B"/>
    <w:rsid w:val="00BB6D4E"/>
    <w:rsid w:val="00BB6FEC"/>
    <w:rsid w:val="00BB714F"/>
    <w:rsid w:val="00BB7161"/>
    <w:rsid w:val="00BB733E"/>
    <w:rsid w:val="00BB7537"/>
    <w:rsid w:val="00BB76A9"/>
    <w:rsid w:val="00BB7749"/>
    <w:rsid w:val="00BB776E"/>
    <w:rsid w:val="00BB7FEA"/>
    <w:rsid w:val="00BC028F"/>
    <w:rsid w:val="00BC0EB1"/>
    <w:rsid w:val="00BC186F"/>
    <w:rsid w:val="00BC19EB"/>
    <w:rsid w:val="00BC2F35"/>
    <w:rsid w:val="00BC30BA"/>
    <w:rsid w:val="00BC335C"/>
    <w:rsid w:val="00BC3517"/>
    <w:rsid w:val="00BC39BF"/>
    <w:rsid w:val="00BC46FD"/>
    <w:rsid w:val="00BC4A9F"/>
    <w:rsid w:val="00BC4D90"/>
    <w:rsid w:val="00BC535F"/>
    <w:rsid w:val="00BC53D4"/>
    <w:rsid w:val="00BC565C"/>
    <w:rsid w:val="00BC643A"/>
    <w:rsid w:val="00BC6D91"/>
    <w:rsid w:val="00BC700C"/>
    <w:rsid w:val="00BC70F9"/>
    <w:rsid w:val="00BC7605"/>
    <w:rsid w:val="00BD0204"/>
    <w:rsid w:val="00BD05D5"/>
    <w:rsid w:val="00BD08E0"/>
    <w:rsid w:val="00BD0900"/>
    <w:rsid w:val="00BD2320"/>
    <w:rsid w:val="00BD2A11"/>
    <w:rsid w:val="00BD2DAC"/>
    <w:rsid w:val="00BD2ECE"/>
    <w:rsid w:val="00BD33A1"/>
    <w:rsid w:val="00BD33BB"/>
    <w:rsid w:val="00BD4012"/>
    <w:rsid w:val="00BD4A2D"/>
    <w:rsid w:val="00BD4A5E"/>
    <w:rsid w:val="00BD541E"/>
    <w:rsid w:val="00BD5DB5"/>
    <w:rsid w:val="00BD5E6A"/>
    <w:rsid w:val="00BD5F86"/>
    <w:rsid w:val="00BD612A"/>
    <w:rsid w:val="00BD6BA4"/>
    <w:rsid w:val="00BD7448"/>
    <w:rsid w:val="00BD752B"/>
    <w:rsid w:val="00BD779B"/>
    <w:rsid w:val="00BD7AD0"/>
    <w:rsid w:val="00BE171A"/>
    <w:rsid w:val="00BE17A7"/>
    <w:rsid w:val="00BE1C2D"/>
    <w:rsid w:val="00BE2143"/>
    <w:rsid w:val="00BE2186"/>
    <w:rsid w:val="00BE251D"/>
    <w:rsid w:val="00BE2DE3"/>
    <w:rsid w:val="00BE2E70"/>
    <w:rsid w:val="00BE3175"/>
    <w:rsid w:val="00BE31CD"/>
    <w:rsid w:val="00BE3206"/>
    <w:rsid w:val="00BE3476"/>
    <w:rsid w:val="00BE3EA7"/>
    <w:rsid w:val="00BE465F"/>
    <w:rsid w:val="00BE4A44"/>
    <w:rsid w:val="00BE4D01"/>
    <w:rsid w:val="00BE564B"/>
    <w:rsid w:val="00BE567A"/>
    <w:rsid w:val="00BE5843"/>
    <w:rsid w:val="00BE5851"/>
    <w:rsid w:val="00BE627A"/>
    <w:rsid w:val="00BE63A9"/>
    <w:rsid w:val="00BE6928"/>
    <w:rsid w:val="00BE751D"/>
    <w:rsid w:val="00BE7D0F"/>
    <w:rsid w:val="00BE7FA0"/>
    <w:rsid w:val="00BF075C"/>
    <w:rsid w:val="00BF1808"/>
    <w:rsid w:val="00BF1A7C"/>
    <w:rsid w:val="00BF1B5E"/>
    <w:rsid w:val="00BF1DE8"/>
    <w:rsid w:val="00BF2CF4"/>
    <w:rsid w:val="00BF3190"/>
    <w:rsid w:val="00BF351F"/>
    <w:rsid w:val="00BF3BC0"/>
    <w:rsid w:val="00BF4249"/>
    <w:rsid w:val="00BF4448"/>
    <w:rsid w:val="00BF4589"/>
    <w:rsid w:val="00BF466A"/>
    <w:rsid w:val="00BF4CD5"/>
    <w:rsid w:val="00BF4CFC"/>
    <w:rsid w:val="00BF4E25"/>
    <w:rsid w:val="00BF5243"/>
    <w:rsid w:val="00BF5441"/>
    <w:rsid w:val="00BF5460"/>
    <w:rsid w:val="00BF54F7"/>
    <w:rsid w:val="00BF59BC"/>
    <w:rsid w:val="00BF5ABE"/>
    <w:rsid w:val="00BF5BE8"/>
    <w:rsid w:val="00BF69E7"/>
    <w:rsid w:val="00BF6A2B"/>
    <w:rsid w:val="00BF6B68"/>
    <w:rsid w:val="00BF6DBC"/>
    <w:rsid w:val="00BF705A"/>
    <w:rsid w:val="00BF70A3"/>
    <w:rsid w:val="00BF72A6"/>
    <w:rsid w:val="00BF7704"/>
    <w:rsid w:val="00BF7824"/>
    <w:rsid w:val="00C00287"/>
    <w:rsid w:val="00C0075C"/>
    <w:rsid w:val="00C0097A"/>
    <w:rsid w:val="00C009E9"/>
    <w:rsid w:val="00C0128E"/>
    <w:rsid w:val="00C0160D"/>
    <w:rsid w:val="00C01C54"/>
    <w:rsid w:val="00C01FD9"/>
    <w:rsid w:val="00C02187"/>
    <w:rsid w:val="00C021EB"/>
    <w:rsid w:val="00C02279"/>
    <w:rsid w:val="00C02440"/>
    <w:rsid w:val="00C02557"/>
    <w:rsid w:val="00C02743"/>
    <w:rsid w:val="00C02993"/>
    <w:rsid w:val="00C029DD"/>
    <w:rsid w:val="00C03306"/>
    <w:rsid w:val="00C033B3"/>
    <w:rsid w:val="00C03B02"/>
    <w:rsid w:val="00C03CB2"/>
    <w:rsid w:val="00C03D5D"/>
    <w:rsid w:val="00C04050"/>
    <w:rsid w:val="00C04704"/>
    <w:rsid w:val="00C0519A"/>
    <w:rsid w:val="00C05473"/>
    <w:rsid w:val="00C059F6"/>
    <w:rsid w:val="00C05B14"/>
    <w:rsid w:val="00C05D6D"/>
    <w:rsid w:val="00C0611B"/>
    <w:rsid w:val="00C06584"/>
    <w:rsid w:val="00C0667F"/>
    <w:rsid w:val="00C06AC8"/>
    <w:rsid w:val="00C0787D"/>
    <w:rsid w:val="00C104D5"/>
    <w:rsid w:val="00C108F5"/>
    <w:rsid w:val="00C10B49"/>
    <w:rsid w:val="00C10D7B"/>
    <w:rsid w:val="00C114D9"/>
    <w:rsid w:val="00C11739"/>
    <w:rsid w:val="00C11C7E"/>
    <w:rsid w:val="00C122FC"/>
    <w:rsid w:val="00C12365"/>
    <w:rsid w:val="00C12579"/>
    <w:rsid w:val="00C12884"/>
    <w:rsid w:val="00C12DFE"/>
    <w:rsid w:val="00C132A8"/>
    <w:rsid w:val="00C1331C"/>
    <w:rsid w:val="00C13352"/>
    <w:rsid w:val="00C13703"/>
    <w:rsid w:val="00C149D5"/>
    <w:rsid w:val="00C14B99"/>
    <w:rsid w:val="00C14CF7"/>
    <w:rsid w:val="00C15055"/>
    <w:rsid w:val="00C154BD"/>
    <w:rsid w:val="00C15C73"/>
    <w:rsid w:val="00C16373"/>
    <w:rsid w:val="00C163C7"/>
    <w:rsid w:val="00C17069"/>
    <w:rsid w:val="00C1719B"/>
    <w:rsid w:val="00C172C1"/>
    <w:rsid w:val="00C178B2"/>
    <w:rsid w:val="00C201E5"/>
    <w:rsid w:val="00C20487"/>
    <w:rsid w:val="00C20F2E"/>
    <w:rsid w:val="00C212FC"/>
    <w:rsid w:val="00C21524"/>
    <w:rsid w:val="00C22316"/>
    <w:rsid w:val="00C2251C"/>
    <w:rsid w:val="00C22664"/>
    <w:rsid w:val="00C22A9F"/>
    <w:rsid w:val="00C2357C"/>
    <w:rsid w:val="00C2423D"/>
    <w:rsid w:val="00C2443B"/>
    <w:rsid w:val="00C246B1"/>
    <w:rsid w:val="00C2477D"/>
    <w:rsid w:val="00C250E3"/>
    <w:rsid w:val="00C25424"/>
    <w:rsid w:val="00C2594D"/>
    <w:rsid w:val="00C25A2E"/>
    <w:rsid w:val="00C25BC1"/>
    <w:rsid w:val="00C26692"/>
    <w:rsid w:val="00C266C4"/>
    <w:rsid w:val="00C2676B"/>
    <w:rsid w:val="00C268AE"/>
    <w:rsid w:val="00C26BE3"/>
    <w:rsid w:val="00C26DC4"/>
    <w:rsid w:val="00C270C5"/>
    <w:rsid w:val="00C30395"/>
    <w:rsid w:val="00C303D6"/>
    <w:rsid w:val="00C305FE"/>
    <w:rsid w:val="00C3086E"/>
    <w:rsid w:val="00C31648"/>
    <w:rsid w:val="00C31E05"/>
    <w:rsid w:val="00C325D6"/>
    <w:rsid w:val="00C32618"/>
    <w:rsid w:val="00C329F8"/>
    <w:rsid w:val="00C34008"/>
    <w:rsid w:val="00C341F7"/>
    <w:rsid w:val="00C3455C"/>
    <w:rsid w:val="00C34EAA"/>
    <w:rsid w:val="00C355AC"/>
    <w:rsid w:val="00C35F37"/>
    <w:rsid w:val="00C367EF"/>
    <w:rsid w:val="00C36C57"/>
    <w:rsid w:val="00C37026"/>
    <w:rsid w:val="00C3766D"/>
    <w:rsid w:val="00C3793F"/>
    <w:rsid w:val="00C402C8"/>
    <w:rsid w:val="00C4034F"/>
    <w:rsid w:val="00C405AF"/>
    <w:rsid w:val="00C4063A"/>
    <w:rsid w:val="00C4128E"/>
    <w:rsid w:val="00C41A2C"/>
    <w:rsid w:val="00C41A78"/>
    <w:rsid w:val="00C4209F"/>
    <w:rsid w:val="00C42233"/>
    <w:rsid w:val="00C4240B"/>
    <w:rsid w:val="00C42E85"/>
    <w:rsid w:val="00C4330D"/>
    <w:rsid w:val="00C441B8"/>
    <w:rsid w:val="00C4423B"/>
    <w:rsid w:val="00C44A42"/>
    <w:rsid w:val="00C44F51"/>
    <w:rsid w:val="00C452FA"/>
    <w:rsid w:val="00C4543A"/>
    <w:rsid w:val="00C454EF"/>
    <w:rsid w:val="00C459F6"/>
    <w:rsid w:val="00C460ED"/>
    <w:rsid w:val="00C464C9"/>
    <w:rsid w:val="00C46B3F"/>
    <w:rsid w:val="00C470DD"/>
    <w:rsid w:val="00C47426"/>
    <w:rsid w:val="00C47A46"/>
    <w:rsid w:val="00C5031B"/>
    <w:rsid w:val="00C50EA4"/>
    <w:rsid w:val="00C51367"/>
    <w:rsid w:val="00C51EC9"/>
    <w:rsid w:val="00C52058"/>
    <w:rsid w:val="00C522D8"/>
    <w:rsid w:val="00C5245F"/>
    <w:rsid w:val="00C525A6"/>
    <w:rsid w:val="00C52670"/>
    <w:rsid w:val="00C52D8A"/>
    <w:rsid w:val="00C5329C"/>
    <w:rsid w:val="00C53413"/>
    <w:rsid w:val="00C53C44"/>
    <w:rsid w:val="00C5452D"/>
    <w:rsid w:val="00C546BA"/>
    <w:rsid w:val="00C54DFC"/>
    <w:rsid w:val="00C54E25"/>
    <w:rsid w:val="00C54F22"/>
    <w:rsid w:val="00C550CA"/>
    <w:rsid w:val="00C55354"/>
    <w:rsid w:val="00C561D6"/>
    <w:rsid w:val="00C56386"/>
    <w:rsid w:val="00C56436"/>
    <w:rsid w:val="00C56466"/>
    <w:rsid w:val="00C577DC"/>
    <w:rsid w:val="00C578FF"/>
    <w:rsid w:val="00C60286"/>
    <w:rsid w:val="00C602FC"/>
    <w:rsid w:val="00C60AD5"/>
    <w:rsid w:val="00C60B10"/>
    <w:rsid w:val="00C60BAD"/>
    <w:rsid w:val="00C611B6"/>
    <w:rsid w:val="00C61AFA"/>
    <w:rsid w:val="00C6203B"/>
    <w:rsid w:val="00C626C1"/>
    <w:rsid w:val="00C63DBF"/>
    <w:rsid w:val="00C64276"/>
    <w:rsid w:val="00C64559"/>
    <w:rsid w:val="00C646DB"/>
    <w:rsid w:val="00C655C3"/>
    <w:rsid w:val="00C6562E"/>
    <w:rsid w:val="00C664F1"/>
    <w:rsid w:val="00C6658B"/>
    <w:rsid w:val="00C6680A"/>
    <w:rsid w:val="00C66C1A"/>
    <w:rsid w:val="00C67387"/>
    <w:rsid w:val="00C7112E"/>
    <w:rsid w:val="00C716B0"/>
    <w:rsid w:val="00C71B73"/>
    <w:rsid w:val="00C71F3F"/>
    <w:rsid w:val="00C7213F"/>
    <w:rsid w:val="00C7277B"/>
    <w:rsid w:val="00C729FC"/>
    <w:rsid w:val="00C72D2A"/>
    <w:rsid w:val="00C72D5D"/>
    <w:rsid w:val="00C72E48"/>
    <w:rsid w:val="00C731BC"/>
    <w:rsid w:val="00C73935"/>
    <w:rsid w:val="00C7396D"/>
    <w:rsid w:val="00C73D56"/>
    <w:rsid w:val="00C7464A"/>
    <w:rsid w:val="00C74E4B"/>
    <w:rsid w:val="00C75218"/>
    <w:rsid w:val="00C757E8"/>
    <w:rsid w:val="00C76123"/>
    <w:rsid w:val="00C77F20"/>
    <w:rsid w:val="00C80401"/>
    <w:rsid w:val="00C8040D"/>
    <w:rsid w:val="00C805DD"/>
    <w:rsid w:val="00C80BCC"/>
    <w:rsid w:val="00C80EFC"/>
    <w:rsid w:val="00C80FEF"/>
    <w:rsid w:val="00C813D1"/>
    <w:rsid w:val="00C81524"/>
    <w:rsid w:val="00C81838"/>
    <w:rsid w:val="00C818C2"/>
    <w:rsid w:val="00C8204D"/>
    <w:rsid w:val="00C82381"/>
    <w:rsid w:val="00C824D9"/>
    <w:rsid w:val="00C83609"/>
    <w:rsid w:val="00C843F0"/>
    <w:rsid w:val="00C84953"/>
    <w:rsid w:val="00C84BDE"/>
    <w:rsid w:val="00C84ED9"/>
    <w:rsid w:val="00C85579"/>
    <w:rsid w:val="00C85863"/>
    <w:rsid w:val="00C85AF5"/>
    <w:rsid w:val="00C85CF4"/>
    <w:rsid w:val="00C864F5"/>
    <w:rsid w:val="00C86D84"/>
    <w:rsid w:val="00C87008"/>
    <w:rsid w:val="00C87092"/>
    <w:rsid w:val="00C87812"/>
    <w:rsid w:val="00C87D18"/>
    <w:rsid w:val="00C90446"/>
    <w:rsid w:val="00C90782"/>
    <w:rsid w:val="00C914C7"/>
    <w:rsid w:val="00C91F1A"/>
    <w:rsid w:val="00C922F7"/>
    <w:rsid w:val="00C92430"/>
    <w:rsid w:val="00C9270D"/>
    <w:rsid w:val="00C92B19"/>
    <w:rsid w:val="00C93A08"/>
    <w:rsid w:val="00C94050"/>
    <w:rsid w:val="00C94187"/>
    <w:rsid w:val="00C9438C"/>
    <w:rsid w:val="00C94505"/>
    <w:rsid w:val="00C94A52"/>
    <w:rsid w:val="00C95310"/>
    <w:rsid w:val="00C958DF"/>
    <w:rsid w:val="00C95D4A"/>
    <w:rsid w:val="00C95F22"/>
    <w:rsid w:val="00C95FDE"/>
    <w:rsid w:val="00C9683C"/>
    <w:rsid w:val="00C96C77"/>
    <w:rsid w:val="00C96CC9"/>
    <w:rsid w:val="00C96D31"/>
    <w:rsid w:val="00C9712C"/>
    <w:rsid w:val="00C972CD"/>
    <w:rsid w:val="00C974A1"/>
    <w:rsid w:val="00C97641"/>
    <w:rsid w:val="00C97F62"/>
    <w:rsid w:val="00CA0089"/>
    <w:rsid w:val="00CA08EF"/>
    <w:rsid w:val="00CA1511"/>
    <w:rsid w:val="00CA1583"/>
    <w:rsid w:val="00CA1B35"/>
    <w:rsid w:val="00CA2A40"/>
    <w:rsid w:val="00CA2ACA"/>
    <w:rsid w:val="00CA2FF9"/>
    <w:rsid w:val="00CA35A6"/>
    <w:rsid w:val="00CA35B9"/>
    <w:rsid w:val="00CA3629"/>
    <w:rsid w:val="00CA3724"/>
    <w:rsid w:val="00CA3B8B"/>
    <w:rsid w:val="00CA5423"/>
    <w:rsid w:val="00CA598E"/>
    <w:rsid w:val="00CA5B99"/>
    <w:rsid w:val="00CA65F0"/>
    <w:rsid w:val="00CA6C3C"/>
    <w:rsid w:val="00CA6FCA"/>
    <w:rsid w:val="00CA7665"/>
    <w:rsid w:val="00CA790E"/>
    <w:rsid w:val="00CA7992"/>
    <w:rsid w:val="00CB0930"/>
    <w:rsid w:val="00CB0CA7"/>
    <w:rsid w:val="00CB0D77"/>
    <w:rsid w:val="00CB108B"/>
    <w:rsid w:val="00CB1202"/>
    <w:rsid w:val="00CB1620"/>
    <w:rsid w:val="00CB1783"/>
    <w:rsid w:val="00CB1932"/>
    <w:rsid w:val="00CB1BBB"/>
    <w:rsid w:val="00CB20B5"/>
    <w:rsid w:val="00CB223A"/>
    <w:rsid w:val="00CB22B3"/>
    <w:rsid w:val="00CB3111"/>
    <w:rsid w:val="00CB3A28"/>
    <w:rsid w:val="00CB47E4"/>
    <w:rsid w:val="00CB4B89"/>
    <w:rsid w:val="00CB4D27"/>
    <w:rsid w:val="00CB5139"/>
    <w:rsid w:val="00CB53DE"/>
    <w:rsid w:val="00CB55D3"/>
    <w:rsid w:val="00CB5890"/>
    <w:rsid w:val="00CB5AC2"/>
    <w:rsid w:val="00CB600C"/>
    <w:rsid w:val="00CB607C"/>
    <w:rsid w:val="00CB6BC4"/>
    <w:rsid w:val="00CB6FF2"/>
    <w:rsid w:val="00CB76B1"/>
    <w:rsid w:val="00CB77CD"/>
    <w:rsid w:val="00CC04BD"/>
    <w:rsid w:val="00CC11A8"/>
    <w:rsid w:val="00CC1636"/>
    <w:rsid w:val="00CC1FEC"/>
    <w:rsid w:val="00CC2270"/>
    <w:rsid w:val="00CC2A85"/>
    <w:rsid w:val="00CC2BE5"/>
    <w:rsid w:val="00CC338E"/>
    <w:rsid w:val="00CC3B54"/>
    <w:rsid w:val="00CC3DE9"/>
    <w:rsid w:val="00CC4386"/>
    <w:rsid w:val="00CC498F"/>
    <w:rsid w:val="00CC4B48"/>
    <w:rsid w:val="00CC4E6E"/>
    <w:rsid w:val="00CC5011"/>
    <w:rsid w:val="00CC5232"/>
    <w:rsid w:val="00CC60C1"/>
    <w:rsid w:val="00CC622B"/>
    <w:rsid w:val="00CC6431"/>
    <w:rsid w:val="00CC6A55"/>
    <w:rsid w:val="00CD00ED"/>
    <w:rsid w:val="00CD0385"/>
    <w:rsid w:val="00CD09A8"/>
    <w:rsid w:val="00CD0D21"/>
    <w:rsid w:val="00CD0FB4"/>
    <w:rsid w:val="00CD175C"/>
    <w:rsid w:val="00CD1B69"/>
    <w:rsid w:val="00CD1D1D"/>
    <w:rsid w:val="00CD2082"/>
    <w:rsid w:val="00CD3035"/>
    <w:rsid w:val="00CD3898"/>
    <w:rsid w:val="00CD415D"/>
    <w:rsid w:val="00CD4687"/>
    <w:rsid w:val="00CD4946"/>
    <w:rsid w:val="00CD4B53"/>
    <w:rsid w:val="00CD4E86"/>
    <w:rsid w:val="00CD4FF4"/>
    <w:rsid w:val="00CD501A"/>
    <w:rsid w:val="00CD5693"/>
    <w:rsid w:val="00CD571C"/>
    <w:rsid w:val="00CD5C19"/>
    <w:rsid w:val="00CD6041"/>
    <w:rsid w:val="00CD6320"/>
    <w:rsid w:val="00CD665B"/>
    <w:rsid w:val="00CD6E31"/>
    <w:rsid w:val="00CD7084"/>
    <w:rsid w:val="00CD7413"/>
    <w:rsid w:val="00CD746B"/>
    <w:rsid w:val="00CD7CC2"/>
    <w:rsid w:val="00CD7E0C"/>
    <w:rsid w:val="00CE03C1"/>
    <w:rsid w:val="00CE0DF0"/>
    <w:rsid w:val="00CE1374"/>
    <w:rsid w:val="00CE13E3"/>
    <w:rsid w:val="00CE19AA"/>
    <w:rsid w:val="00CE2090"/>
    <w:rsid w:val="00CE2641"/>
    <w:rsid w:val="00CE274B"/>
    <w:rsid w:val="00CE2BC2"/>
    <w:rsid w:val="00CE2D6D"/>
    <w:rsid w:val="00CE2E76"/>
    <w:rsid w:val="00CE2ECF"/>
    <w:rsid w:val="00CE3520"/>
    <w:rsid w:val="00CE3576"/>
    <w:rsid w:val="00CE3611"/>
    <w:rsid w:val="00CE3A4A"/>
    <w:rsid w:val="00CE4555"/>
    <w:rsid w:val="00CE456F"/>
    <w:rsid w:val="00CE48DA"/>
    <w:rsid w:val="00CE4C31"/>
    <w:rsid w:val="00CE5FD6"/>
    <w:rsid w:val="00CE60A6"/>
    <w:rsid w:val="00CE6370"/>
    <w:rsid w:val="00CE679A"/>
    <w:rsid w:val="00CE6AC1"/>
    <w:rsid w:val="00CE6FC1"/>
    <w:rsid w:val="00CE71AE"/>
    <w:rsid w:val="00CE7674"/>
    <w:rsid w:val="00CE7FA4"/>
    <w:rsid w:val="00CF10F5"/>
    <w:rsid w:val="00CF205D"/>
    <w:rsid w:val="00CF211E"/>
    <w:rsid w:val="00CF2369"/>
    <w:rsid w:val="00CF2D76"/>
    <w:rsid w:val="00CF2E3D"/>
    <w:rsid w:val="00CF37B3"/>
    <w:rsid w:val="00CF3BFD"/>
    <w:rsid w:val="00CF3CB4"/>
    <w:rsid w:val="00CF3D3D"/>
    <w:rsid w:val="00CF43D1"/>
    <w:rsid w:val="00CF43DE"/>
    <w:rsid w:val="00CF493E"/>
    <w:rsid w:val="00CF49AF"/>
    <w:rsid w:val="00CF4B38"/>
    <w:rsid w:val="00CF503A"/>
    <w:rsid w:val="00CF54AB"/>
    <w:rsid w:val="00CF5566"/>
    <w:rsid w:val="00CF6142"/>
    <w:rsid w:val="00CF61B8"/>
    <w:rsid w:val="00CF6B90"/>
    <w:rsid w:val="00CF74FB"/>
    <w:rsid w:val="00CF7CBB"/>
    <w:rsid w:val="00CF7D58"/>
    <w:rsid w:val="00D0060D"/>
    <w:rsid w:val="00D00CE5"/>
    <w:rsid w:val="00D01410"/>
    <w:rsid w:val="00D01809"/>
    <w:rsid w:val="00D01BF8"/>
    <w:rsid w:val="00D02227"/>
    <w:rsid w:val="00D02592"/>
    <w:rsid w:val="00D0272D"/>
    <w:rsid w:val="00D031DF"/>
    <w:rsid w:val="00D0356A"/>
    <w:rsid w:val="00D03844"/>
    <w:rsid w:val="00D03E75"/>
    <w:rsid w:val="00D04873"/>
    <w:rsid w:val="00D04A1E"/>
    <w:rsid w:val="00D04CE7"/>
    <w:rsid w:val="00D04DA0"/>
    <w:rsid w:val="00D04E50"/>
    <w:rsid w:val="00D05CD5"/>
    <w:rsid w:val="00D06376"/>
    <w:rsid w:val="00D066F4"/>
    <w:rsid w:val="00D068E4"/>
    <w:rsid w:val="00D074FE"/>
    <w:rsid w:val="00D07825"/>
    <w:rsid w:val="00D0783C"/>
    <w:rsid w:val="00D07DF9"/>
    <w:rsid w:val="00D07F01"/>
    <w:rsid w:val="00D10054"/>
    <w:rsid w:val="00D104E0"/>
    <w:rsid w:val="00D10545"/>
    <w:rsid w:val="00D10F08"/>
    <w:rsid w:val="00D110D1"/>
    <w:rsid w:val="00D110D5"/>
    <w:rsid w:val="00D11386"/>
    <w:rsid w:val="00D12377"/>
    <w:rsid w:val="00D12A42"/>
    <w:rsid w:val="00D12D93"/>
    <w:rsid w:val="00D13BE0"/>
    <w:rsid w:val="00D13E7B"/>
    <w:rsid w:val="00D13F0B"/>
    <w:rsid w:val="00D13FAF"/>
    <w:rsid w:val="00D14082"/>
    <w:rsid w:val="00D14B21"/>
    <w:rsid w:val="00D14BAB"/>
    <w:rsid w:val="00D14DD8"/>
    <w:rsid w:val="00D14F1D"/>
    <w:rsid w:val="00D14F9E"/>
    <w:rsid w:val="00D154A5"/>
    <w:rsid w:val="00D15E45"/>
    <w:rsid w:val="00D17007"/>
    <w:rsid w:val="00D17056"/>
    <w:rsid w:val="00D174DF"/>
    <w:rsid w:val="00D175C9"/>
    <w:rsid w:val="00D17638"/>
    <w:rsid w:val="00D179CC"/>
    <w:rsid w:val="00D201C9"/>
    <w:rsid w:val="00D20BF4"/>
    <w:rsid w:val="00D20EBD"/>
    <w:rsid w:val="00D20F5B"/>
    <w:rsid w:val="00D21012"/>
    <w:rsid w:val="00D21560"/>
    <w:rsid w:val="00D218A1"/>
    <w:rsid w:val="00D21E7F"/>
    <w:rsid w:val="00D227A0"/>
    <w:rsid w:val="00D22A23"/>
    <w:rsid w:val="00D22D23"/>
    <w:rsid w:val="00D22DCA"/>
    <w:rsid w:val="00D23042"/>
    <w:rsid w:val="00D2328D"/>
    <w:rsid w:val="00D238AC"/>
    <w:rsid w:val="00D24210"/>
    <w:rsid w:val="00D24DAD"/>
    <w:rsid w:val="00D272D5"/>
    <w:rsid w:val="00D273ED"/>
    <w:rsid w:val="00D2765B"/>
    <w:rsid w:val="00D277A5"/>
    <w:rsid w:val="00D277E8"/>
    <w:rsid w:val="00D27B32"/>
    <w:rsid w:val="00D30169"/>
    <w:rsid w:val="00D307E1"/>
    <w:rsid w:val="00D30C81"/>
    <w:rsid w:val="00D30EE6"/>
    <w:rsid w:val="00D3112D"/>
    <w:rsid w:val="00D314EF"/>
    <w:rsid w:val="00D31504"/>
    <w:rsid w:val="00D31A8B"/>
    <w:rsid w:val="00D32D3B"/>
    <w:rsid w:val="00D335EE"/>
    <w:rsid w:val="00D33A5A"/>
    <w:rsid w:val="00D33C61"/>
    <w:rsid w:val="00D3431B"/>
    <w:rsid w:val="00D34685"/>
    <w:rsid w:val="00D34E40"/>
    <w:rsid w:val="00D34EFB"/>
    <w:rsid w:val="00D34F3F"/>
    <w:rsid w:val="00D350FF"/>
    <w:rsid w:val="00D35151"/>
    <w:rsid w:val="00D3591E"/>
    <w:rsid w:val="00D35992"/>
    <w:rsid w:val="00D359AC"/>
    <w:rsid w:val="00D35EB7"/>
    <w:rsid w:val="00D3689A"/>
    <w:rsid w:val="00D36BEC"/>
    <w:rsid w:val="00D36F72"/>
    <w:rsid w:val="00D40004"/>
    <w:rsid w:val="00D40281"/>
    <w:rsid w:val="00D402C0"/>
    <w:rsid w:val="00D4055A"/>
    <w:rsid w:val="00D4074D"/>
    <w:rsid w:val="00D40A2B"/>
    <w:rsid w:val="00D4122C"/>
    <w:rsid w:val="00D412D5"/>
    <w:rsid w:val="00D41340"/>
    <w:rsid w:val="00D41BD4"/>
    <w:rsid w:val="00D41E3E"/>
    <w:rsid w:val="00D420C9"/>
    <w:rsid w:val="00D42CDE"/>
    <w:rsid w:val="00D43699"/>
    <w:rsid w:val="00D44349"/>
    <w:rsid w:val="00D4479C"/>
    <w:rsid w:val="00D44F36"/>
    <w:rsid w:val="00D45002"/>
    <w:rsid w:val="00D459E2"/>
    <w:rsid w:val="00D45B73"/>
    <w:rsid w:val="00D4610F"/>
    <w:rsid w:val="00D462FB"/>
    <w:rsid w:val="00D463F2"/>
    <w:rsid w:val="00D46AAC"/>
    <w:rsid w:val="00D46D5B"/>
    <w:rsid w:val="00D4719B"/>
    <w:rsid w:val="00D475D3"/>
    <w:rsid w:val="00D4767B"/>
    <w:rsid w:val="00D47A34"/>
    <w:rsid w:val="00D51ADD"/>
    <w:rsid w:val="00D51E1E"/>
    <w:rsid w:val="00D51F53"/>
    <w:rsid w:val="00D521D8"/>
    <w:rsid w:val="00D5355F"/>
    <w:rsid w:val="00D53D01"/>
    <w:rsid w:val="00D53D57"/>
    <w:rsid w:val="00D541C0"/>
    <w:rsid w:val="00D54243"/>
    <w:rsid w:val="00D543DC"/>
    <w:rsid w:val="00D54832"/>
    <w:rsid w:val="00D5485A"/>
    <w:rsid w:val="00D552FF"/>
    <w:rsid w:val="00D55642"/>
    <w:rsid w:val="00D557AE"/>
    <w:rsid w:val="00D55CF7"/>
    <w:rsid w:val="00D5649D"/>
    <w:rsid w:val="00D567BD"/>
    <w:rsid w:val="00D5722E"/>
    <w:rsid w:val="00D573A3"/>
    <w:rsid w:val="00D575D3"/>
    <w:rsid w:val="00D57C26"/>
    <w:rsid w:val="00D60231"/>
    <w:rsid w:val="00D60E36"/>
    <w:rsid w:val="00D60F09"/>
    <w:rsid w:val="00D61116"/>
    <w:rsid w:val="00D616D2"/>
    <w:rsid w:val="00D61781"/>
    <w:rsid w:val="00D62456"/>
    <w:rsid w:val="00D62C71"/>
    <w:rsid w:val="00D630B9"/>
    <w:rsid w:val="00D64081"/>
    <w:rsid w:val="00D6447B"/>
    <w:rsid w:val="00D64695"/>
    <w:rsid w:val="00D6595B"/>
    <w:rsid w:val="00D65C58"/>
    <w:rsid w:val="00D65C5B"/>
    <w:rsid w:val="00D65EBD"/>
    <w:rsid w:val="00D65F35"/>
    <w:rsid w:val="00D6673C"/>
    <w:rsid w:val="00D67064"/>
    <w:rsid w:val="00D670C6"/>
    <w:rsid w:val="00D67369"/>
    <w:rsid w:val="00D6791E"/>
    <w:rsid w:val="00D67B1B"/>
    <w:rsid w:val="00D67BE4"/>
    <w:rsid w:val="00D70470"/>
    <w:rsid w:val="00D70CCF"/>
    <w:rsid w:val="00D70EA8"/>
    <w:rsid w:val="00D710ED"/>
    <w:rsid w:val="00D71265"/>
    <w:rsid w:val="00D7126A"/>
    <w:rsid w:val="00D71392"/>
    <w:rsid w:val="00D7159E"/>
    <w:rsid w:val="00D7186A"/>
    <w:rsid w:val="00D71E24"/>
    <w:rsid w:val="00D727A3"/>
    <w:rsid w:val="00D72828"/>
    <w:rsid w:val="00D72CCA"/>
    <w:rsid w:val="00D73230"/>
    <w:rsid w:val="00D732E0"/>
    <w:rsid w:val="00D733BF"/>
    <w:rsid w:val="00D73513"/>
    <w:rsid w:val="00D737FD"/>
    <w:rsid w:val="00D738EE"/>
    <w:rsid w:val="00D745AC"/>
    <w:rsid w:val="00D74CBE"/>
    <w:rsid w:val="00D74CCA"/>
    <w:rsid w:val="00D75181"/>
    <w:rsid w:val="00D75EF8"/>
    <w:rsid w:val="00D762D9"/>
    <w:rsid w:val="00D76784"/>
    <w:rsid w:val="00D76B78"/>
    <w:rsid w:val="00D77464"/>
    <w:rsid w:val="00D806DE"/>
    <w:rsid w:val="00D81139"/>
    <w:rsid w:val="00D8167A"/>
    <w:rsid w:val="00D81B0B"/>
    <w:rsid w:val="00D82303"/>
    <w:rsid w:val="00D8279C"/>
    <w:rsid w:val="00D8283B"/>
    <w:rsid w:val="00D8295F"/>
    <w:rsid w:val="00D82BD3"/>
    <w:rsid w:val="00D82EFF"/>
    <w:rsid w:val="00D835B6"/>
    <w:rsid w:val="00D83B7A"/>
    <w:rsid w:val="00D84512"/>
    <w:rsid w:val="00D849F1"/>
    <w:rsid w:val="00D84BC9"/>
    <w:rsid w:val="00D85B87"/>
    <w:rsid w:val="00D85EA6"/>
    <w:rsid w:val="00D8613A"/>
    <w:rsid w:val="00D863E0"/>
    <w:rsid w:val="00D863FF"/>
    <w:rsid w:val="00D86A8D"/>
    <w:rsid w:val="00D870F3"/>
    <w:rsid w:val="00D87253"/>
    <w:rsid w:val="00D873D0"/>
    <w:rsid w:val="00D87958"/>
    <w:rsid w:val="00D87A4B"/>
    <w:rsid w:val="00D87AC1"/>
    <w:rsid w:val="00D87C7E"/>
    <w:rsid w:val="00D90907"/>
    <w:rsid w:val="00D90A29"/>
    <w:rsid w:val="00D90AF9"/>
    <w:rsid w:val="00D91012"/>
    <w:rsid w:val="00D9121C"/>
    <w:rsid w:val="00D91500"/>
    <w:rsid w:val="00D91ED3"/>
    <w:rsid w:val="00D91ED8"/>
    <w:rsid w:val="00D92085"/>
    <w:rsid w:val="00D93173"/>
    <w:rsid w:val="00D937BB"/>
    <w:rsid w:val="00D939E8"/>
    <w:rsid w:val="00D93B0A"/>
    <w:rsid w:val="00D94917"/>
    <w:rsid w:val="00D94C20"/>
    <w:rsid w:val="00D94FFC"/>
    <w:rsid w:val="00D9569B"/>
    <w:rsid w:val="00D95DC1"/>
    <w:rsid w:val="00D96357"/>
    <w:rsid w:val="00D97337"/>
    <w:rsid w:val="00D97895"/>
    <w:rsid w:val="00DA0AB2"/>
    <w:rsid w:val="00DA0C8D"/>
    <w:rsid w:val="00DA0D16"/>
    <w:rsid w:val="00DA0DC9"/>
    <w:rsid w:val="00DA1457"/>
    <w:rsid w:val="00DA164A"/>
    <w:rsid w:val="00DA1839"/>
    <w:rsid w:val="00DA18F5"/>
    <w:rsid w:val="00DA1921"/>
    <w:rsid w:val="00DA1D37"/>
    <w:rsid w:val="00DA1D82"/>
    <w:rsid w:val="00DA1FBF"/>
    <w:rsid w:val="00DA3F2D"/>
    <w:rsid w:val="00DA439B"/>
    <w:rsid w:val="00DA46AD"/>
    <w:rsid w:val="00DA55AC"/>
    <w:rsid w:val="00DA56FD"/>
    <w:rsid w:val="00DA5E84"/>
    <w:rsid w:val="00DA6035"/>
    <w:rsid w:val="00DA60BE"/>
    <w:rsid w:val="00DA66F1"/>
    <w:rsid w:val="00DA676B"/>
    <w:rsid w:val="00DA6A38"/>
    <w:rsid w:val="00DA6F26"/>
    <w:rsid w:val="00DA797D"/>
    <w:rsid w:val="00DA7F56"/>
    <w:rsid w:val="00DA7FE7"/>
    <w:rsid w:val="00DB015A"/>
    <w:rsid w:val="00DB0637"/>
    <w:rsid w:val="00DB08F1"/>
    <w:rsid w:val="00DB0D8D"/>
    <w:rsid w:val="00DB0DDA"/>
    <w:rsid w:val="00DB0EA5"/>
    <w:rsid w:val="00DB105A"/>
    <w:rsid w:val="00DB1211"/>
    <w:rsid w:val="00DB18FF"/>
    <w:rsid w:val="00DB19D5"/>
    <w:rsid w:val="00DB1EEA"/>
    <w:rsid w:val="00DB1F47"/>
    <w:rsid w:val="00DB249A"/>
    <w:rsid w:val="00DB2EF4"/>
    <w:rsid w:val="00DB349A"/>
    <w:rsid w:val="00DB36DB"/>
    <w:rsid w:val="00DB3A17"/>
    <w:rsid w:val="00DB3A80"/>
    <w:rsid w:val="00DB3EA4"/>
    <w:rsid w:val="00DB3FE8"/>
    <w:rsid w:val="00DB4E85"/>
    <w:rsid w:val="00DB4FBF"/>
    <w:rsid w:val="00DB59C5"/>
    <w:rsid w:val="00DB5CE7"/>
    <w:rsid w:val="00DB5DD3"/>
    <w:rsid w:val="00DB653B"/>
    <w:rsid w:val="00DB6B8E"/>
    <w:rsid w:val="00DB7662"/>
    <w:rsid w:val="00DB76CE"/>
    <w:rsid w:val="00DC072B"/>
    <w:rsid w:val="00DC073B"/>
    <w:rsid w:val="00DC08EF"/>
    <w:rsid w:val="00DC0F6B"/>
    <w:rsid w:val="00DC0F74"/>
    <w:rsid w:val="00DC0FCF"/>
    <w:rsid w:val="00DC175A"/>
    <w:rsid w:val="00DC179E"/>
    <w:rsid w:val="00DC1997"/>
    <w:rsid w:val="00DC21F5"/>
    <w:rsid w:val="00DC2414"/>
    <w:rsid w:val="00DC284E"/>
    <w:rsid w:val="00DC3140"/>
    <w:rsid w:val="00DC33E9"/>
    <w:rsid w:val="00DC3CC4"/>
    <w:rsid w:val="00DC42D1"/>
    <w:rsid w:val="00DC493B"/>
    <w:rsid w:val="00DC4B9D"/>
    <w:rsid w:val="00DC5038"/>
    <w:rsid w:val="00DC509C"/>
    <w:rsid w:val="00DC5210"/>
    <w:rsid w:val="00DC52B4"/>
    <w:rsid w:val="00DC5452"/>
    <w:rsid w:val="00DC5A1E"/>
    <w:rsid w:val="00DC5ACC"/>
    <w:rsid w:val="00DC5C0F"/>
    <w:rsid w:val="00DC5CCE"/>
    <w:rsid w:val="00DC64DA"/>
    <w:rsid w:val="00DC672F"/>
    <w:rsid w:val="00DC6ABB"/>
    <w:rsid w:val="00DC7200"/>
    <w:rsid w:val="00DC7477"/>
    <w:rsid w:val="00DC762F"/>
    <w:rsid w:val="00DC7842"/>
    <w:rsid w:val="00DC7FAC"/>
    <w:rsid w:val="00DD05B3"/>
    <w:rsid w:val="00DD07D8"/>
    <w:rsid w:val="00DD0B8E"/>
    <w:rsid w:val="00DD0F44"/>
    <w:rsid w:val="00DD0F53"/>
    <w:rsid w:val="00DD1495"/>
    <w:rsid w:val="00DD1775"/>
    <w:rsid w:val="00DD1E62"/>
    <w:rsid w:val="00DD1F05"/>
    <w:rsid w:val="00DD214C"/>
    <w:rsid w:val="00DD284C"/>
    <w:rsid w:val="00DD2884"/>
    <w:rsid w:val="00DD3ACD"/>
    <w:rsid w:val="00DD482E"/>
    <w:rsid w:val="00DD4F40"/>
    <w:rsid w:val="00DD5AE0"/>
    <w:rsid w:val="00DD6501"/>
    <w:rsid w:val="00DD70AD"/>
    <w:rsid w:val="00DD70EC"/>
    <w:rsid w:val="00DD7742"/>
    <w:rsid w:val="00DD794F"/>
    <w:rsid w:val="00DD797E"/>
    <w:rsid w:val="00DE0499"/>
    <w:rsid w:val="00DE063C"/>
    <w:rsid w:val="00DE0DD0"/>
    <w:rsid w:val="00DE0E29"/>
    <w:rsid w:val="00DE10D9"/>
    <w:rsid w:val="00DE12B2"/>
    <w:rsid w:val="00DE14AF"/>
    <w:rsid w:val="00DE17EA"/>
    <w:rsid w:val="00DE1D7D"/>
    <w:rsid w:val="00DE2292"/>
    <w:rsid w:val="00DE2810"/>
    <w:rsid w:val="00DE29A7"/>
    <w:rsid w:val="00DE2AD5"/>
    <w:rsid w:val="00DE3F6F"/>
    <w:rsid w:val="00DE486C"/>
    <w:rsid w:val="00DE4D67"/>
    <w:rsid w:val="00DE4E39"/>
    <w:rsid w:val="00DE5136"/>
    <w:rsid w:val="00DE52A2"/>
    <w:rsid w:val="00DE5478"/>
    <w:rsid w:val="00DE5C5E"/>
    <w:rsid w:val="00DE642D"/>
    <w:rsid w:val="00DE65FF"/>
    <w:rsid w:val="00DE6CE1"/>
    <w:rsid w:val="00DE76E8"/>
    <w:rsid w:val="00DE7C5B"/>
    <w:rsid w:val="00DF0009"/>
    <w:rsid w:val="00DF0123"/>
    <w:rsid w:val="00DF0681"/>
    <w:rsid w:val="00DF0B8A"/>
    <w:rsid w:val="00DF0D49"/>
    <w:rsid w:val="00DF0F4C"/>
    <w:rsid w:val="00DF14DC"/>
    <w:rsid w:val="00DF18D2"/>
    <w:rsid w:val="00DF1FD5"/>
    <w:rsid w:val="00DF200D"/>
    <w:rsid w:val="00DF2752"/>
    <w:rsid w:val="00DF2A1F"/>
    <w:rsid w:val="00DF2F34"/>
    <w:rsid w:val="00DF3165"/>
    <w:rsid w:val="00DF3444"/>
    <w:rsid w:val="00DF3974"/>
    <w:rsid w:val="00DF404D"/>
    <w:rsid w:val="00DF43B0"/>
    <w:rsid w:val="00DF4A55"/>
    <w:rsid w:val="00DF4BE6"/>
    <w:rsid w:val="00DF5622"/>
    <w:rsid w:val="00DF57DC"/>
    <w:rsid w:val="00DF5B89"/>
    <w:rsid w:val="00DF5F77"/>
    <w:rsid w:val="00DF61B8"/>
    <w:rsid w:val="00DF68EB"/>
    <w:rsid w:val="00DF6A6D"/>
    <w:rsid w:val="00DF6ADB"/>
    <w:rsid w:val="00DF6B5C"/>
    <w:rsid w:val="00DF723D"/>
    <w:rsid w:val="00DF72C2"/>
    <w:rsid w:val="00DF7A23"/>
    <w:rsid w:val="00DF7D17"/>
    <w:rsid w:val="00DF7F17"/>
    <w:rsid w:val="00E00758"/>
    <w:rsid w:val="00E00DF8"/>
    <w:rsid w:val="00E00FA6"/>
    <w:rsid w:val="00E01237"/>
    <w:rsid w:val="00E01A57"/>
    <w:rsid w:val="00E01AF3"/>
    <w:rsid w:val="00E028F5"/>
    <w:rsid w:val="00E02C1F"/>
    <w:rsid w:val="00E02C25"/>
    <w:rsid w:val="00E02CE3"/>
    <w:rsid w:val="00E02E53"/>
    <w:rsid w:val="00E031B7"/>
    <w:rsid w:val="00E03C01"/>
    <w:rsid w:val="00E04282"/>
    <w:rsid w:val="00E042CE"/>
    <w:rsid w:val="00E049B6"/>
    <w:rsid w:val="00E04C8E"/>
    <w:rsid w:val="00E04DCD"/>
    <w:rsid w:val="00E053BB"/>
    <w:rsid w:val="00E0561C"/>
    <w:rsid w:val="00E05839"/>
    <w:rsid w:val="00E05A66"/>
    <w:rsid w:val="00E05DC0"/>
    <w:rsid w:val="00E06367"/>
    <w:rsid w:val="00E068B9"/>
    <w:rsid w:val="00E06C60"/>
    <w:rsid w:val="00E06F6C"/>
    <w:rsid w:val="00E071E0"/>
    <w:rsid w:val="00E07A00"/>
    <w:rsid w:val="00E07BF5"/>
    <w:rsid w:val="00E07CBC"/>
    <w:rsid w:val="00E10070"/>
    <w:rsid w:val="00E10443"/>
    <w:rsid w:val="00E10A7C"/>
    <w:rsid w:val="00E10C2C"/>
    <w:rsid w:val="00E11419"/>
    <w:rsid w:val="00E1196F"/>
    <w:rsid w:val="00E11C97"/>
    <w:rsid w:val="00E11D71"/>
    <w:rsid w:val="00E11FAD"/>
    <w:rsid w:val="00E1215F"/>
    <w:rsid w:val="00E12219"/>
    <w:rsid w:val="00E125F2"/>
    <w:rsid w:val="00E128F3"/>
    <w:rsid w:val="00E12D2A"/>
    <w:rsid w:val="00E12FAE"/>
    <w:rsid w:val="00E13C93"/>
    <w:rsid w:val="00E13FB1"/>
    <w:rsid w:val="00E14003"/>
    <w:rsid w:val="00E14010"/>
    <w:rsid w:val="00E140B2"/>
    <w:rsid w:val="00E143F6"/>
    <w:rsid w:val="00E149A8"/>
    <w:rsid w:val="00E14D9E"/>
    <w:rsid w:val="00E14EC8"/>
    <w:rsid w:val="00E15578"/>
    <w:rsid w:val="00E15B7C"/>
    <w:rsid w:val="00E15E78"/>
    <w:rsid w:val="00E1613A"/>
    <w:rsid w:val="00E164DA"/>
    <w:rsid w:val="00E16529"/>
    <w:rsid w:val="00E16879"/>
    <w:rsid w:val="00E16B1C"/>
    <w:rsid w:val="00E16B98"/>
    <w:rsid w:val="00E1735A"/>
    <w:rsid w:val="00E17473"/>
    <w:rsid w:val="00E1769C"/>
    <w:rsid w:val="00E17942"/>
    <w:rsid w:val="00E17A4C"/>
    <w:rsid w:val="00E17B00"/>
    <w:rsid w:val="00E17C33"/>
    <w:rsid w:val="00E204A2"/>
    <w:rsid w:val="00E2107E"/>
    <w:rsid w:val="00E213DF"/>
    <w:rsid w:val="00E213F9"/>
    <w:rsid w:val="00E215BC"/>
    <w:rsid w:val="00E215DE"/>
    <w:rsid w:val="00E21750"/>
    <w:rsid w:val="00E21812"/>
    <w:rsid w:val="00E21A9E"/>
    <w:rsid w:val="00E22521"/>
    <w:rsid w:val="00E2292B"/>
    <w:rsid w:val="00E229B2"/>
    <w:rsid w:val="00E23089"/>
    <w:rsid w:val="00E2312B"/>
    <w:rsid w:val="00E240C7"/>
    <w:rsid w:val="00E2545E"/>
    <w:rsid w:val="00E255EA"/>
    <w:rsid w:val="00E2568E"/>
    <w:rsid w:val="00E25B60"/>
    <w:rsid w:val="00E26314"/>
    <w:rsid w:val="00E269C4"/>
    <w:rsid w:val="00E275B0"/>
    <w:rsid w:val="00E27CE7"/>
    <w:rsid w:val="00E27EC2"/>
    <w:rsid w:val="00E3020C"/>
    <w:rsid w:val="00E3030F"/>
    <w:rsid w:val="00E30760"/>
    <w:rsid w:val="00E30FCD"/>
    <w:rsid w:val="00E311E1"/>
    <w:rsid w:val="00E314DC"/>
    <w:rsid w:val="00E318A4"/>
    <w:rsid w:val="00E31A58"/>
    <w:rsid w:val="00E31FB2"/>
    <w:rsid w:val="00E3200A"/>
    <w:rsid w:val="00E3249F"/>
    <w:rsid w:val="00E331C0"/>
    <w:rsid w:val="00E33853"/>
    <w:rsid w:val="00E33A27"/>
    <w:rsid w:val="00E33B26"/>
    <w:rsid w:val="00E34228"/>
    <w:rsid w:val="00E34A7B"/>
    <w:rsid w:val="00E34C72"/>
    <w:rsid w:val="00E34E13"/>
    <w:rsid w:val="00E34E43"/>
    <w:rsid w:val="00E35ABC"/>
    <w:rsid w:val="00E3614B"/>
    <w:rsid w:val="00E365F7"/>
    <w:rsid w:val="00E37AD4"/>
    <w:rsid w:val="00E408AF"/>
    <w:rsid w:val="00E40C3D"/>
    <w:rsid w:val="00E40F47"/>
    <w:rsid w:val="00E41411"/>
    <w:rsid w:val="00E415A5"/>
    <w:rsid w:val="00E41A41"/>
    <w:rsid w:val="00E41BEC"/>
    <w:rsid w:val="00E42070"/>
    <w:rsid w:val="00E42115"/>
    <w:rsid w:val="00E4257D"/>
    <w:rsid w:val="00E425DA"/>
    <w:rsid w:val="00E430D7"/>
    <w:rsid w:val="00E436B5"/>
    <w:rsid w:val="00E438DF"/>
    <w:rsid w:val="00E43C27"/>
    <w:rsid w:val="00E441CB"/>
    <w:rsid w:val="00E44450"/>
    <w:rsid w:val="00E44A2D"/>
    <w:rsid w:val="00E44DF1"/>
    <w:rsid w:val="00E44FD9"/>
    <w:rsid w:val="00E45DF9"/>
    <w:rsid w:val="00E45FA7"/>
    <w:rsid w:val="00E46007"/>
    <w:rsid w:val="00E46350"/>
    <w:rsid w:val="00E46C9B"/>
    <w:rsid w:val="00E46FB3"/>
    <w:rsid w:val="00E47617"/>
    <w:rsid w:val="00E476A9"/>
    <w:rsid w:val="00E47C5D"/>
    <w:rsid w:val="00E47DA0"/>
    <w:rsid w:val="00E47DB5"/>
    <w:rsid w:val="00E47F6F"/>
    <w:rsid w:val="00E500DC"/>
    <w:rsid w:val="00E50198"/>
    <w:rsid w:val="00E5030D"/>
    <w:rsid w:val="00E5034E"/>
    <w:rsid w:val="00E5068D"/>
    <w:rsid w:val="00E5074D"/>
    <w:rsid w:val="00E50C2F"/>
    <w:rsid w:val="00E51649"/>
    <w:rsid w:val="00E51A38"/>
    <w:rsid w:val="00E527C2"/>
    <w:rsid w:val="00E52C92"/>
    <w:rsid w:val="00E52E43"/>
    <w:rsid w:val="00E531D9"/>
    <w:rsid w:val="00E53C91"/>
    <w:rsid w:val="00E54346"/>
    <w:rsid w:val="00E54863"/>
    <w:rsid w:val="00E548CD"/>
    <w:rsid w:val="00E54E63"/>
    <w:rsid w:val="00E55078"/>
    <w:rsid w:val="00E55F67"/>
    <w:rsid w:val="00E563AB"/>
    <w:rsid w:val="00E567AB"/>
    <w:rsid w:val="00E56C04"/>
    <w:rsid w:val="00E572C3"/>
    <w:rsid w:val="00E579C6"/>
    <w:rsid w:val="00E602F2"/>
    <w:rsid w:val="00E60324"/>
    <w:rsid w:val="00E60956"/>
    <w:rsid w:val="00E60ADF"/>
    <w:rsid w:val="00E60BF4"/>
    <w:rsid w:val="00E61073"/>
    <w:rsid w:val="00E61ACF"/>
    <w:rsid w:val="00E61D09"/>
    <w:rsid w:val="00E62375"/>
    <w:rsid w:val="00E62FFB"/>
    <w:rsid w:val="00E6343B"/>
    <w:rsid w:val="00E63719"/>
    <w:rsid w:val="00E645AA"/>
    <w:rsid w:val="00E648D5"/>
    <w:rsid w:val="00E654F8"/>
    <w:rsid w:val="00E65A79"/>
    <w:rsid w:val="00E65FB5"/>
    <w:rsid w:val="00E65FBF"/>
    <w:rsid w:val="00E66991"/>
    <w:rsid w:val="00E66C8B"/>
    <w:rsid w:val="00E66CFE"/>
    <w:rsid w:val="00E70A7A"/>
    <w:rsid w:val="00E7183D"/>
    <w:rsid w:val="00E71EDB"/>
    <w:rsid w:val="00E72118"/>
    <w:rsid w:val="00E732A9"/>
    <w:rsid w:val="00E7397D"/>
    <w:rsid w:val="00E73E43"/>
    <w:rsid w:val="00E73F6E"/>
    <w:rsid w:val="00E7475B"/>
    <w:rsid w:val="00E74A11"/>
    <w:rsid w:val="00E74E3B"/>
    <w:rsid w:val="00E75379"/>
    <w:rsid w:val="00E757A8"/>
    <w:rsid w:val="00E7616F"/>
    <w:rsid w:val="00E763FF"/>
    <w:rsid w:val="00E76843"/>
    <w:rsid w:val="00E76984"/>
    <w:rsid w:val="00E76D85"/>
    <w:rsid w:val="00E76DB6"/>
    <w:rsid w:val="00E77A75"/>
    <w:rsid w:val="00E77C32"/>
    <w:rsid w:val="00E77F3E"/>
    <w:rsid w:val="00E800B0"/>
    <w:rsid w:val="00E80A3C"/>
    <w:rsid w:val="00E80D00"/>
    <w:rsid w:val="00E810E2"/>
    <w:rsid w:val="00E81C5D"/>
    <w:rsid w:val="00E81D65"/>
    <w:rsid w:val="00E82987"/>
    <w:rsid w:val="00E82A84"/>
    <w:rsid w:val="00E82C0E"/>
    <w:rsid w:val="00E82C18"/>
    <w:rsid w:val="00E82F4E"/>
    <w:rsid w:val="00E83A93"/>
    <w:rsid w:val="00E83C1A"/>
    <w:rsid w:val="00E83F9C"/>
    <w:rsid w:val="00E84019"/>
    <w:rsid w:val="00E8494E"/>
    <w:rsid w:val="00E85918"/>
    <w:rsid w:val="00E85B8C"/>
    <w:rsid w:val="00E85CE5"/>
    <w:rsid w:val="00E86705"/>
    <w:rsid w:val="00E86C30"/>
    <w:rsid w:val="00E876C0"/>
    <w:rsid w:val="00E90640"/>
    <w:rsid w:val="00E90ABA"/>
    <w:rsid w:val="00E90B60"/>
    <w:rsid w:val="00E90D40"/>
    <w:rsid w:val="00E90D80"/>
    <w:rsid w:val="00E90E87"/>
    <w:rsid w:val="00E90FED"/>
    <w:rsid w:val="00E91021"/>
    <w:rsid w:val="00E91307"/>
    <w:rsid w:val="00E91800"/>
    <w:rsid w:val="00E918A7"/>
    <w:rsid w:val="00E91C95"/>
    <w:rsid w:val="00E91E54"/>
    <w:rsid w:val="00E92BE1"/>
    <w:rsid w:val="00E92D12"/>
    <w:rsid w:val="00E93323"/>
    <w:rsid w:val="00E933EB"/>
    <w:rsid w:val="00E946C2"/>
    <w:rsid w:val="00E948BA"/>
    <w:rsid w:val="00E94912"/>
    <w:rsid w:val="00E95E04"/>
    <w:rsid w:val="00E97035"/>
    <w:rsid w:val="00E97C29"/>
    <w:rsid w:val="00E97DC1"/>
    <w:rsid w:val="00EA0B52"/>
    <w:rsid w:val="00EA0FEF"/>
    <w:rsid w:val="00EA1629"/>
    <w:rsid w:val="00EA1888"/>
    <w:rsid w:val="00EA2549"/>
    <w:rsid w:val="00EA2AAB"/>
    <w:rsid w:val="00EA2E6C"/>
    <w:rsid w:val="00EA3419"/>
    <w:rsid w:val="00EA3939"/>
    <w:rsid w:val="00EA5109"/>
    <w:rsid w:val="00EA5523"/>
    <w:rsid w:val="00EA5A3D"/>
    <w:rsid w:val="00EA5A73"/>
    <w:rsid w:val="00EA6525"/>
    <w:rsid w:val="00EA6C14"/>
    <w:rsid w:val="00EA6F3B"/>
    <w:rsid w:val="00EA7388"/>
    <w:rsid w:val="00EA73A5"/>
    <w:rsid w:val="00EA73C7"/>
    <w:rsid w:val="00EA7A5B"/>
    <w:rsid w:val="00EA7B54"/>
    <w:rsid w:val="00EB1207"/>
    <w:rsid w:val="00EB14E6"/>
    <w:rsid w:val="00EB18F4"/>
    <w:rsid w:val="00EB1A72"/>
    <w:rsid w:val="00EB2499"/>
    <w:rsid w:val="00EB24A5"/>
    <w:rsid w:val="00EB2965"/>
    <w:rsid w:val="00EB2BC2"/>
    <w:rsid w:val="00EB3340"/>
    <w:rsid w:val="00EB3614"/>
    <w:rsid w:val="00EB3624"/>
    <w:rsid w:val="00EB3EDD"/>
    <w:rsid w:val="00EB410A"/>
    <w:rsid w:val="00EB43EE"/>
    <w:rsid w:val="00EB4720"/>
    <w:rsid w:val="00EB48E2"/>
    <w:rsid w:val="00EB4E52"/>
    <w:rsid w:val="00EB560A"/>
    <w:rsid w:val="00EB5A93"/>
    <w:rsid w:val="00EB5BD8"/>
    <w:rsid w:val="00EB5E06"/>
    <w:rsid w:val="00EB5EBE"/>
    <w:rsid w:val="00EB6206"/>
    <w:rsid w:val="00EB6457"/>
    <w:rsid w:val="00EB6D9A"/>
    <w:rsid w:val="00EB7559"/>
    <w:rsid w:val="00EB79A2"/>
    <w:rsid w:val="00EC045D"/>
    <w:rsid w:val="00EC06A1"/>
    <w:rsid w:val="00EC07FD"/>
    <w:rsid w:val="00EC09BB"/>
    <w:rsid w:val="00EC0A38"/>
    <w:rsid w:val="00EC15A3"/>
    <w:rsid w:val="00EC1FC4"/>
    <w:rsid w:val="00EC2915"/>
    <w:rsid w:val="00EC2E77"/>
    <w:rsid w:val="00EC2EA2"/>
    <w:rsid w:val="00EC317A"/>
    <w:rsid w:val="00EC3BAB"/>
    <w:rsid w:val="00EC458D"/>
    <w:rsid w:val="00EC56E3"/>
    <w:rsid w:val="00EC5725"/>
    <w:rsid w:val="00EC5785"/>
    <w:rsid w:val="00EC5D9D"/>
    <w:rsid w:val="00EC603E"/>
    <w:rsid w:val="00EC60A6"/>
    <w:rsid w:val="00EC638B"/>
    <w:rsid w:val="00EC6649"/>
    <w:rsid w:val="00EC6B16"/>
    <w:rsid w:val="00EC702C"/>
    <w:rsid w:val="00EC77D4"/>
    <w:rsid w:val="00EC7D02"/>
    <w:rsid w:val="00ED0403"/>
    <w:rsid w:val="00ED0408"/>
    <w:rsid w:val="00ED070E"/>
    <w:rsid w:val="00ED09E2"/>
    <w:rsid w:val="00ED0DE3"/>
    <w:rsid w:val="00ED1097"/>
    <w:rsid w:val="00ED149A"/>
    <w:rsid w:val="00ED160A"/>
    <w:rsid w:val="00ED1AA9"/>
    <w:rsid w:val="00ED205B"/>
    <w:rsid w:val="00ED2114"/>
    <w:rsid w:val="00ED220A"/>
    <w:rsid w:val="00ED26D1"/>
    <w:rsid w:val="00ED3230"/>
    <w:rsid w:val="00ED36AF"/>
    <w:rsid w:val="00ED3A4B"/>
    <w:rsid w:val="00ED3E62"/>
    <w:rsid w:val="00ED402C"/>
    <w:rsid w:val="00ED4415"/>
    <w:rsid w:val="00ED4530"/>
    <w:rsid w:val="00ED492A"/>
    <w:rsid w:val="00ED4C74"/>
    <w:rsid w:val="00ED4ECC"/>
    <w:rsid w:val="00ED629A"/>
    <w:rsid w:val="00ED6DAF"/>
    <w:rsid w:val="00ED6E5D"/>
    <w:rsid w:val="00ED7050"/>
    <w:rsid w:val="00ED7606"/>
    <w:rsid w:val="00ED7DDD"/>
    <w:rsid w:val="00ED7F92"/>
    <w:rsid w:val="00EE058C"/>
    <w:rsid w:val="00EE08DE"/>
    <w:rsid w:val="00EE0954"/>
    <w:rsid w:val="00EE0ACF"/>
    <w:rsid w:val="00EE0BE5"/>
    <w:rsid w:val="00EE0CF3"/>
    <w:rsid w:val="00EE17F2"/>
    <w:rsid w:val="00EE1861"/>
    <w:rsid w:val="00EE1C21"/>
    <w:rsid w:val="00EE1EA7"/>
    <w:rsid w:val="00EE1EB2"/>
    <w:rsid w:val="00EE204D"/>
    <w:rsid w:val="00EE232D"/>
    <w:rsid w:val="00EE2CEC"/>
    <w:rsid w:val="00EE356C"/>
    <w:rsid w:val="00EE36A5"/>
    <w:rsid w:val="00EE380D"/>
    <w:rsid w:val="00EE39C8"/>
    <w:rsid w:val="00EE3DB2"/>
    <w:rsid w:val="00EE41AE"/>
    <w:rsid w:val="00EE44E7"/>
    <w:rsid w:val="00EE46DF"/>
    <w:rsid w:val="00EE4F52"/>
    <w:rsid w:val="00EE57A6"/>
    <w:rsid w:val="00EE59A7"/>
    <w:rsid w:val="00EE5CAB"/>
    <w:rsid w:val="00EE5D1E"/>
    <w:rsid w:val="00EE6078"/>
    <w:rsid w:val="00EE60A5"/>
    <w:rsid w:val="00EE6289"/>
    <w:rsid w:val="00EE66D1"/>
    <w:rsid w:val="00EE6CF6"/>
    <w:rsid w:val="00EE745E"/>
    <w:rsid w:val="00EE7A3E"/>
    <w:rsid w:val="00EE7EAA"/>
    <w:rsid w:val="00EF00EF"/>
    <w:rsid w:val="00EF0127"/>
    <w:rsid w:val="00EF0835"/>
    <w:rsid w:val="00EF098A"/>
    <w:rsid w:val="00EF0A51"/>
    <w:rsid w:val="00EF0F3E"/>
    <w:rsid w:val="00EF102C"/>
    <w:rsid w:val="00EF1298"/>
    <w:rsid w:val="00EF1336"/>
    <w:rsid w:val="00EF19D1"/>
    <w:rsid w:val="00EF297D"/>
    <w:rsid w:val="00EF2D5B"/>
    <w:rsid w:val="00EF2F8B"/>
    <w:rsid w:val="00EF2FA0"/>
    <w:rsid w:val="00EF3237"/>
    <w:rsid w:val="00EF34BE"/>
    <w:rsid w:val="00EF3E47"/>
    <w:rsid w:val="00EF45C8"/>
    <w:rsid w:val="00EF5079"/>
    <w:rsid w:val="00EF5186"/>
    <w:rsid w:val="00EF5330"/>
    <w:rsid w:val="00EF606A"/>
    <w:rsid w:val="00EF6137"/>
    <w:rsid w:val="00EF63CB"/>
    <w:rsid w:val="00EF6577"/>
    <w:rsid w:val="00EF70E9"/>
    <w:rsid w:val="00EF7A0D"/>
    <w:rsid w:val="00F004CB"/>
    <w:rsid w:val="00F00A31"/>
    <w:rsid w:val="00F00CAC"/>
    <w:rsid w:val="00F0136B"/>
    <w:rsid w:val="00F0159E"/>
    <w:rsid w:val="00F0237F"/>
    <w:rsid w:val="00F024D6"/>
    <w:rsid w:val="00F02BD5"/>
    <w:rsid w:val="00F02C58"/>
    <w:rsid w:val="00F03586"/>
    <w:rsid w:val="00F038CE"/>
    <w:rsid w:val="00F03AD2"/>
    <w:rsid w:val="00F03EAE"/>
    <w:rsid w:val="00F0412A"/>
    <w:rsid w:val="00F0439C"/>
    <w:rsid w:val="00F04547"/>
    <w:rsid w:val="00F052C5"/>
    <w:rsid w:val="00F05505"/>
    <w:rsid w:val="00F0583A"/>
    <w:rsid w:val="00F058CE"/>
    <w:rsid w:val="00F05BDA"/>
    <w:rsid w:val="00F05DE0"/>
    <w:rsid w:val="00F05DFF"/>
    <w:rsid w:val="00F05F1B"/>
    <w:rsid w:val="00F05FF3"/>
    <w:rsid w:val="00F0682E"/>
    <w:rsid w:val="00F06CB3"/>
    <w:rsid w:val="00F06CC9"/>
    <w:rsid w:val="00F06D19"/>
    <w:rsid w:val="00F06DFA"/>
    <w:rsid w:val="00F07024"/>
    <w:rsid w:val="00F072B8"/>
    <w:rsid w:val="00F07351"/>
    <w:rsid w:val="00F07874"/>
    <w:rsid w:val="00F10175"/>
    <w:rsid w:val="00F109E6"/>
    <w:rsid w:val="00F11065"/>
    <w:rsid w:val="00F110A9"/>
    <w:rsid w:val="00F11ABB"/>
    <w:rsid w:val="00F11D51"/>
    <w:rsid w:val="00F11E4F"/>
    <w:rsid w:val="00F12D48"/>
    <w:rsid w:val="00F131BC"/>
    <w:rsid w:val="00F13C08"/>
    <w:rsid w:val="00F143F9"/>
    <w:rsid w:val="00F14964"/>
    <w:rsid w:val="00F14A0A"/>
    <w:rsid w:val="00F14A5D"/>
    <w:rsid w:val="00F14AAD"/>
    <w:rsid w:val="00F14D85"/>
    <w:rsid w:val="00F14ED1"/>
    <w:rsid w:val="00F15D68"/>
    <w:rsid w:val="00F162FF"/>
    <w:rsid w:val="00F1632E"/>
    <w:rsid w:val="00F165C1"/>
    <w:rsid w:val="00F16E7F"/>
    <w:rsid w:val="00F17304"/>
    <w:rsid w:val="00F17339"/>
    <w:rsid w:val="00F17E1C"/>
    <w:rsid w:val="00F20058"/>
    <w:rsid w:val="00F2172E"/>
    <w:rsid w:val="00F21DB9"/>
    <w:rsid w:val="00F221B5"/>
    <w:rsid w:val="00F2249E"/>
    <w:rsid w:val="00F22F46"/>
    <w:rsid w:val="00F23143"/>
    <w:rsid w:val="00F23CCF"/>
    <w:rsid w:val="00F23E2B"/>
    <w:rsid w:val="00F23EA8"/>
    <w:rsid w:val="00F2419B"/>
    <w:rsid w:val="00F25391"/>
    <w:rsid w:val="00F25B4B"/>
    <w:rsid w:val="00F26423"/>
    <w:rsid w:val="00F2674E"/>
    <w:rsid w:val="00F2693C"/>
    <w:rsid w:val="00F27316"/>
    <w:rsid w:val="00F2796D"/>
    <w:rsid w:val="00F300C1"/>
    <w:rsid w:val="00F3042E"/>
    <w:rsid w:val="00F30793"/>
    <w:rsid w:val="00F30C82"/>
    <w:rsid w:val="00F313F8"/>
    <w:rsid w:val="00F3142B"/>
    <w:rsid w:val="00F3196B"/>
    <w:rsid w:val="00F31CDF"/>
    <w:rsid w:val="00F31F53"/>
    <w:rsid w:val="00F32853"/>
    <w:rsid w:val="00F32992"/>
    <w:rsid w:val="00F32995"/>
    <w:rsid w:val="00F32CAB"/>
    <w:rsid w:val="00F32DB9"/>
    <w:rsid w:val="00F33007"/>
    <w:rsid w:val="00F33292"/>
    <w:rsid w:val="00F33414"/>
    <w:rsid w:val="00F33AC4"/>
    <w:rsid w:val="00F342C7"/>
    <w:rsid w:val="00F3498B"/>
    <w:rsid w:val="00F34ADF"/>
    <w:rsid w:val="00F35195"/>
    <w:rsid w:val="00F356F4"/>
    <w:rsid w:val="00F35A8B"/>
    <w:rsid w:val="00F368FD"/>
    <w:rsid w:val="00F36DEB"/>
    <w:rsid w:val="00F36FD8"/>
    <w:rsid w:val="00F37129"/>
    <w:rsid w:val="00F37D96"/>
    <w:rsid w:val="00F402BE"/>
    <w:rsid w:val="00F40C8E"/>
    <w:rsid w:val="00F41041"/>
    <w:rsid w:val="00F412FE"/>
    <w:rsid w:val="00F4137B"/>
    <w:rsid w:val="00F417B2"/>
    <w:rsid w:val="00F41A64"/>
    <w:rsid w:val="00F41F71"/>
    <w:rsid w:val="00F4301E"/>
    <w:rsid w:val="00F43034"/>
    <w:rsid w:val="00F433CC"/>
    <w:rsid w:val="00F43860"/>
    <w:rsid w:val="00F43928"/>
    <w:rsid w:val="00F43E99"/>
    <w:rsid w:val="00F4401D"/>
    <w:rsid w:val="00F44345"/>
    <w:rsid w:val="00F44348"/>
    <w:rsid w:val="00F44463"/>
    <w:rsid w:val="00F45055"/>
    <w:rsid w:val="00F45AC9"/>
    <w:rsid w:val="00F45C0C"/>
    <w:rsid w:val="00F464AC"/>
    <w:rsid w:val="00F46E04"/>
    <w:rsid w:val="00F4753E"/>
    <w:rsid w:val="00F47BAB"/>
    <w:rsid w:val="00F47C61"/>
    <w:rsid w:val="00F50A6C"/>
    <w:rsid w:val="00F50D8B"/>
    <w:rsid w:val="00F51ACC"/>
    <w:rsid w:val="00F522B0"/>
    <w:rsid w:val="00F5287F"/>
    <w:rsid w:val="00F537DD"/>
    <w:rsid w:val="00F53A00"/>
    <w:rsid w:val="00F545F1"/>
    <w:rsid w:val="00F54A72"/>
    <w:rsid w:val="00F54EAB"/>
    <w:rsid w:val="00F554EE"/>
    <w:rsid w:val="00F55A66"/>
    <w:rsid w:val="00F55DA1"/>
    <w:rsid w:val="00F55F6B"/>
    <w:rsid w:val="00F5670E"/>
    <w:rsid w:val="00F5691A"/>
    <w:rsid w:val="00F56AEB"/>
    <w:rsid w:val="00F56B50"/>
    <w:rsid w:val="00F56ED3"/>
    <w:rsid w:val="00F575CD"/>
    <w:rsid w:val="00F57A46"/>
    <w:rsid w:val="00F57AD7"/>
    <w:rsid w:val="00F602AC"/>
    <w:rsid w:val="00F609DD"/>
    <w:rsid w:val="00F61654"/>
    <w:rsid w:val="00F61F53"/>
    <w:rsid w:val="00F62CB7"/>
    <w:rsid w:val="00F62E9A"/>
    <w:rsid w:val="00F62EF8"/>
    <w:rsid w:val="00F6400A"/>
    <w:rsid w:val="00F64729"/>
    <w:rsid w:val="00F64A0B"/>
    <w:rsid w:val="00F6528E"/>
    <w:rsid w:val="00F652D8"/>
    <w:rsid w:val="00F653B4"/>
    <w:rsid w:val="00F656A4"/>
    <w:rsid w:val="00F65D64"/>
    <w:rsid w:val="00F66094"/>
    <w:rsid w:val="00F66233"/>
    <w:rsid w:val="00F662BA"/>
    <w:rsid w:val="00F66B51"/>
    <w:rsid w:val="00F677A1"/>
    <w:rsid w:val="00F67A77"/>
    <w:rsid w:val="00F67F4B"/>
    <w:rsid w:val="00F70157"/>
    <w:rsid w:val="00F7042E"/>
    <w:rsid w:val="00F7085B"/>
    <w:rsid w:val="00F709D0"/>
    <w:rsid w:val="00F71A48"/>
    <w:rsid w:val="00F71D0E"/>
    <w:rsid w:val="00F71F5F"/>
    <w:rsid w:val="00F724A2"/>
    <w:rsid w:val="00F72580"/>
    <w:rsid w:val="00F73191"/>
    <w:rsid w:val="00F73417"/>
    <w:rsid w:val="00F73682"/>
    <w:rsid w:val="00F737D0"/>
    <w:rsid w:val="00F73CA7"/>
    <w:rsid w:val="00F73D62"/>
    <w:rsid w:val="00F74285"/>
    <w:rsid w:val="00F7430B"/>
    <w:rsid w:val="00F74496"/>
    <w:rsid w:val="00F7467D"/>
    <w:rsid w:val="00F74A73"/>
    <w:rsid w:val="00F74FBC"/>
    <w:rsid w:val="00F757D7"/>
    <w:rsid w:val="00F75C45"/>
    <w:rsid w:val="00F75FC7"/>
    <w:rsid w:val="00F7652E"/>
    <w:rsid w:val="00F76C2C"/>
    <w:rsid w:val="00F76C93"/>
    <w:rsid w:val="00F76D12"/>
    <w:rsid w:val="00F7740F"/>
    <w:rsid w:val="00F774FB"/>
    <w:rsid w:val="00F77B1F"/>
    <w:rsid w:val="00F801F3"/>
    <w:rsid w:val="00F805BE"/>
    <w:rsid w:val="00F805FC"/>
    <w:rsid w:val="00F80BBC"/>
    <w:rsid w:val="00F811E2"/>
    <w:rsid w:val="00F814ED"/>
    <w:rsid w:val="00F8163C"/>
    <w:rsid w:val="00F817C7"/>
    <w:rsid w:val="00F81D6B"/>
    <w:rsid w:val="00F820E2"/>
    <w:rsid w:val="00F8213D"/>
    <w:rsid w:val="00F825C7"/>
    <w:rsid w:val="00F82995"/>
    <w:rsid w:val="00F8307E"/>
    <w:rsid w:val="00F8311C"/>
    <w:rsid w:val="00F83253"/>
    <w:rsid w:val="00F838E9"/>
    <w:rsid w:val="00F83D6F"/>
    <w:rsid w:val="00F83ED4"/>
    <w:rsid w:val="00F8418B"/>
    <w:rsid w:val="00F84577"/>
    <w:rsid w:val="00F84735"/>
    <w:rsid w:val="00F84E1D"/>
    <w:rsid w:val="00F850DE"/>
    <w:rsid w:val="00F853A3"/>
    <w:rsid w:val="00F855B8"/>
    <w:rsid w:val="00F8567F"/>
    <w:rsid w:val="00F85686"/>
    <w:rsid w:val="00F857E0"/>
    <w:rsid w:val="00F85C79"/>
    <w:rsid w:val="00F85F55"/>
    <w:rsid w:val="00F86DCC"/>
    <w:rsid w:val="00F86E0D"/>
    <w:rsid w:val="00F86F05"/>
    <w:rsid w:val="00F87322"/>
    <w:rsid w:val="00F8761B"/>
    <w:rsid w:val="00F87E04"/>
    <w:rsid w:val="00F901A5"/>
    <w:rsid w:val="00F90D43"/>
    <w:rsid w:val="00F90EAD"/>
    <w:rsid w:val="00F916C4"/>
    <w:rsid w:val="00F927AD"/>
    <w:rsid w:val="00F92910"/>
    <w:rsid w:val="00F92A31"/>
    <w:rsid w:val="00F935BA"/>
    <w:rsid w:val="00F93842"/>
    <w:rsid w:val="00F93930"/>
    <w:rsid w:val="00F93B92"/>
    <w:rsid w:val="00F9436F"/>
    <w:rsid w:val="00F94B0B"/>
    <w:rsid w:val="00F94C1F"/>
    <w:rsid w:val="00F94C29"/>
    <w:rsid w:val="00F953E4"/>
    <w:rsid w:val="00F95495"/>
    <w:rsid w:val="00F95DC4"/>
    <w:rsid w:val="00F965ED"/>
    <w:rsid w:val="00F9665A"/>
    <w:rsid w:val="00F97013"/>
    <w:rsid w:val="00FA0951"/>
    <w:rsid w:val="00FA09A2"/>
    <w:rsid w:val="00FA0BE7"/>
    <w:rsid w:val="00FA0D16"/>
    <w:rsid w:val="00FA0D4E"/>
    <w:rsid w:val="00FA0DAC"/>
    <w:rsid w:val="00FA0DD7"/>
    <w:rsid w:val="00FA136C"/>
    <w:rsid w:val="00FA15FE"/>
    <w:rsid w:val="00FA1A2B"/>
    <w:rsid w:val="00FA1C67"/>
    <w:rsid w:val="00FA2792"/>
    <w:rsid w:val="00FA29EE"/>
    <w:rsid w:val="00FA2BBC"/>
    <w:rsid w:val="00FA2E54"/>
    <w:rsid w:val="00FA30EB"/>
    <w:rsid w:val="00FA3564"/>
    <w:rsid w:val="00FA3795"/>
    <w:rsid w:val="00FA3F05"/>
    <w:rsid w:val="00FA3F49"/>
    <w:rsid w:val="00FA42DF"/>
    <w:rsid w:val="00FA54C6"/>
    <w:rsid w:val="00FA5648"/>
    <w:rsid w:val="00FA587C"/>
    <w:rsid w:val="00FA5A8E"/>
    <w:rsid w:val="00FA5E75"/>
    <w:rsid w:val="00FA5F33"/>
    <w:rsid w:val="00FA71F1"/>
    <w:rsid w:val="00FA722F"/>
    <w:rsid w:val="00FB00F8"/>
    <w:rsid w:val="00FB0398"/>
    <w:rsid w:val="00FB0451"/>
    <w:rsid w:val="00FB086D"/>
    <w:rsid w:val="00FB0A1F"/>
    <w:rsid w:val="00FB13D9"/>
    <w:rsid w:val="00FB2489"/>
    <w:rsid w:val="00FB2560"/>
    <w:rsid w:val="00FB25DD"/>
    <w:rsid w:val="00FB2A70"/>
    <w:rsid w:val="00FB33BA"/>
    <w:rsid w:val="00FB443E"/>
    <w:rsid w:val="00FB48D4"/>
    <w:rsid w:val="00FB5593"/>
    <w:rsid w:val="00FB73BB"/>
    <w:rsid w:val="00FB787E"/>
    <w:rsid w:val="00FB789D"/>
    <w:rsid w:val="00FB7FA6"/>
    <w:rsid w:val="00FC03C1"/>
    <w:rsid w:val="00FC07F8"/>
    <w:rsid w:val="00FC0E1F"/>
    <w:rsid w:val="00FC0EAE"/>
    <w:rsid w:val="00FC0F54"/>
    <w:rsid w:val="00FC119E"/>
    <w:rsid w:val="00FC1310"/>
    <w:rsid w:val="00FC14EC"/>
    <w:rsid w:val="00FC19E8"/>
    <w:rsid w:val="00FC29EA"/>
    <w:rsid w:val="00FC2D82"/>
    <w:rsid w:val="00FC2FCB"/>
    <w:rsid w:val="00FC33CF"/>
    <w:rsid w:val="00FC441F"/>
    <w:rsid w:val="00FC4C62"/>
    <w:rsid w:val="00FC4EE3"/>
    <w:rsid w:val="00FC50A3"/>
    <w:rsid w:val="00FC53CD"/>
    <w:rsid w:val="00FC5505"/>
    <w:rsid w:val="00FC617B"/>
    <w:rsid w:val="00FC6A0F"/>
    <w:rsid w:val="00FC6C98"/>
    <w:rsid w:val="00FC6EF6"/>
    <w:rsid w:val="00FC6F32"/>
    <w:rsid w:val="00FC70D2"/>
    <w:rsid w:val="00FC71C2"/>
    <w:rsid w:val="00FC75A8"/>
    <w:rsid w:val="00FC75D0"/>
    <w:rsid w:val="00FC7655"/>
    <w:rsid w:val="00FC7CEE"/>
    <w:rsid w:val="00FC7F09"/>
    <w:rsid w:val="00FC7F1A"/>
    <w:rsid w:val="00FD02AE"/>
    <w:rsid w:val="00FD0774"/>
    <w:rsid w:val="00FD0922"/>
    <w:rsid w:val="00FD146B"/>
    <w:rsid w:val="00FD1721"/>
    <w:rsid w:val="00FD228B"/>
    <w:rsid w:val="00FD2CA1"/>
    <w:rsid w:val="00FD2DB4"/>
    <w:rsid w:val="00FD2DC4"/>
    <w:rsid w:val="00FD2E01"/>
    <w:rsid w:val="00FD3163"/>
    <w:rsid w:val="00FD3350"/>
    <w:rsid w:val="00FD350F"/>
    <w:rsid w:val="00FD3790"/>
    <w:rsid w:val="00FD3AB7"/>
    <w:rsid w:val="00FD3B9A"/>
    <w:rsid w:val="00FD4263"/>
    <w:rsid w:val="00FD448F"/>
    <w:rsid w:val="00FD4542"/>
    <w:rsid w:val="00FD4645"/>
    <w:rsid w:val="00FD4F04"/>
    <w:rsid w:val="00FD4F35"/>
    <w:rsid w:val="00FD5180"/>
    <w:rsid w:val="00FD53BB"/>
    <w:rsid w:val="00FD5D61"/>
    <w:rsid w:val="00FD61AA"/>
    <w:rsid w:val="00FD6328"/>
    <w:rsid w:val="00FD6501"/>
    <w:rsid w:val="00FD6DBB"/>
    <w:rsid w:val="00FD6E62"/>
    <w:rsid w:val="00FD724B"/>
    <w:rsid w:val="00FD7898"/>
    <w:rsid w:val="00FD7DC7"/>
    <w:rsid w:val="00FE0275"/>
    <w:rsid w:val="00FE03D3"/>
    <w:rsid w:val="00FE0809"/>
    <w:rsid w:val="00FE0CE8"/>
    <w:rsid w:val="00FE0FB0"/>
    <w:rsid w:val="00FE1522"/>
    <w:rsid w:val="00FE1C8E"/>
    <w:rsid w:val="00FE31AA"/>
    <w:rsid w:val="00FE37EA"/>
    <w:rsid w:val="00FE3F81"/>
    <w:rsid w:val="00FE44D9"/>
    <w:rsid w:val="00FE450F"/>
    <w:rsid w:val="00FE4FCE"/>
    <w:rsid w:val="00FE5A61"/>
    <w:rsid w:val="00FE62DB"/>
    <w:rsid w:val="00FE6584"/>
    <w:rsid w:val="00FE66A8"/>
    <w:rsid w:val="00FE6A26"/>
    <w:rsid w:val="00FE6E3B"/>
    <w:rsid w:val="00FE7E04"/>
    <w:rsid w:val="00FF028B"/>
    <w:rsid w:val="00FF032A"/>
    <w:rsid w:val="00FF09BD"/>
    <w:rsid w:val="00FF0A68"/>
    <w:rsid w:val="00FF0E31"/>
    <w:rsid w:val="00FF2680"/>
    <w:rsid w:val="00FF26CD"/>
    <w:rsid w:val="00FF33D5"/>
    <w:rsid w:val="00FF36E8"/>
    <w:rsid w:val="00FF3AC3"/>
    <w:rsid w:val="00FF4485"/>
    <w:rsid w:val="00FF4A6C"/>
    <w:rsid w:val="00FF4BBB"/>
    <w:rsid w:val="00FF54D1"/>
    <w:rsid w:val="00FF57DA"/>
    <w:rsid w:val="00FF6804"/>
    <w:rsid w:val="00FF6BE1"/>
    <w:rsid w:val="00FF7130"/>
    <w:rsid w:val="00FF76CA"/>
    <w:rsid w:val="00FF7765"/>
    <w:rsid w:val="00FF78A7"/>
    <w:rsid w:val="00FF7F98"/>
    <w:rsid w:val="03E8524D"/>
    <w:rsid w:val="09B07156"/>
    <w:rsid w:val="0B504D5E"/>
    <w:rsid w:val="0CC47D0B"/>
    <w:rsid w:val="0E9836AA"/>
    <w:rsid w:val="150E76BB"/>
    <w:rsid w:val="15BB79DE"/>
    <w:rsid w:val="173D387D"/>
    <w:rsid w:val="1A1F36E4"/>
    <w:rsid w:val="1EA13181"/>
    <w:rsid w:val="274E2D73"/>
    <w:rsid w:val="28094EEC"/>
    <w:rsid w:val="2BC97CD6"/>
    <w:rsid w:val="2CB10399"/>
    <w:rsid w:val="2E6437BF"/>
    <w:rsid w:val="2EA94D33"/>
    <w:rsid w:val="38A07E13"/>
    <w:rsid w:val="3AD60C5E"/>
    <w:rsid w:val="3DF633C5"/>
    <w:rsid w:val="3E3A3CFA"/>
    <w:rsid w:val="42865E72"/>
    <w:rsid w:val="4364101B"/>
    <w:rsid w:val="451F76A5"/>
    <w:rsid w:val="47A213B2"/>
    <w:rsid w:val="4864156E"/>
    <w:rsid w:val="50E963FF"/>
    <w:rsid w:val="5A9432EB"/>
    <w:rsid w:val="71F10D95"/>
    <w:rsid w:val="78F20AEE"/>
    <w:rsid w:val="7B4A5CF2"/>
    <w:rsid w:val="7C9A0FFB"/>
    <w:rsid w:val="7E2B7322"/>
    <w:rsid w:val="7FE11C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9"/>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0"/>
    <w:autoRedefine/>
    <w:qFormat/>
    <w:uiPriority w:val="0"/>
    <w:pPr>
      <w:adjustRightInd w:val="0"/>
      <w:snapToGrid w:val="0"/>
      <w:spacing w:line="360" w:lineRule="auto"/>
      <w:jc w:val="left"/>
      <w:outlineLvl w:val="3"/>
    </w:pPr>
    <w:rPr>
      <w:rFonts w:cs="Times New Roman" w:asciiTheme="majorEastAsia" w:hAnsiTheme="majorEastAsia" w:eastAsiaTheme="majorEastAsia"/>
      <w:bCs/>
    </w:rPr>
  </w:style>
  <w:style w:type="paragraph" w:styleId="6">
    <w:name w:val="heading 5"/>
    <w:basedOn w:val="1"/>
    <w:next w:val="1"/>
    <w:link w:val="41"/>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42"/>
    <w:qFormat/>
    <w:uiPriority w:val="0"/>
    <w:pPr>
      <w:keepNext/>
      <w:keepLines/>
      <w:numPr>
        <w:ilvl w:val="5"/>
        <w:numId w:val="1"/>
      </w:numPr>
      <w:spacing w:before="240" w:after="64" w:line="320" w:lineRule="auto"/>
      <w:outlineLvl w:val="5"/>
    </w:pPr>
    <w:rPr>
      <w:rFonts w:ascii="Arial" w:hAnsi="Arial" w:eastAsia="黑体" w:cs="Times New Roman"/>
      <w:b/>
      <w:bCs/>
      <w:sz w:val="24"/>
      <w:szCs w:val="24"/>
    </w:rPr>
  </w:style>
  <w:style w:type="paragraph" w:styleId="8">
    <w:name w:val="heading 7"/>
    <w:basedOn w:val="1"/>
    <w:next w:val="1"/>
    <w:link w:val="43"/>
    <w:qFormat/>
    <w:uiPriority w:val="0"/>
    <w:pPr>
      <w:keepNext/>
      <w:keepLines/>
      <w:numPr>
        <w:ilvl w:val="6"/>
        <w:numId w:val="1"/>
      </w:numPr>
      <w:spacing w:before="240" w:after="64" w:line="320" w:lineRule="auto"/>
      <w:outlineLvl w:val="6"/>
    </w:pPr>
    <w:rPr>
      <w:rFonts w:ascii="Times New Roman" w:hAnsi="Times New Roman" w:eastAsia="宋体" w:cs="Times New Roman"/>
      <w:b/>
      <w:bCs/>
      <w:sz w:val="24"/>
      <w:szCs w:val="24"/>
    </w:rPr>
  </w:style>
  <w:style w:type="paragraph" w:styleId="9">
    <w:name w:val="heading 8"/>
    <w:basedOn w:val="1"/>
    <w:next w:val="1"/>
    <w:link w:val="44"/>
    <w:qFormat/>
    <w:uiPriority w:val="0"/>
    <w:pPr>
      <w:keepNext/>
      <w:keepLines/>
      <w:numPr>
        <w:ilvl w:val="7"/>
        <w:numId w:val="1"/>
      </w:numPr>
      <w:tabs>
        <w:tab w:val="left" w:pos="1440"/>
      </w:tabs>
      <w:spacing w:before="240" w:after="64" w:line="320" w:lineRule="auto"/>
      <w:outlineLvl w:val="7"/>
    </w:pPr>
    <w:rPr>
      <w:rFonts w:ascii="Arial" w:hAnsi="Arial" w:eastAsia="黑体" w:cs="Times New Roman"/>
      <w:sz w:val="24"/>
      <w:szCs w:val="24"/>
    </w:rPr>
  </w:style>
  <w:style w:type="paragraph" w:styleId="10">
    <w:name w:val="heading 9"/>
    <w:basedOn w:val="1"/>
    <w:next w:val="1"/>
    <w:link w:val="45"/>
    <w:qFormat/>
    <w:uiPriority w:val="0"/>
    <w:pPr>
      <w:keepNext/>
      <w:keepLines/>
      <w:numPr>
        <w:ilvl w:val="8"/>
        <w:numId w:val="1"/>
      </w:numPr>
      <w:tabs>
        <w:tab w:val="left" w:pos="1584"/>
      </w:tabs>
      <w:spacing w:before="240" w:after="64" w:line="320" w:lineRule="auto"/>
      <w:outlineLvl w:val="8"/>
    </w:pPr>
    <w:rPr>
      <w:rFonts w:ascii="Arial" w:hAnsi="Arial" w:eastAsia="黑体" w:cs="Times New Roman"/>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ind w:left="2520" w:leftChars="1200"/>
    </w:pPr>
    <w:rPr>
      <w:szCs w:val="22"/>
    </w:rPr>
  </w:style>
  <w:style w:type="paragraph" w:styleId="12">
    <w:name w:val="Normal Indent"/>
    <w:basedOn w:val="1"/>
    <w:qFormat/>
    <w:uiPriority w:val="0"/>
    <w:pPr>
      <w:ind w:firstLine="420" w:firstLineChars="200"/>
    </w:pPr>
    <w:rPr>
      <w:rFonts w:ascii="Times New Roman" w:hAnsi="Times New Roman" w:eastAsia="宋体" w:cs="Times New Roman"/>
      <w:szCs w:val="24"/>
    </w:rPr>
  </w:style>
  <w:style w:type="paragraph" w:styleId="13">
    <w:name w:val="annotation text"/>
    <w:basedOn w:val="1"/>
    <w:link w:val="51"/>
    <w:unhideWhenUsed/>
    <w:qFormat/>
    <w:uiPriority w:val="0"/>
    <w:pPr>
      <w:jc w:val="left"/>
    </w:pPr>
    <w:rPr>
      <w:rFonts w:ascii="Arial" w:hAnsi="Arial" w:eastAsia="宋体" w:cs="Times New Roman"/>
      <w:snapToGrid w:val="0"/>
      <w:sz w:val="22"/>
      <w:szCs w:val="24"/>
    </w:rPr>
  </w:style>
  <w:style w:type="paragraph" w:styleId="14">
    <w:name w:val="Body Text"/>
    <w:basedOn w:val="1"/>
    <w:link w:val="60"/>
    <w:unhideWhenUsed/>
    <w:qFormat/>
    <w:uiPriority w:val="0"/>
    <w:pPr>
      <w:spacing w:after="120"/>
    </w:pPr>
  </w:style>
  <w:style w:type="paragraph" w:styleId="15">
    <w:name w:val="toc 5"/>
    <w:basedOn w:val="1"/>
    <w:next w:val="1"/>
    <w:autoRedefine/>
    <w:unhideWhenUsed/>
    <w:qFormat/>
    <w:uiPriority w:val="39"/>
    <w:pPr>
      <w:ind w:left="1680" w:leftChars="800"/>
    </w:pPr>
    <w:rPr>
      <w:szCs w:val="22"/>
    </w:rPr>
  </w:style>
  <w:style w:type="paragraph" w:styleId="16">
    <w:name w:val="toc 3"/>
    <w:basedOn w:val="1"/>
    <w:next w:val="1"/>
    <w:autoRedefine/>
    <w:unhideWhenUsed/>
    <w:qFormat/>
    <w:uiPriority w:val="39"/>
    <w:pPr>
      <w:widowControl/>
      <w:spacing w:after="100" w:line="259" w:lineRule="auto"/>
      <w:ind w:left="440"/>
      <w:jc w:val="left"/>
    </w:pPr>
    <w:rPr>
      <w:rFonts w:cs="Times New Roman"/>
      <w:kern w:val="0"/>
      <w:sz w:val="22"/>
    </w:rPr>
  </w:style>
  <w:style w:type="paragraph" w:styleId="17">
    <w:name w:val="toc 8"/>
    <w:basedOn w:val="1"/>
    <w:next w:val="1"/>
    <w:autoRedefine/>
    <w:unhideWhenUsed/>
    <w:qFormat/>
    <w:uiPriority w:val="39"/>
    <w:pPr>
      <w:ind w:left="2940" w:leftChars="1400"/>
    </w:pPr>
    <w:rPr>
      <w:szCs w:val="22"/>
    </w:rPr>
  </w:style>
  <w:style w:type="paragraph" w:styleId="18">
    <w:name w:val="Date"/>
    <w:basedOn w:val="1"/>
    <w:next w:val="1"/>
    <w:link w:val="54"/>
    <w:semiHidden/>
    <w:unhideWhenUsed/>
    <w:qFormat/>
    <w:uiPriority w:val="99"/>
    <w:pPr>
      <w:ind w:left="100" w:leftChars="2500"/>
    </w:pPr>
  </w:style>
  <w:style w:type="paragraph" w:styleId="19">
    <w:name w:val="Balloon Text"/>
    <w:basedOn w:val="1"/>
    <w:link w:val="52"/>
    <w:semiHidden/>
    <w:unhideWhenUsed/>
    <w:qFormat/>
    <w:uiPriority w:val="0"/>
    <w:rPr>
      <w:sz w:val="18"/>
      <w:szCs w:val="18"/>
    </w:rPr>
  </w:style>
  <w:style w:type="paragraph" w:styleId="20">
    <w:name w:val="footer"/>
    <w:basedOn w:val="1"/>
    <w:link w:val="47"/>
    <w:unhideWhenUsed/>
    <w:qFormat/>
    <w:uiPriority w:val="99"/>
    <w:pPr>
      <w:tabs>
        <w:tab w:val="center" w:pos="4153"/>
        <w:tab w:val="right" w:pos="8306"/>
      </w:tabs>
      <w:snapToGrid w:val="0"/>
      <w:jc w:val="left"/>
    </w:pPr>
    <w:rPr>
      <w:sz w:val="18"/>
      <w:szCs w:val="18"/>
    </w:rPr>
  </w:style>
  <w:style w:type="paragraph" w:styleId="21">
    <w:name w:val="header"/>
    <w:basedOn w:val="1"/>
    <w:link w:val="46"/>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autoRedefine/>
    <w:unhideWhenUsed/>
    <w:qFormat/>
    <w:uiPriority w:val="39"/>
    <w:pPr>
      <w:tabs>
        <w:tab w:val="left" w:pos="420"/>
        <w:tab w:val="right" w:leader="dot" w:pos="8296"/>
      </w:tabs>
    </w:pPr>
    <w:rPr>
      <w:sz w:val="24"/>
      <w:szCs w:val="24"/>
    </w:rPr>
  </w:style>
  <w:style w:type="paragraph" w:styleId="23">
    <w:name w:val="toc 4"/>
    <w:basedOn w:val="1"/>
    <w:next w:val="1"/>
    <w:autoRedefine/>
    <w:unhideWhenUsed/>
    <w:qFormat/>
    <w:uiPriority w:val="39"/>
    <w:pPr>
      <w:ind w:left="1260" w:leftChars="600"/>
    </w:pPr>
    <w:rPr>
      <w:szCs w:val="22"/>
    </w:rPr>
  </w:style>
  <w:style w:type="paragraph" w:styleId="24">
    <w:name w:val="toc 6"/>
    <w:basedOn w:val="1"/>
    <w:next w:val="1"/>
    <w:autoRedefine/>
    <w:unhideWhenUsed/>
    <w:qFormat/>
    <w:uiPriority w:val="39"/>
    <w:pPr>
      <w:ind w:left="2100" w:leftChars="1000"/>
    </w:pPr>
    <w:rPr>
      <w:szCs w:val="22"/>
    </w:rPr>
  </w:style>
  <w:style w:type="paragraph" w:styleId="25">
    <w:name w:val="toc 2"/>
    <w:basedOn w:val="1"/>
    <w:next w:val="1"/>
    <w:autoRedefine/>
    <w:unhideWhenUsed/>
    <w:qFormat/>
    <w:uiPriority w:val="39"/>
    <w:pPr>
      <w:tabs>
        <w:tab w:val="left" w:pos="1260"/>
        <w:tab w:val="right" w:leader="dot" w:pos="8312"/>
      </w:tabs>
      <w:ind w:left="420" w:leftChars="200"/>
    </w:pPr>
  </w:style>
  <w:style w:type="paragraph" w:styleId="26">
    <w:name w:val="toc 9"/>
    <w:basedOn w:val="1"/>
    <w:next w:val="1"/>
    <w:autoRedefine/>
    <w:unhideWhenUsed/>
    <w:qFormat/>
    <w:uiPriority w:val="39"/>
    <w:pPr>
      <w:ind w:left="3360" w:leftChars="1600"/>
    </w:pPr>
    <w:rPr>
      <w:szCs w:val="22"/>
    </w:r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annotation subject"/>
    <w:basedOn w:val="13"/>
    <w:next w:val="13"/>
    <w:link w:val="53"/>
    <w:unhideWhenUsed/>
    <w:qFormat/>
    <w:uiPriority w:val="0"/>
    <w:rPr>
      <w:rFonts w:asciiTheme="minorHAnsi" w:hAnsiTheme="minorHAnsi" w:eastAsiaTheme="minorEastAsia" w:cstheme="minorBidi"/>
      <w:b/>
      <w:bCs/>
      <w:snapToGrid/>
      <w:sz w:val="21"/>
      <w:szCs w:val="22"/>
    </w:rPr>
  </w:style>
  <w:style w:type="paragraph" w:styleId="29">
    <w:name w:val="Body Text First Indent"/>
    <w:basedOn w:val="14"/>
    <w:link w:val="61"/>
    <w:qFormat/>
    <w:uiPriority w:val="0"/>
    <w:pPr>
      <w:ind w:firstLine="420"/>
    </w:pPr>
    <w:rPr>
      <w:rFonts w:ascii="Times New Roman" w:hAnsi="Times New Roman" w:eastAsia="宋体" w:cs="Times New Roman"/>
      <w:szCs w:val="24"/>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22"/>
    <w:rPr>
      <w:b/>
    </w:rPr>
  </w:style>
  <w:style w:type="character" w:styleId="34">
    <w:name w:val="page number"/>
    <w:basedOn w:val="32"/>
    <w:qFormat/>
    <w:uiPriority w:val="0"/>
  </w:style>
  <w:style w:type="character" w:styleId="35">
    <w:name w:val="Hyperlink"/>
    <w:basedOn w:val="32"/>
    <w:unhideWhenUsed/>
    <w:qFormat/>
    <w:uiPriority w:val="99"/>
    <w:rPr>
      <w:color w:val="0000FF" w:themeColor="hyperlink"/>
      <w:u w:val="single"/>
      <w14:textFill>
        <w14:solidFill>
          <w14:schemeClr w14:val="hlink"/>
        </w14:solidFill>
      </w14:textFill>
    </w:rPr>
  </w:style>
  <w:style w:type="character" w:styleId="36">
    <w:name w:val="annotation reference"/>
    <w:basedOn w:val="32"/>
    <w:unhideWhenUsed/>
    <w:qFormat/>
    <w:uiPriority w:val="99"/>
    <w:rPr>
      <w:sz w:val="21"/>
      <w:szCs w:val="21"/>
    </w:rPr>
  </w:style>
  <w:style w:type="character" w:customStyle="1" w:styleId="37">
    <w:name w:val="标题 1 字符"/>
    <w:basedOn w:val="32"/>
    <w:link w:val="2"/>
    <w:qFormat/>
    <w:uiPriority w:val="0"/>
    <w:rPr>
      <w:b/>
      <w:bCs/>
      <w:kern w:val="44"/>
      <w:sz w:val="44"/>
      <w:szCs w:val="44"/>
    </w:rPr>
  </w:style>
  <w:style w:type="character" w:customStyle="1" w:styleId="38">
    <w:name w:val="标题 2 字符"/>
    <w:basedOn w:val="32"/>
    <w:link w:val="3"/>
    <w:qFormat/>
    <w:uiPriority w:val="0"/>
    <w:rPr>
      <w:rFonts w:asciiTheme="majorHAnsi" w:hAnsiTheme="majorHAnsi" w:eastAsiaTheme="majorEastAsia" w:cstheme="majorBidi"/>
      <w:b/>
      <w:bCs/>
      <w:sz w:val="32"/>
      <w:szCs w:val="32"/>
    </w:rPr>
  </w:style>
  <w:style w:type="character" w:customStyle="1" w:styleId="39">
    <w:name w:val="标题 3 字符"/>
    <w:basedOn w:val="32"/>
    <w:link w:val="4"/>
    <w:qFormat/>
    <w:uiPriority w:val="9"/>
    <w:rPr>
      <w:b/>
      <w:bCs/>
      <w:sz w:val="32"/>
      <w:szCs w:val="32"/>
    </w:rPr>
  </w:style>
  <w:style w:type="character" w:customStyle="1" w:styleId="40">
    <w:name w:val="标题 4 字符"/>
    <w:basedOn w:val="32"/>
    <w:link w:val="5"/>
    <w:qFormat/>
    <w:uiPriority w:val="0"/>
    <w:rPr>
      <w:rFonts w:cs="Times New Roman" w:asciiTheme="majorEastAsia" w:hAnsiTheme="majorEastAsia" w:eastAsiaTheme="majorEastAsia"/>
      <w:bCs/>
    </w:rPr>
  </w:style>
  <w:style w:type="character" w:customStyle="1" w:styleId="41">
    <w:name w:val="标题 5 字符"/>
    <w:basedOn w:val="32"/>
    <w:link w:val="6"/>
    <w:semiHidden/>
    <w:qFormat/>
    <w:uiPriority w:val="9"/>
    <w:rPr>
      <w:b/>
      <w:bCs/>
      <w:sz w:val="28"/>
      <w:szCs w:val="28"/>
    </w:rPr>
  </w:style>
  <w:style w:type="character" w:customStyle="1" w:styleId="42">
    <w:name w:val="标题 6 字符"/>
    <w:basedOn w:val="32"/>
    <w:link w:val="7"/>
    <w:qFormat/>
    <w:uiPriority w:val="0"/>
    <w:rPr>
      <w:rFonts w:ascii="Arial" w:hAnsi="Arial" w:eastAsia="黑体"/>
      <w:b/>
      <w:bCs/>
      <w:kern w:val="2"/>
      <w:sz w:val="24"/>
      <w:szCs w:val="24"/>
    </w:rPr>
  </w:style>
  <w:style w:type="character" w:customStyle="1" w:styleId="43">
    <w:name w:val="标题 7 字符"/>
    <w:basedOn w:val="32"/>
    <w:link w:val="8"/>
    <w:qFormat/>
    <w:uiPriority w:val="0"/>
    <w:rPr>
      <w:b/>
      <w:bCs/>
      <w:kern w:val="2"/>
      <w:sz w:val="24"/>
      <w:szCs w:val="24"/>
    </w:rPr>
  </w:style>
  <w:style w:type="character" w:customStyle="1" w:styleId="44">
    <w:name w:val="标题 8 字符"/>
    <w:basedOn w:val="32"/>
    <w:link w:val="9"/>
    <w:qFormat/>
    <w:uiPriority w:val="0"/>
    <w:rPr>
      <w:rFonts w:ascii="Arial" w:hAnsi="Arial" w:eastAsia="黑体"/>
      <w:kern w:val="2"/>
      <w:sz w:val="24"/>
      <w:szCs w:val="24"/>
    </w:rPr>
  </w:style>
  <w:style w:type="character" w:customStyle="1" w:styleId="45">
    <w:name w:val="标题 9 字符"/>
    <w:basedOn w:val="32"/>
    <w:link w:val="10"/>
    <w:qFormat/>
    <w:uiPriority w:val="0"/>
    <w:rPr>
      <w:rFonts w:ascii="Arial" w:hAnsi="Arial" w:eastAsia="黑体"/>
      <w:kern w:val="2"/>
      <w:sz w:val="21"/>
      <w:szCs w:val="21"/>
    </w:rPr>
  </w:style>
  <w:style w:type="character" w:customStyle="1" w:styleId="46">
    <w:name w:val="页眉 字符"/>
    <w:basedOn w:val="32"/>
    <w:link w:val="21"/>
    <w:qFormat/>
    <w:uiPriority w:val="99"/>
    <w:rPr>
      <w:sz w:val="18"/>
      <w:szCs w:val="18"/>
    </w:rPr>
  </w:style>
  <w:style w:type="character" w:customStyle="1" w:styleId="47">
    <w:name w:val="页脚 字符"/>
    <w:basedOn w:val="32"/>
    <w:link w:val="20"/>
    <w:qFormat/>
    <w:uiPriority w:val="99"/>
    <w:rPr>
      <w:sz w:val="18"/>
      <w:szCs w:val="18"/>
    </w:rPr>
  </w:style>
  <w:style w:type="paragraph" w:styleId="48">
    <w:name w:val="List Paragraph"/>
    <w:basedOn w:val="1"/>
    <w:link w:val="49"/>
    <w:qFormat/>
    <w:uiPriority w:val="0"/>
    <w:pPr>
      <w:ind w:firstLine="420" w:firstLineChars="200"/>
    </w:pPr>
  </w:style>
  <w:style w:type="character" w:customStyle="1" w:styleId="49">
    <w:name w:val="列出段落 字符"/>
    <w:basedOn w:val="32"/>
    <w:link w:val="48"/>
    <w:qFormat/>
    <w:uiPriority w:val="0"/>
  </w:style>
  <w:style w:type="paragraph" w:customStyle="1" w:styleId="5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51">
    <w:name w:val="批注文字 字符"/>
    <w:basedOn w:val="32"/>
    <w:link w:val="13"/>
    <w:qFormat/>
    <w:uiPriority w:val="0"/>
    <w:rPr>
      <w:rFonts w:ascii="Arial" w:hAnsi="Arial" w:eastAsia="宋体" w:cs="Times New Roman"/>
      <w:snapToGrid w:val="0"/>
      <w:sz w:val="22"/>
      <w:szCs w:val="24"/>
    </w:rPr>
  </w:style>
  <w:style w:type="character" w:customStyle="1" w:styleId="52">
    <w:name w:val="批注框文本 字符"/>
    <w:basedOn w:val="32"/>
    <w:link w:val="19"/>
    <w:semiHidden/>
    <w:qFormat/>
    <w:uiPriority w:val="99"/>
    <w:rPr>
      <w:sz w:val="18"/>
      <w:szCs w:val="18"/>
    </w:rPr>
  </w:style>
  <w:style w:type="character" w:customStyle="1" w:styleId="53">
    <w:name w:val="批注主题 字符"/>
    <w:basedOn w:val="51"/>
    <w:link w:val="28"/>
    <w:qFormat/>
    <w:uiPriority w:val="0"/>
    <w:rPr>
      <w:rFonts w:ascii="Arial" w:hAnsi="Arial" w:eastAsia="宋体" w:cs="Times New Roman"/>
      <w:b/>
      <w:bCs/>
      <w:snapToGrid/>
      <w:sz w:val="22"/>
      <w:szCs w:val="24"/>
    </w:rPr>
  </w:style>
  <w:style w:type="character" w:customStyle="1" w:styleId="54">
    <w:name w:val="日期 字符"/>
    <w:basedOn w:val="32"/>
    <w:link w:val="18"/>
    <w:semiHidden/>
    <w:qFormat/>
    <w:uiPriority w:val="99"/>
  </w:style>
  <w:style w:type="paragraph" w:customStyle="1" w:styleId="55">
    <w:name w:val="标题3"/>
    <w:basedOn w:val="48"/>
    <w:qFormat/>
    <w:uiPriority w:val="0"/>
    <w:pPr>
      <w:numPr>
        <w:ilvl w:val="2"/>
        <w:numId w:val="1"/>
      </w:numPr>
      <w:spacing w:line="300" w:lineRule="auto"/>
      <w:ind w:firstLine="0" w:firstLineChars="0"/>
    </w:pPr>
    <w:rPr>
      <w:rFonts w:cs="Arial" w:asciiTheme="minorEastAsia" w:hAnsiTheme="minorEastAsia"/>
      <w:color w:val="000000"/>
    </w:rPr>
  </w:style>
  <w:style w:type="paragraph" w:customStyle="1" w:styleId="56">
    <w:name w:val="样式1.1.1"/>
    <w:basedOn w:val="48"/>
    <w:link w:val="57"/>
    <w:qFormat/>
    <w:uiPriority w:val="0"/>
    <w:pPr>
      <w:numPr>
        <w:ilvl w:val="2"/>
        <w:numId w:val="2"/>
      </w:numPr>
      <w:tabs>
        <w:tab w:val="left" w:pos="426"/>
        <w:tab w:val="left" w:pos="567"/>
      </w:tabs>
      <w:spacing w:line="300" w:lineRule="auto"/>
      <w:ind w:firstLine="0" w:firstLineChars="0"/>
    </w:pPr>
    <w:rPr>
      <w:rFonts w:cs="Arial"/>
      <w:color w:val="000000"/>
    </w:rPr>
  </w:style>
  <w:style w:type="character" w:customStyle="1" w:styleId="57">
    <w:name w:val="样式1.1.1 字符"/>
    <w:basedOn w:val="49"/>
    <w:link w:val="56"/>
    <w:qFormat/>
    <w:uiPriority w:val="0"/>
    <w:rPr>
      <w:rFonts w:cs="Arial" w:asciiTheme="minorHAnsi" w:hAnsiTheme="minorHAnsi" w:eastAsiaTheme="minorEastAsia"/>
      <w:color w:val="000000"/>
      <w:kern w:val="2"/>
      <w:sz w:val="21"/>
      <w:szCs w:val="21"/>
    </w:rPr>
  </w:style>
  <w:style w:type="paragraph" w:customStyle="1" w:styleId="58">
    <w:name w:val="样式1"/>
    <w:basedOn w:val="56"/>
    <w:link w:val="59"/>
    <w:qFormat/>
    <w:uiPriority w:val="0"/>
    <w:pPr>
      <w:tabs>
        <w:tab w:val="clear" w:pos="426"/>
      </w:tabs>
      <w:ind w:left="0"/>
    </w:pPr>
  </w:style>
  <w:style w:type="character" w:customStyle="1" w:styleId="59">
    <w:name w:val="样式1 字符"/>
    <w:basedOn w:val="57"/>
    <w:link w:val="58"/>
    <w:qFormat/>
    <w:uiPriority w:val="0"/>
    <w:rPr>
      <w:rFonts w:cs="Arial" w:asciiTheme="minorHAnsi" w:hAnsiTheme="minorHAnsi" w:eastAsiaTheme="minorEastAsia"/>
      <w:color w:val="000000"/>
      <w:kern w:val="2"/>
      <w:sz w:val="21"/>
      <w:szCs w:val="21"/>
    </w:rPr>
  </w:style>
  <w:style w:type="character" w:customStyle="1" w:styleId="60">
    <w:name w:val="正文文本 字符"/>
    <w:basedOn w:val="32"/>
    <w:link w:val="14"/>
    <w:semiHidden/>
    <w:qFormat/>
    <w:uiPriority w:val="99"/>
  </w:style>
  <w:style w:type="character" w:customStyle="1" w:styleId="61">
    <w:name w:val="正文首行缩进 字符"/>
    <w:basedOn w:val="60"/>
    <w:link w:val="29"/>
    <w:qFormat/>
    <w:uiPriority w:val="0"/>
    <w:rPr>
      <w:rFonts w:ascii="Times New Roman" w:hAnsi="Times New Roman" w:eastAsia="宋体" w:cs="Times New Roman"/>
      <w:szCs w:val="24"/>
    </w:rPr>
  </w:style>
  <w:style w:type="character" w:customStyle="1" w:styleId="62">
    <w:name w:val="表格文字居中 Char"/>
    <w:link w:val="63"/>
    <w:qFormat/>
    <w:uiPriority w:val="0"/>
    <w:rPr>
      <w:rFonts w:eastAsia="黑体"/>
      <w:color w:val="000000"/>
      <w:szCs w:val="24"/>
    </w:rPr>
  </w:style>
  <w:style w:type="paragraph" w:customStyle="1" w:styleId="63">
    <w:name w:val="表格文字居中"/>
    <w:basedOn w:val="1"/>
    <w:link w:val="62"/>
    <w:qFormat/>
    <w:uiPriority w:val="0"/>
    <w:pPr>
      <w:autoSpaceDE w:val="0"/>
      <w:autoSpaceDN w:val="0"/>
      <w:adjustRightInd w:val="0"/>
      <w:snapToGrid w:val="0"/>
      <w:jc w:val="center"/>
      <w:textAlignment w:val="bottom"/>
    </w:pPr>
    <w:rPr>
      <w:rFonts w:eastAsia="黑体"/>
      <w:color w:val="000000"/>
      <w:szCs w:val="24"/>
    </w:rPr>
  </w:style>
  <w:style w:type="character" w:customStyle="1" w:styleId="64">
    <w:name w:val="正文首行缩进2字符 Char"/>
    <w:link w:val="65"/>
    <w:qFormat/>
    <w:uiPriority w:val="0"/>
    <w:rPr>
      <w:rFonts w:ascii="宋体" w:hAnsi="宋体" w:cs="宋体"/>
      <w:sz w:val="28"/>
    </w:rPr>
  </w:style>
  <w:style w:type="paragraph" w:customStyle="1" w:styleId="65">
    <w:name w:val="正文首行缩进2字符"/>
    <w:basedOn w:val="1"/>
    <w:link w:val="64"/>
    <w:qFormat/>
    <w:locked/>
    <w:uiPriority w:val="0"/>
    <w:pPr>
      <w:keepNext/>
      <w:adjustRightInd w:val="0"/>
      <w:snapToGrid w:val="0"/>
      <w:spacing w:line="360" w:lineRule="auto"/>
      <w:ind w:firstLine="560" w:firstLineChars="200"/>
      <w:jc w:val="left"/>
    </w:pPr>
    <w:rPr>
      <w:rFonts w:ascii="宋体" w:hAnsi="宋体" w:cs="宋体"/>
      <w:sz w:val="28"/>
    </w:rPr>
  </w:style>
  <w:style w:type="paragraph" w:customStyle="1" w:styleId="66">
    <w:name w:val="样式 标题 51)项标5无序号，小四黑常规，空两字标题 5 Char1) Char项 Char一级项H5H5..."/>
    <w:basedOn w:val="6"/>
    <w:qFormat/>
    <w:uiPriority w:val="0"/>
    <w:pPr>
      <w:keepNext w:val="0"/>
      <w:keepLines w:val="0"/>
      <w:tabs>
        <w:tab w:val="left" w:pos="1865"/>
      </w:tabs>
      <w:spacing w:before="0" w:after="0" w:line="360" w:lineRule="auto"/>
      <w:ind w:left="1275" w:firstLine="200"/>
      <w:jc w:val="left"/>
    </w:pPr>
    <w:rPr>
      <w:rFonts w:ascii="宋体" w:hAnsi="宋体" w:eastAsia="宋体" w:cs="宋体"/>
      <w:b w:val="0"/>
      <w:bCs w:val="0"/>
      <w:sz w:val="24"/>
    </w:rPr>
  </w:style>
  <w:style w:type="paragraph" w:customStyle="1" w:styleId="67">
    <w:name w:val="正文首行缩进＋"/>
    <w:basedOn w:val="12"/>
    <w:qFormat/>
    <w:uiPriority w:val="0"/>
    <w:pPr>
      <w:spacing w:line="360" w:lineRule="auto"/>
      <w:ind w:firstLine="480"/>
    </w:pPr>
    <w:rPr>
      <w:rFonts w:ascii="宋体" w:cs="宋体"/>
      <w:sz w:val="24"/>
    </w:rPr>
  </w:style>
  <w:style w:type="paragraph" w:customStyle="1" w:styleId="68">
    <w:name w:val="样式 标题3 + 宋体 小四"/>
    <w:basedOn w:val="55"/>
    <w:qFormat/>
    <w:uiPriority w:val="0"/>
    <w:pPr>
      <w:spacing w:line="360" w:lineRule="auto"/>
      <w:ind w:left="0"/>
    </w:pPr>
    <w:rPr>
      <w:rFonts w:ascii="宋体" w:hAnsi="宋体" w:eastAsia="宋体" w:cs="Times New Roman"/>
      <w:color w:val="auto"/>
      <w:sz w:val="24"/>
      <w:szCs w:val="24"/>
    </w:rPr>
  </w:style>
  <w:style w:type="character" w:customStyle="1" w:styleId="69">
    <w:name w:val="列表段落 字符"/>
    <w:link w:val="70"/>
    <w:qFormat/>
    <w:uiPriority w:val="34"/>
    <w:rPr>
      <w:rFonts w:ascii="Calibri" w:hAnsi="Calibri"/>
      <w:szCs w:val="22"/>
    </w:rPr>
  </w:style>
  <w:style w:type="paragraph" w:customStyle="1" w:styleId="70">
    <w:name w:val="列表段落1"/>
    <w:basedOn w:val="1"/>
    <w:link w:val="69"/>
    <w:qFormat/>
    <w:uiPriority w:val="34"/>
    <w:pPr>
      <w:ind w:firstLine="420" w:firstLineChars="200"/>
    </w:pPr>
    <w:rPr>
      <w:rFonts w:ascii="Calibri" w:hAnsi="Calibri"/>
      <w:szCs w:val="22"/>
    </w:rPr>
  </w:style>
  <w:style w:type="paragraph" w:customStyle="1" w:styleId="71">
    <w:name w:val="列出段落1"/>
    <w:basedOn w:val="1"/>
    <w:qFormat/>
    <w:uiPriority w:val="34"/>
    <w:pPr>
      <w:ind w:firstLine="420" w:firstLineChars="200"/>
    </w:pPr>
    <w:rPr>
      <w:rFonts w:ascii="Calibri" w:hAnsi="Calibri" w:eastAsia="宋体" w:cs="黑体"/>
      <w:szCs w:val="22"/>
    </w:rPr>
  </w:style>
  <w:style w:type="paragraph" w:customStyle="1" w:styleId="72">
    <w:name w:val="标题5"/>
    <w:basedOn w:val="1"/>
    <w:next w:val="29"/>
    <w:qFormat/>
    <w:uiPriority w:val="0"/>
    <w:pPr>
      <w:keepNext/>
      <w:spacing w:line="360" w:lineRule="auto"/>
      <w:ind w:firstLine="567"/>
      <w:outlineLvl w:val="4"/>
    </w:pPr>
    <w:rPr>
      <w:rFonts w:ascii="宋体" w:hAnsi="宋体" w:eastAsia="宋体" w:cs="ˎ̥"/>
      <w:sz w:val="28"/>
    </w:rPr>
  </w:style>
  <w:style w:type="paragraph" w:customStyle="1" w:styleId="73">
    <w:name w:val="标题6"/>
    <w:basedOn w:val="1"/>
    <w:next w:val="29"/>
    <w:link w:val="74"/>
    <w:qFormat/>
    <w:uiPriority w:val="0"/>
    <w:pPr>
      <w:keepNext/>
      <w:spacing w:line="360" w:lineRule="auto"/>
      <w:ind w:firstLine="567"/>
      <w:jc w:val="left"/>
      <w:outlineLvl w:val="5"/>
    </w:pPr>
    <w:rPr>
      <w:rFonts w:ascii="ˎ̥" w:hAnsi="ˎ̥" w:eastAsia="宋体" w:cs="ˎ̥"/>
      <w:sz w:val="28"/>
    </w:rPr>
  </w:style>
  <w:style w:type="character" w:customStyle="1" w:styleId="74">
    <w:name w:val="标题6 Char"/>
    <w:link w:val="73"/>
    <w:qFormat/>
    <w:uiPriority w:val="0"/>
    <w:rPr>
      <w:rFonts w:ascii="ˎ̥" w:hAnsi="ˎ̥" w:eastAsia="宋体" w:cs="ˎ̥"/>
      <w:sz w:val="28"/>
    </w:rPr>
  </w:style>
  <w:style w:type="paragraph" w:customStyle="1" w:styleId="7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6">
    <w:name w:val="二级条标题"/>
    <w:basedOn w:val="77"/>
    <w:next w:val="5"/>
    <w:qFormat/>
    <w:uiPriority w:val="0"/>
    <w:pPr>
      <w:numPr>
        <w:ilvl w:val="2"/>
      </w:numPr>
      <w:spacing w:before="50" w:after="50"/>
      <w:outlineLvl w:val="3"/>
    </w:pPr>
  </w:style>
  <w:style w:type="paragraph" w:customStyle="1" w:styleId="77">
    <w:name w:val="一级条标题"/>
    <w:next w:val="5"/>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78">
    <w:name w:val="四级条标题"/>
    <w:basedOn w:val="1"/>
    <w:next w:val="5"/>
    <w:qFormat/>
    <w:uiPriority w:val="0"/>
    <w:pPr>
      <w:widowControl/>
      <w:numPr>
        <w:ilvl w:val="4"/>
        <w:numId w:val="3"/>
      </w:numPr>
      <w:spacing w:beforeLines="50" w:afterLines="50"/>
      <w:jc w:val="left"/>
      <w:outlineLvl w:val="5"/>
    </w:pPr>
    <w:rPr>
      <w:rFonts w:ascii="黑体" w:hAnsi="Times New Roman" w:eastAsia="黑体" w:cs="Times New Roman"/>
      <w:kern w:val="0"/>
    </w:rPr>
  </w:style>
  <w:style w:type="paragraph" w:customStyle="1" w:styleId="79">
    <w:name w:val="章标题"/>
    <w:next w:val="5"/>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80">
    <w:name w:val="五级条标题"/>
    <w:basedOn w:val="78"/>
    <w:next w:val="5"/>
    <w:qFormat/>
    <w:uiPriority w:val="0"/>
    <w:pPr>
      <w:numPr>
        <w:ilvl w:val="5"/>
      </w:numPr>
      <w:outlineLvl w:val="6"/>
    </w:pPr>
  </w:style>
  <w:style w:type="paragraph" w:customStyle="1" w:styleId="81">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2">
    <w:name w:val="font0"/>
    <w:basedOn w:val="1"/>
    <w:qFormat/>
    <w:uiPriority w:val="0"/>
    <w:pPr>
      <w:widowControl/>
      <w:spacing w:before="100" w:beforeAutospacing="1" w:after="100" w:afterAutospacing="1"/>
      <w:jc w:val="left"/>
    </w:pPr>
    <w:rPr>
      <w:rFonts w:ascii="宋体" w:hAnsi="宋体" w:eastAsia="宋体" w:cs="宋体"/>
      <w:color w:val="000000"/>
      <w:kern w:val="0"/>
      <w:sz w:val="22"/>
      <w:szCs w:val="22"/>
    </w:rPr>
  </w:style>
  <w:style w:type="paragraph" w:customStyle="1" w:styleId="83">
    <w:name w:val="font1"/>
    <w:basedOn w:val="1"/>
    <w:qFormat/>
    <w:uiPriority w:val="0"/>
    <w:pPr>
      <w:widowControl/>
      <w:spacing w:before="100" w:beforeAutospacing="1" w:after="100" w:afterAutospacing="1"/>
      <w:jc w:val="left"/>
    </w:pPr>
    <w:rPr>
      <w:rFonts w:ascii="宋体" w:hAnsi="宋体" w:eastAsia="宋体" w:cs="宋体"/>
      <w:b/>
      <w:bCs/>
      <w:color w:val="000000"/>
      <w:kern w:val="0"/>
      <w:sz w:val="22"/>
      <w:szCs w:val="22"/>
    </w:rPr>
  </w:style>
  <w:style w:type="paragraph" w:customStyle="1" w:styleId="84">
    <w:name w:val="font2"/>
    <w:basedOn w:val="1"/>
    <w:qFormat/>
    <w:uiPriority w:val="0"/>
    <w:pPr>
      <w:widowControl/>
      <w:spacing w:before="100" w:beforeAutospacing="1" w:after="100" w:afterAutospacing="1"/>
      <w:jc w:val="left"/>
    </w:pPr>
    <w:rPr>
      <w:rFonts w:ascii="黑体" w:hAnsi="黑体" w:eastAsia="黑体" w:cs="宋体"/>
      <w:b/>
      <w:bCs/>
      <w:color w:val="000000"/>
      <w:kern w:val="0"/>
      <w:sz w:val="48"/>
      <w:szCs w:val="48"/>
    </w:rPr>
  </w:style>
  <w:style w:type="paragraph" w:customStyle="1" w:styleId="85">
    <w:name w:val="font3"/>
    <w:basedOn w:val="1"/>
    <w:qFormat/>
    <w:uiPriority w:val="0"/>
    <w:pPr>
      <w:widowControl/>
      <w:spacing w:before="100" w:beforeAutospacing="1" w:after="100" w:afterAutospacing="1"/>
      <w:jc w:val="left"/>
    </w:pPr>
    <w:rPr>
      <w:rFonts w:ascii="黑体" w:hAnsi="黑体" w:eastAsia="黑体" w:cs="宋体"/>
      <w:color w:val="000000"/>
      <w:kern w:val="0"/>
      <w:sz w:val="48"/>
      <w:szCs w:val="48"/>
    </w:rPr>
  </w:style>
  <w:style w:type="paragraph" w:customStyle="1" w:styleId="86">
    <w:name w:val="font4"/>
    <w:basedOn w:val="1"/>
    <w:qFormat/>
    <w:uiPriority w:val="0"/>
    <w:pPr>
      <w:widowControl/>
      <w:spacing w:before="100" w:beforeAutospacing="1" w:after="100" w:afterAutospacing="1"/>
      <w:jc w:val="left"/>
    </w:pPr>
    <w:rPr>
      <w:rFonts w:ascii="宋体" w:hAnsi="宋体" w:eastAsia="宋体" w:cs="宋体"/>
      <w:b/>
      <w:bCs/>
      <w:color w:val="000000"/>
      <w:kern w:val="0"/>
      <w:sz w:val="24"/>
      <w:szCs w:val="24"/>
    </w:rPr>
  </w:style>
  <w:style w:type="paragraph" w:customStyle="1" w:styleId="87">
    <w:name w:val="font5"/>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88">
    <w:name w:val="font6"/>
    <w:basedOn w:val="1"/>
    <w:qFormat/>
    <w:uiPriority w:val="0"/>
    <w:pPr>
      <w:widowControl/>
      <w:spacing w:before="100" w:beforeAutospacing="1" w:after="100" w:afterAutospacing="1"/>
      <w:jc w:val="left"/>
    </w:pPr>
    <w:rPr>
      <w:rFonts w:ascii="宋体" w:hAnsi="宋体" w:eastAsia="宋体" w:cs="宋体"/>
      <w:b/>
      <w:bCs/>
      <w:color w:val="000000"/>
      <w:kern w:val="0"/>
      <w:sz w:val="24"/>
      <w:szCs w:val="24"/>
    </w:rPr>
  </w:style>
  <w:style w:type="paragraph" w:customStyle="1" w:styleId="89">
    <w:name w:val="font7"/>
    <w:basedOn w:val="1"/>
    <w:qFormat/>
    <w:uiPriority w:val="0"/>
    <w:pPr>
      <w:widowControl/>
      <w:spacing w:before="100" w:beforeAutospacing="1" w:after="100" w:afterAutospacing="1"/>
      <w:jc w:val="left"/>
    </w:pPr>
    <w:rPr>
      <w:rFonts w:ascii="宋体" w:hAnsi="宋体" w:eastAsia="宋体" w:cs="宋体"/>
      <w:b/>
      <w:bCs/>
      <w:color w:val="000000"/>
      <w:kern w:val="0"/>
      <w:sz w:val="24"/>
      <w:szCs w:val="24"/>
    </w:rPr>
  </w:style>
  <w:style w:type="paragraph" w:customStyle="1" w:styleId="90">
    <w:name w:val="font8"/>
    <w:basedOn w:val="1"/>
    <w:qFormat/>
    <w:uiPriority w:val="0"/>
    <w:pPr>
      <w:widowControl/>
      <w:spacing w:before="100" w:beforeAutospacing="1" w:after="100" w:afterAutospacing="1"/>
      <w:jc w:val="left"/>
    </w:pPr>
    <w:rPr>
      <w:rFonts w:ascii="宋体" w:hAnsi="宋体" w:eastAsia="宋体" w:cs="宋体"/>
      <w:b/>
      <w:bCs/>
      <w:color w:val="000000"/>
      <w:kern w:val="0"/>
      <w:sz w:val="24"/>
      <w:szCs w:val="24"/>
      <w:vertAlign w:val="superscript"/>
    </w:rPr>
  </w:style>
  <w:style w:type="paragraph" w:customStyle="1" w:styleId="91">
    <w:name w:val="et2"/>
    <w:basedOn w:val="1"/>
    <w:qFormat/>
    <w:uiPriority w:val="0"/>
    <w:pPr>
      <w:widowControl/>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92">
    <w:name w:val="et3"/>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93">
    <w:name w:val="et4"/>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94">
    <w:name w:val="et5"/>
    <w:basedOn w:val="1"/>
    <w:qFormat/>
    <w:uiPriority w:val="0"/>
    <w:pPr>
      <w:widowControl/>
      <w:spacing w:before="100" w:beforeAutospacing="1" w:after="100" w:afterAutospacing="1"/>
      <w:jc w:val="center"/>
    </w:pPr>
    <w:rPr>
      <w:rFonts w:ascii="黑体" w:hAnsi="黑体" w:eastAsia="黑体" w:cs="宋体"/>
      <w:b/>
      <w:bCs/>
      <w:kern w:val="0"/>
      <w:sz w:val="48"/>
      <w:szCs w:val="48"/>
    </w:rPr>
  </w:style>
  <w:style w:type="paragraph" w:customStyle="1" w:styleId="95">
    <w:name w:val="et6"/>
    <w:basedOn w:val="1"/>
    <w:qFormat/>
    <w:uiPriority w:val="0"/>
    <w:pPr>
      <w:widowControl/>
      <w:spacing w:before="100" w:beforeAutospacing="1" w:after="100" w:afterAutospacing="1"/>
      <w:jc w:val="center"/>
    </w:pPr>
    <w:rPr>
      <w:rFonts w:ascii="黑体" w:hAnsi="黑体" w:eastAsia="黑体" w:cs="宋体"/>
      <w:kern w:val="0"/>
      <w:sz w:val="48"/>
      <w:szCs w:val="48"/>
    </w:rPr>
  </w:style>
  <w:style w:type="paragraph" w:customStyle="1" w:styleId="96">
    <w:name w:val="et7"/>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97">
    <w:name w:val="et8"/>
    <w:basedOn w:val="1"/>
    <w:qFormat/>
    <w:uiPriority w:val="0"/>
    <w:pPr>
      <w:widowControl/>
      <w:pBdr>
        <w:top w:val="single" w:color="000000" w:sz="4" w:space="0"/>
        <w:bottom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98">
    <w:name w:val="et9"/>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99">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100">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paragraph" w:customStyle="1" w:styleId="101">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102">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paragraph" w:customStyle="1" w:styleId="103">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104">
    <w:name w:val="et1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paragraph" w:customStyle="1" w:styleId="105">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paragraph" w:customStyle="1" w:styleId="106">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24"/>
      <w:szCs w:val="24"/>
    </w:rPr>
  </w:style>
  <w:style w:type="paragraph" w:customStyle="1" w:styleId="107">
    <w:name w:val="et1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24"/>
      <w:szCs w:val="24"/>
    </w:rPr>
  </w:style>
  <w:style w:type="paragraph" w:customStyle="1" w:styleId="108">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24"/>
      <w:szCs w:val="24"/>
    </w:rPr>
  </w:style>
  <w:style w:type="paragraph" w:customStyle="1" w:styleId="109">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110">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right"/>
    </w:pPr>
    <w:rPr>
      <w:rFonts w:ascii="宋体" w:hAnsi="宋体" w:eastAsia="宋体" w:cs="宋体"/>
      <w:kern w:val="0"/>
      <w:sz w:val="24"/>
      <w:szCs w:val="24"/>
    </w:rPr>
  </w:style>
  <w:style w:type="paragraph" w:customStyle="1" w:styleId="111">
    <w:name w:val="et2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112">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24"/>
      <w:szCs w:val="24"/>
    </w:rPr>
  </w:style>
  <w:style w:type="character" w:customStyle="1" w:styleId="113">
    <w:name w:val="font71"/>
    <w:basedOn w:val="32"/>
    <w:qFormat/>
    <w:uiPriority w:val="0"/>
    <w:rPr>
      <w:rFonts w:hint="eastAsia" w:ascii="宋体" w:hAnsi="宋体" w:eastAsia="宋体"/>
      <w:b/>
      <w:bCs/>
      <w:color w:val="000000"/>
      <w:sz w:val="24"/>
      <w:szCs w:val="24"/>
      <w:u w:val="none"/>
    </w:rPr>
  </w:style>
  <w:style w:type="character" w:customStyle="1" w:styleId="114">
    <w:name w:val="font81"/>
    <w:basedOn w:val="32"/>
    <w:qFormat/>
    <w:uiPriority w:val="0"/>
    <w:rPr>
      <w:rFonts w:hint="eastAsia" w:ascii="宋体" w:hAnsi="宋体" w:eastAsia="宋体"/>
      <w:b/>
      <w:bCs/>
      <w:color w:val="000000"/>
      <w:sz w:val="24"/>
      <w:szCs w:val="24"/>
      <w:u w:val="none"/>
      <w:vertAlign w:val="superscript"/>
    </w:rPr>
  </w:style>
  <w:style w:type="character" w:customStyle="1" w:styleId="115">
    <w:name w:val="font41"/>
    <w:basedOn w:val="32"/>
    <w:qFormat/>
    <w:uiPriority w:val="0"/>
    <w:rPr>
      <w:rFonts w:hint="eastAsia" w:ascii="宋体" w:hAnsi="宋体" w:eastAsia="宋体"/>
      <w:b/>
      <w:bCs/>
      <w:color w:val="000000"/>
      <w:sz w:val="24"/>
      <w:szCs w:val="24"/>
      <w:u w:val="none"/>
    </w:rPr>
  </w:style>
  <w:style w:type="character" w:customStyle="1" w:styleId="116">
    <w:name w:val="font61"/>
    <w:basedOn w:val="32"/>
    <w:qFormat/>
    <w:uiPriority w:val="0"/>
    <w:rPr>
      <w:rFonts w:hint="eastAsia" w:ascii="宋体" w:hAnsi="宋体" w:eastAsia="宋体"/>
      <w:b/>
      <w:bCs/>
      <w:color w:val="000000"/>
      <w:sz w:val="24"/>
      <w:szCs w:val="24"/>
      <w:u w:val="none"/>
    </w:rPr>
  </w:style>
  <w:style w:type="character" w:customStyle="1" w:styleId="117">
    <w:name w:val="font11"/>
    <w:basedOn w:val="32"/>
    <w:qFormat/>
    <w:uiPriority w:val="0"/>
    <w:rPr>
      <w:rFonts w:hint="eastAsia" w:ascii="宋体" w:hAnsi="宋体" w:eastAsia="宋体"/>
      <w:b/>
      <w:bCs/>
      <w:color w:val="000000"/>
      <w:sz w:val="24"/>
      <w:szCs w:val="24"/>
      <w:u w:val="none"/>
    </w:rPr>
  </w:style>
  <w:style w:type="character" w:customStyle="1" w:styleId="118">
    <w:name w:val="font21"/>
    <w:basedOn w:val="32"/>
    <w:qFormat/>
    <w:uiPriority w:val="0"/>
    <w:rPr>
      <w:rFonts w:hint="eastAsia" w:ascii="宋体" w:hAnsi="宋体" w:eastAsia="宋体"/>
      <w:b/>
      <w:bCs/>
      <w:color w:val="000000"/>
      <w:sz w:val="24"/>
      <w:szCs w:val="24"/>
      <w:u w:val="none"/>
      <w:vertAlign w:val="superscript"/>
    </w:rPr>
  </w:style>
  <w:style w:type="character" w:customStyle="1" w:styleId="119">
    <w:name w:val="font31"/>
    <w:basedOn w:val="32"/>
    <w:qFormat/>
    <w:uiPriority w:val="0"/>
    <w:rPr>
      <w:rFonts w:hint="eastAsia" w:ascii="宋体" w:hAnsi="宋体" w:eastAsia="宋体"/>
      <w:b/>
      <w:bCs/>
      <w:color w:val="000000"/>
      <w:sz w:val="24"/>
      <w:szCs w:val="24"/>
      <w:u w:val="none"/>
    </w:rPr>
  </w:style>
  <w:style w:type="character" w:customStyle="1" w:styleId="120">
    <w:name w:val="font51"/>
    <w:basedOn w:val="32"/>
    <w:qFormat/>
    <w:uiPriority w:val="0"/>
    <w:rPr>
      <w:rFonts w:hint="eastAsia" w:ascii="宋体" w:hAnsi="宋体" w:eastAsia="宋体"/>
      <w:color w:val="000000"/>
      <w:sz w:val="24"/>
      <w:szCs w:val="24"/>
      <w:u w:val="none"/>
    </w:rPr>
  </w:style>
  <w:style w:type="table" w:customStyle="1" w:styleId="121">
    <w:name w:val="Table Normal"/>
    <w:semiHidden/>
    <w:unhideWhenUsed/>
    <w:qFormat/>
    <w:uiPriority w:val="0"/>
    <w:tblPr>
      <w:tblCellMar>
        <w:top w:w="0" w:type="dxa"/>
        <w:left w:w="0" w:type="dxa"/>
        <w:bottom w:w="0" w:type="dxa"/>
        <w:right w:w="0" w:type="dxa"/>
      </w:tblCellMar>
    </w:tblPr>
  </w:style>
  <w:style w:type="paragraph" w:customStyle="1" w:styleId="122">
    <w:name w:val="Table Text"/>
    <w:basedOn w:val="1"/>
    <w:semiHidden/>
    <w:qFormat/>
    <w:uiPriority w:val="0"/>
    <w:rPr>
      <w:rFonts w:ascii="Arial" w:hAnsi="Arial" w:eastAsia="Arial" w:cs="Arial"/>
      <w:lang w:eastAsia="en-US"/>
    </w:rPr>
  </w:style>
  <w:style w:type="paragraph" w:customStyle="1" w:styleId="123">
    <w:name w:val="1"/>
    <w:basedOn w:val="1"/>
    <w:next w:val="48"/>
    <w:qFormat/>
    <w:uiPriority w:val="34"/>
    <w:pPr>
      <w:ind w:firstLine="420" w:firstLineChars="200"/>
    </w:pPr>
    <w:rPr>
      <w:rFonts w:ascii="Arial" w:hAnsi="Arial" w:eastAsia="宋体" w:cs="Times New Roman"/>
      <w:color w:val="000000"/>
    </w:rPr>
  </w:style>
  <w:style w:type="paragraph" w:customStyle="1" w:styleId="1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25">
    <w:name w:val="fontstyle01"/>
    <w:basedOn w:val="32"/>
    <w:qFormat/>
    <w:uiPriority w:val="0"/>
    <w:rPr>
      <w:rFonts w:ascii="黑体" w:hAnsi="宋体" w:eastAsia="黑体" w:cs="黑体"/>
      <w:color w:val="000000"/>
      <w:sz w:val="22"/>
      <w:szCs w:val="22"/>
    </w:rPr>
  </w:style>
  <w:style w:type="character" w:customStyle="1" w:styleId="126">
    <w:name w:val="fontstyle21"/>
    <w:basedOn w:val="32"/>
    <w:qFormat/>
    <w:uiPriority w:val="0"/>
    <w:rPr>
      <w:rFonts w:ascii="宋体" w:hAnsi="宋体" w:eastAsia="宋体" w:cs="宋体"/>
      <w:color w:val="000000"/>
      <w:sz w:val="22"/>
      <w:szCs w:val="22"/>
    </w:rPr>
  </w:style>
  <w:style w:type="character" w:customStyle="1" w:styleId="127">
    <w:name w:val="fontstyle31"/>
    <w:basedOn w:val="32"/>
    <w:qFormat/>
    <w:uiPriority w:val="0"/>
    <w:rPr>
      <w:rFonts w:ascii="TimesNewRomanPSMT" w:hAnsi="TimesNewRomanPSMT" w:eastAsia="TimesNewRomanPSMT" w:cs="TimesNewRomanPSMT"/>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ABD85E-CBDE-44BD-85D1-CCA8528B98D5}">
  <ds:schemaRefs/>
</ds:datastoreItem>
</file>

<file path=docProps/app.xml><?xml version="1.0" encoding="utf-8"?>
<Properties xmlns="http://schemas.openxmlformats.org/officeDocument/2006/extended-properties" xmlns:vt="http://schemas.openxmlformats.org/officeDocument/2006/docPropsVTypes">
  <Template>Normal</Template>
  <Company>hl</Company>
  <Pages>49</Pages>
  <Words>4686</Words>
  <Characters>26715</Characters>
  <Lines>222</Lines>
  <Paragraphs>62</Paragraphs>
  <TotalTime>3</TotalTime>
  <ScaleCrop>false</ScaleCrop>
  <LinksUpToDate>false</LinksUpToDate>
  <CharactersWithSpaces>31339</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2025-08-13T08:10:00Z</dcterms:created>
  <dc:creator>曹锐建</dc:creator>
  <cp:lastModifiedBy>张同科</cp:lastModifiedBy>
  <cp:lastPrinted>2025-08-15T09:38:00Z</cp:lastPrinted>
  <dcterms:modified xsi:type="dcterms:W3CDTF">2025-09-03T06:21:16Z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5AE1EE43FE474E40868041A8A164DDE0_13</vt:lpwstr>
  </property>
</Properties>
</file>