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exact"/>
        <w:rPr>
          <w:rFonts w:ascii="仿宋" w:hAnsi="仿宋" w:eastAsia="仿宋"/>
          <w:color w:val="auto"/>
          <w:sz w:val="28"/>
          <w:szCs w:val="28"/>
        </w:rPr>
      </w:pPr>
      <w:bookmarkStart w:id="0" w:name="_Toc7904"/>
    </w:p>
    <w:p>
      <w:pPr>
        <w:snapToGrid w:val="0"/>
        <w:spacing w:line="360" w:lineRule="exact"/>
        <w:rPr>
          <w:rFonts w:ascii="宋体" w:hAnsi="宋体"/>
          <w:b/>
          <w:color w:val="auto"/>
        </w:rPr>
      </w:pPr>
      <w:r>
        <w:rPr>
          <w:rFonts w:hint="eastAsia" w:ascii="宋体" w:hAnsi="宋体"/>
          <w:b/>
          <w:color w:val="auto"/>
        </w:rPr>
        <w:t>国际标准分类号ICS</w:t>
      </w:r>
    </w:p>
    <w:p>
      <w:pPr>
        <w:tabs>
          <w:tab w:val="left" w:pos="7455"/>
        </w:tabs>
        <w:snapToGrid w:val="0"/>
        <w:spacing w:line="360" w:lineRule="exact"/>
        <w:rPr>
          <w:rFonts w:ascii="宋体" w:hAnsi="宋体"/>
          <w:b/>
          <w:color w:val="auto"/>
        </w:rPr>
      </w:pPr>
      <w:r>
        <w:rPr>
          <w:rFonts w:ascii="宋体" w:hAnsi="宋体"/>
          <w:b/>
          <w:color w:val="auto"/>
        </w:rPr>
        <w:t>中国标准文献分类号CCS</w:t>
      </w:r>
    </w:p>
    <w:p>
      <w:pPr>
        <w:snapToGrid w:val="0"/>
        <w:spacing w:before="312" w:beforeLines="100" w:after="156" w:afterLines="50"/>
        <w:jc w:val="center"/>
        <w:rPr>
          <w:rFonts w:ascii="黑体" w:hAnsi="黑体" w:eastAsia="黑体"/>
          <w:b/>
          <w:color w:val="auto"/>
          <w:sz w:val="48"/>
          <w:szCs w:val="48"/>
        </w:rPr>
      </w:pPr>
      <w:r>
        <w:rPr>
          <w:rFonts w:hint="eastAsia" w:ascii="黑体" w:hAnsi="黑体" w:eastAsia="黑体"/>
          <w:b/>
          <w:color w:val="auto"/>
          <w:sz w:val="48"/>
          <w:szCs w:val="48"/>
        </w:rPr>
        <w:t>中国石油和化工勘察设计协会团体标准</w:t>
      </w:r>
    </w:p>
    <w:p>
      <w:pPr>
        <w:tabs>
          <w:tab w:val="left" w:pos="9027"/>
        </w:tabs>
        <w:ind w:right="-2" w:rightChars="-1"/>
        <w:jc w:val="right"/>
        <w:rPr>
          <w:rFonts w:hint="eastAsia" w:ascii="Arial" w:hAnsi="Arial" w:cs="Arial"/>
          <w:b/>
          <w:color w:val="auto"/>
          <w:sz w:val="32"/>
          <w:szCs w:val="32"/>
        </w:rPr>
      </w:pPr>
      <w:r>
        <w:rPr>
          <w:rFonts w:hint="eastAsia" w:ascii="Arial" w:hAnsi="Arial" w:cs="Arial"/>
          <w:b/>
          <w:color w:val="auto"/>
          <w:sz w:val="32"/>
          <w:szCs w:val="32"/>
        </w:rPr>
        <mc:AlternateContent>
          <mc:Choice Requires="wps">
            <w:drawing>
              <wp:anchor distT="0" distB="0" distL="114300" distR="114300" simplePos="0" relativeHeight="251662336" behindDoc="0" locked="0" layoutInCell="1" allowOverlap="1">
                <wp:simplePos x="0" y="0"/>
                <wp:positionH relativeFrom="column">
                  <wp:posOffset>8890</wp:posOffset>
                </wp:positionH>
                <wp:positionV relativeFrom="paragraph">
                  <wp:posOffset>388620</wp:posOffset>
                </wp:positionV>
                <wp:extent cx="5400040" cy="0"/>
                <wp:effectExtent l="0" t="9525" r="10160" b="9525"/>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flipH="1" flipV="1">
                          <a:off x="0" y="0"/>
                          <a:ext cx="5400040" cy="0"/>
                        </a:xfrm>
                        <a:prstGeom prst="line">
                          <a:avLst/>
                        </a:prstGeom>
                        <a:noFill/>
                        <a:ln w="19050">
                          <a:solidFill>
                            <a:srgbClr val="000000"/>
                          </a:solidFill>
                          <a:round/>
                        </a:ln>
                        <a:effectLst/>
                      </wps:spPr>
                      <wps:bodyPr/>
                    </wps:wsp>
                  </a:graphicData>
                </a:graphic>
              </wp:anchor>
            </w:drawing>
          </mc:Choice>
          <mc:Fallback>
            <w:pict>
              <v:line id="_x0000_s1026" o:spid="_x0000_s1026" o:spt="20" style="position:absolute;left:0pt;flip:x y;margin-left:0.7pt;margin-top:30.6pt;height:0pt;width:425.2pt;z-index:251662336;mso-width-relative:page;mso-height-relative:page;" filled="f" stroked="t" coordsize="21600,21600" o:gfxdata="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9hQqtdIAAAAHAQAADwAAAAAAAAABACAAAAAi&#10;AAAAZHJzL2Rvd25yZXYueG1sUEsBAhQAFAAAAAgAh07iQLGsQnvXAQAAfwMAAA4AAAAAAAAAAQAg&#10;AAAAIQEAAGRycy9lMm9Eb2MueG1sUEsFBgAAAAAGAAYAWQEAAGoFAAAAAA==&#10;">
                <v:fill on="f" focussize="0,0"/>
                <v:stroke weight="1.5pt" color="#000000" joinstyle="round"/>
                <v:imagedata o:title=""/>
                <o:lock v:ext="edit" aspectratio="f"/>
              </v:line>
            </w:pict>
          </mc:Fallback>
        </mc:AlternateContent>
      </w:r>
      <w:r>
        <w:rPr>
          <w:rFonts w:hint="eastAsia" w:ascii="Arial" w:hAnsi="Arial" w:cs="Arial"/>
          <w:b/>
          <w:color w:val="auto"/>
          <w:sz w:val="32"/>
          <w:szCs w:val="32"/>
        </w:rPr>
        <w:t>T/HGJ 14866-YYYY</w:t>
      </w:r>
    </w:p>
    <w:p>
      <w:pPr>
        <w:tabs>
          <w:tab w:val="left" w:pos="9027"/>
        </w:tabs>
        <w:ind w:right="-2" w:rightChars="-1"/>
        <w:jc w:val="right"/>
        <w:rPr>
          <w:b/>
          <w:color w:val="auto"/>
          <w:sz w:val="32"/>
          <w:szCs w:val="32"/>
        </w:rPr>
      </w:pPr>
    </w:p>
    <w:p>
      <w:pPr>
        <w:snapToGrid w:val="0"/>
        <w:spacing w:before="624" w:beforeLines="200" w:line="240" w:lineRule="auto"/>
        <w:jc w:val="center"/>
        <w:rPr>
          <w:rFonts w:hint="eastAsia"/>
          <w:b/>
          <w:color w:val="auto"/>
          <w:sz w:val="44"/>
          <w:szCs w:val="44"/>
        </w:rPr>
      </w:pPr>
      <w:r>
        <w:rPr>
          <w:rFonts w:hint="eastAsia"/>
          <w:b/>
          <w:color w:val="auto"/>
          <w:sz w:val="44"/>
          <w:szCs w:val="44"/>
        </w:rPr>
        <w:t>石油化工企业接地电阻在线监测系统</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b/>
          <w:color w:val="auto"/>
          <w:sz w:val="44"/>
          <w:szCs w:val="44"/>
        </w:rPr>
      </w:pPr>
      <w:r>
        <w:rPr>
          <w:rFonts w:hint="eastAsia"/>
          <w:b/>
          <w:color w:val="auto"/>
          <w:sz w:val="44"/>
          <w:szCs w:val="44"/>
        </w:rPr>
        <w:t>设计规范</w:t>
      </w:r>
    </w:p>
    <w:p>
      <w:pPr>
        <w:snapToGrid w:val="0"/>
        <w:spacing w:before="624" w:beforeLines="200" w:after="100" w:afterAutospacing="1"/>
        <w:jc w:val="center"/>
        <w:rPr>
          <w:rFonts w:ascii="Times New Roman" w:hAnsi="Times New Roman" w:cs="Times New Roman"/>
          <w:b/>
          <w:color w:val="auto"/>
          <w:sz w:val="32"/>
          <w:szCs w:val="32"/>
        </w:rPr>
      </w:pPr>
      <w:bookmarkStart w:id="1" w:name="_Hlk167189800"/>
      <w:r>
        <w:rPr>
          <w:rFonts w:ascii="Times New Roman" w:hAnsi="Times New Roman" w:cs="Times New Roman"/>
          <w:b/>
          <w:color w:val="auto"/>
          <w:sz w:val="32"/>
          <w:szCs w:val="32"/>
        </w:rPr>
        <w:t xml:space="preserve">Design specifcation for the grounding resistance online monitoring system of </w:t>
      </w:r>
      <w:r>
        <w:rPr>
          <w:rFonts w:hint="eastAsia" w:ascii="Times New Roman" w:hAnsi="Times New Roman" w:cs="Times New Roman"/>
          <w:b/>
          <w:color w:val="auto"/>
          <w:sz w:val="32"/>
          <w:szCs w:val="32"/>
        </w:rPr>
        <w:t>petroleum and chemical</w:t>
      </w:r>
      <w:r>
        <w:rPr>
          <w:rFonts w:ascii="Times New Roman" w:hAnsi="Times New Roman" w:cs="Times New Roman"/>
          <w:b/>
          <w:color w:val="auto"/>
          <w:sz w:val="32"/>
          <w:szCs w:val="32"/>
        </w:rPr>
        <w:t xml:space="preserve"> enterprises</w:t>
      </w:r>
    </w:p>
    <w:bookmarkEnd w:id="1"/>
    <w:p>
      <w:pPr>
        <w:snapToGrid w:val="0"/>
        <w:spacing w:before="624" w:beforeLines="200" w:after="4056" w:afterLines="1300"/>
        <w:jc w:val="center"/>
        <w:rPr>
          <w:rFonts w:ascii="Times New Roman" w:hAnsi="Times New Roman" w:cs="Times New Roman"/>
          <w:b/>
          <w:color w:val="auto"/>
          <w:sz w:val="32"/>
          <w:szCs w:val="32"/>
        </w:rPr>
      </w:pPr>
      <w:r>
        <w:rPr>
          <w:rFonts w:hint="eastAsia" w:ascii="Times New Roman" w:hAnsi="Times New Roman" w:cs="Times New Roman"/>
          <w:b/>
          <w:color w:val="auto"/>
          <w:sz w:val="32"/>
          <w:szCs w:val="32"/>
        </w:rPr>
        <w:t>（征求意见稿）</w:t>
      </w:r>
    </w:p>
    <w:p>
      <w:pPr>
        <w:keepNext w:val="0"/>
        <w:keepLines w:val="0"/>
        <w:pageBreakBefore w:val="0"/>
        <w:widowControl w:val="0"/>
        <w:kinsoku/>
        <w:wordWrap/>
        <w:overflowPunct/>
        <w:topLinePunct w:val="0"/>
        <w:autoSpaceDE/>
        <w:autoSpaceDN/>
        <w:bidi w:val="0"/>
        <w:adjustRightInd/>
        <w:snapToGrid w:val="0"/>
        <w:jc w:val="center"/>
        <w:textAlignment w:val="auto"/>
        <w:rPr>
          <w:rFonts w:hint="eastAsia" w:ascii="Arial" w:hAnsi="Arial" w:cs="Arial"/>
          <w:b/>
          <w:color w:val="auto"/>
          <w:sz w:val="32"/>
          <w:szCs w:val="32"/>
        </w:rPr>
      </w:pPr>
      <w:r>
        <w:rPr>
          <w:rFonts w:hint="eastAsia" w:ascii="Arial" w:hAnsi="Arial" w:cs="Arial"/>
          <w:b/>
          <w:color w:val="auto"/>
          <w:sz w:val="32"/>
          <w:szCs w:val="32"/>
        </w:rPr>
        <w:t>20YY-MM-DD发布</w:t>
      </w:r>
      <w:r>
        <w:rPr>
          <w:rFonts w:hint="eastAsia" w:ascii="Arial" w:hAnsi="Arial" w:cs="Arial"/>
          <w:b/>
          <w:color w:val="auto"/>
          <w:sz w:val="32"/>
          <w:szCs w:val="32"/>
        </w:rPr>
        <w:tab/>
      </w:r>
      <w:r>
        <w:rPr>
          <w:rFonts w:hint="eastAsia" w:ascii="Arial" w:hAnsi="Arial" w:cs="Arial"/>
          <w:b/>
          <w:color w:val="auto"/>
          <w:sz w:val="32"/>
          <w:szCs w:val="32"/>
        </w:rPr>
        <w:tab/>
      </w:r>
      <w:r>
        <w:rPr>
          <w:rFonts w:hint="eastAsia" w:ascii="Arial" w:hAnsi="Arial" w:cs="Arial"/>
          <w:b/>
          <w:color w:val="auto"/>
          <w:sz w:val="32"/>
          <w:szCs w:val="32"/>
        </w:rPr>
        <w:tab/>
      </w:r>
      <w:r>
        <w:rPr>
          <w:rFonts w:hint="eastAsia" w:ascii="Arial" w:hAnsi="Arial" w:cs="Arial"/>
          <w:b/>
          <w:color w:val="auto"/>
          <w:sz w:val="32"/>
          <w:szCs w:val="32"/>
        </w:rPr>
        <w:tab/>
      </w:r>
      <w:r>
        <w:rPr>
          <w:rFonts w:hint="eastAsia" w:ascii="Arial" w:hAnsi="Arial" w:cs="Arial"/>
          <w:b/>
          <w:color w:val="auto"/>
          <w:sz w:val="32"/>
          <w:szCs w:val="32"/>
        </w:rPr>
        <w:tab/>
      </w:r>
      <w:r>
        <w:rPr>
          <w:rFonts w:hint="eastAsia" w:ascii="Arial" w:hAnsi="Arial" w:cs="Arial"/>
          <w:b/>
          <w:color w:val="auto"/>
          <w:sz w:val="32"/>
          <w:szCs w:val="32"/>
        </w:rPr>
        <w:tab/>
      </w:r>
      <w:r>
        <w:rPr>
          <w:rFonts w:hint="eastAsia" w:ascii="Arial" w:hAnsi="Arial" w:cs="Arial"/>
          <w:b/>
          <w:color w:val="auto"/>
          <w:sz w:val="32"/>
          <w:szCs w:val="32"/>
        </w:rPr>
        <w:tab/>
      </w:r>
      <w:r>
        <w:rPr>
          <w:rFonts w:hint="eastAsia" w:ascii="Arial" w:hAnsi="Arial" w:cs="Arial"/>
          <w:b/>
          <w:color w:val="auto"/>
          <w:sz w:val="32"/>
          <w:szCs w:val="32"/>
        </w:rPr>
        <w:t>20YY-MM-DD实施</w:t>
      </w:r>
    </w:p>
    <w:p>
      <w:pPr>
        <w:snapToGrid w:val="0"/>
        <w:rPr>
          <w:rFonts w:ascii="Elephant" w:hAnsi="Elephant"/>
          <w:b/>
          <w:color w:val="auto"/>
          <w:sz w:val="32"/>
          <w:szCs w:val="32"/>
        </w:rPr>
      </w:pPr>
      <w:r>
        <w:rPr>
          <w:rFonts w:ascii="Elephant" w:hAnsi="Elephant"/>
          <w:b/>
          <w:color w:val="auto"/>
          <w:sz w:val="32"/>
          <w:szCs w:val="32"/>
        </w:rPr>
        <mc:AlternateContent>
          <mc:Choice Requires="wps">
            <w:drawing>
              <wp:anchor distT="0" distB="0" distL="114300" distR="114300" simplePos="0" relativeHeight="251663360" behindDoc="0" locked="0" layoutInCell="1" allowOverlap="1">
                <wp:simplePos x="0" y="0"/>
                <wp:positionH relativeFrom="column">
                  <wp:posOffset>18415</wp:posOffset>
                </wp:positionH>
                <wp:positionV relativeFrom="paragraph">
                  <wp:posOffset>137160</wp:posOffset>
                </wp:positionV>
                <wp:extent cx="5400040" cy="0"/>
                <wp:effectExtent l="0" t="9525" r="10160" b="9525"/>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flipH="1" flipV="1">
                          <a:off x="0" y="0"/>
                          <a:ext cx="5400040" cy="0"/>
                        </a:xfrm>
                        <a:prstGeom prst="line">
                          <a:avLst/>
                        </a:prstGeom>
                        <a:noFill/>
                        <a:ln w="19050">
                          <a:solidFill>
                            <a:srgbClr val="000000"/>
                          </a:solidFill>
                          <a:round/>
                        </a:ln>
                        <a:effectLst/>
                      </wps:spPr>
                      <wps:bodyPr/>
                    </wps:wsp>
                  </a:graphicData>
                </a:graphic>
              </wp:anchor>
            </w:drawing>
          </mc:Choice>
          <mc:Fallback>
            <w:pict>
              <v:line id="_x0000_s1026" o:spid="_x0000_s1026" o:spt="20" style="position:absolute;left:0pt;flip:x y;margin-left:1.45pt;margin-top:10.8pt;height:0pt;width:425.2pt;z-index:251663360;mso-width-relative:page;mso-height-relative:page;" filled="f" stroked="t" coordsize="21600,21600" o:gfxdata="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u21Vo1AAAAAcBAAAPAAAAAAAAAAEAIAAA&#10;ACIAAABkcnMvZG93bnJldi54bWxQSwECFAAUAAAACACHTuJAYJbA/tcBAAB/AwAADgAAAAAAAAAB&#10;ACAAAAAjAQAAZHJzL2Uyb0RvYy54bWxQSwUGAAAAAAYABgBZAQAAbAUAAAAA&#10;">
                <v:fill on="f" focussize="0,0"/>
                <v:stroke weight="1.5pt" color="#000000" joinstyle="round"/>
                <v:imagedata o:title=""/>
                <o:lock v:ext="edit" aspectratio="f"/>
              </v:line>
            </w:pict>
          </mc:Fallback>
        </mc:AlternateContent>
      </w:r>
    </w:p>
    <w:p>
      <w:pPr>
        <w:snapToGrid w:val="0"/>
        <w:jc w:val="center"/>
        <w:rPr>
          <w:rFonts w:ascii="黑体" w:hAnsi="黑体" w:eastAsia="黑体"/>
          <w:b/>
          <w:color w:val="auto"/>
          <w:sz w:val="32"/>
          <w:szCs w:val="32"/>
        </w:rPr>
        <w:sectPr>
          <w:footerReference r:id="rId5" w:type="first"/>
          <w:footerReference r:id="rId3" w:type="default"/>
          <w:footerReference r:id="rId4" w:type="even"/>
          <w:pgSz w:w="11907" w:h="16840"/>
          <w:pgMar w:top="1440" w:right="1797" w:bottom="1440" w:left="1797" w:header="851" w:footer="794" w:gutter="0"/>
          <w:pgNumType w:start="1"/>
          <w:cols w:space="425" w:num="1"/>
          <w:titlePg/>
          <w:docGrid w:type="lines" w:linePitch="312" w:charSpace="0"/>
        </w:sectPr>
      </w:pPr>
      <w:r>
        <w:rPr>
          <w:rFonts w:hint="eastAsia" w:ascii="黑体" w:hAnsi="黑体" w:eastAsia="黑体"/>
          <w:b/>
          <w:color w:val="auto"/>
          <w:sz w:val="32"/>
          <w:szCs w:val="32"/>
        </w:rPr>
        <w:t>中国石油和化工勘察设计协会  发布</w:t>
      </w:r>
    </w:p>
    <w:bookmarkEnd w:id="0"/>
    <w:p>
      <w:pPr>
        <w:keepNext w:val="0"/>
        <w:keepLines w:val="0"/>
        <w:pageBreakBefore/>
        <w:widowControl w:val="0"/>
        <w:kinsoku/>
        <w:wordWrap/>
        <w:overflowPunct/>
        <w:topLinePunct w:val="0"/>
        <w:autoSpaceDE w:val="0"/>
        <w:autoSpaceDN w:val="0"/>
        <w:bidi w:val="0"/>
        <w:adjustRightInd/>
        <w:snapToGrid/>
        <w:spacing w:before="625" w:beforeLines="200" w:line="360" w:lineRule="auto"/>
        <w:jc w:val="center"/>
        <w:textAlignment w:val="bottom"/>
        <w:rPr>
          <w:rFonts w:hint="eastAsia" w:ascii="宋体" w:hAnsi="宋体" w:eastAsia="宋体" w:cs="宋体"/>
          <w:b w:val="0"/>
          <w:color w:val="000000" w:themeColor="text1"/>
          <w:w w:val="100"/>
          <w:sz w:val="36"/>
          <w:szCs w:val="36"/>
          <w:highlight w:val="none"/>
          <w14:textFill>
            <w14:solidFill>
              <w14:schemeClr w14:val="tx1"/>
            </w14:solidFill>
          </w14:textFill>
        </w:rPr>
      </w:pPr>
      <w:bookmarkStart w:id="2" w:name="_前_言"/>
      <w:bookmarkEnd w:id="2"/>
      <w:r>
        <w:rPr>
          <w:rFonts w:hint="eastAsia" w:ascii="黑体" w:hAnsi="黑体" w:eastAsia="黑体"/>
          <w:b/>
          <w:sz w:val="44"/>
          <w:szCs w:val="44"/>
        </w:rPr>
        <w:t>中国石油和化工勘察设计协会团体标准</w:t>
      </w:r>
    </w:p>
    <w:p>
      <w:pPr>
        <w:spacing w:line="360" w:lineRule="auto"/>
        <w:rPr>
          <w:rFonts w:hint="eastAsia"/>
          <w:color w:val="000000" w:themeColor="text1"/>
          <w:szCs w:val="21"/>
          <w:highlight w:val="none"/>
          <w14:textFill>
            <w14:solidFill>
              <w14:schemeClr w14:val="tx1"/>
            </w14:solidFill>
          </w14:textFill>
        </w:rPr>
      </w:pPr>
    </w:p>
    <w:p>
      <w:pPr>
        <w:spacing w:line="360" w:lineRule="auto"/>
        <w:rPr>
          <w:rFonts w:hint="eastAsia"/>
          <w:color w:val="000000" w:themeColor="text1"/>
          <w:szCs w:val="21"/>
          <w:highlight w:val="none"/>
          <w14:textFill>
            <w14:solidFill>
              <w14:schemeClr w14:val="tx1"/>
            </w14:solidFill>
          </w14:textFill>
        </w:rPr>
      </w:pPr>
    </w:p>
    <w:p>
      <w:pPr>
        <w:spacing w:line="360" w:lineRule="auto"/>
        <w:rPr>
          <w:rFonts w:hint="eastAsia"/>
          <w:color w:val="000000" w:themeColor="text1"/>
          <w:szCs w:val="21"/>
          <w:highlight w:val="none"/>
          <w14:textFill>
            <w14:solidFill>
              <w14:schemeClr w14:val="tx1"/>
            </w14:solidFill>
          </w14:textFill>
        </w:rPr>
      </w:pPr>
    </w:p>
    <w:p>
      <w:pPr>
        <w:snapToGrid w:val="0"/>
        <w:spacing w:line="240" w:lineRule="auto"/>
        <w:jc w:val="center"/>
        <w:rPr>
          <w:rFonts w:hint="eastAsia"/>
          <w:b/>
          <w:sz w:val="44"/>
          <w:szCs w:val="44"/>
        </w:rPr>
      </w:pPr>
      <w:r>
        <w:rPr>
          <w:rFonts w:hint="eastAsia"/>
          <w:b/>
          <w:sz w:val="44"/>
          <w:szCs w:val="44"/>
        </w:rPr>
        <w:t>石油化工企业接地电阻在线监测系统</w:t>
      </w:r>
    </w:p>
    <w:p>
      <w:pPr>
        <w:snapToGrid w:val="0"/>
        <w:spacing w:line="240" w:lineRule="auto"/>
        <w:jc w:val="center"/>
        <w:rPr>
          <w:b/>
          <w:sz w:val="44"/>
          <w:szCs w:val="44"/>
        </w:rPr>
      </w:pPr>
      <w:r>
        <w:rPr>
          <w:rFonts w:hint="eastAsia"/>
          <w:b/>
          <w:sz w:val="44"/>
          <w:szCs w:val="44"/>
        </w:rPr>
        <w:t>设计规范</w:t>
      </w:r>
    </w:p>
    <w:p>
      <w:pPr>
        <w:pStyle w:val="56"/>
        <w:keepNext w:val="0"/>
        <w:keepLines w:val="0"/>
        <w:pageBreakBefore w:val="0"/>
        <w:framePr w:w="0" w:hRule="auto" w:wrap="auto" w:vAnchor="margin" w:hAnchor="text" w:xAlign="left" w:yAlign="inline"/>
        <w:widowControl w:val="0"/>
        <w:kinsoku/>
        <w:wordWrap/>
        <w:overflowPunct/>
        <w:topLinePunct w:val="0"/>
        <w:autoSpaceDE/>
        <w:autoSpaceDN/>
        <w:bidi w:val="0"/>
        <w:adjustRightInd/>
        <w:snapToGrid/>
        <w:spacing w:after="313" w:afterLines="100" w:line="240" w:lineRule="auto"/>
        <w:jc w:val="center"/>
        <w:textAlignment w:val="center"/>
        <w:rPr>
          <w:rFonts w:hint="eastAsia"/>
          <w:color w:val="000000" w:themeColor="text1"/>
          <w:spacing w:val="100"/>
          <w:szCs w:val="52"/>
          <w:highlight w:val="none"/>
          <w14:textFill>
            <w14:solidFill>
              <w14:schemeClr w14:val="tx1"/>
            </w14:solidFill>
          </w14:textFill>
        </w:rPr>
      </w:pPr>
    </w:p>
    <w:p>
      <w:pPr>
        <w:snapToGrid w:val="0"/>
        <w:spacing w:beforeLines="200" w:after="100" w:afterAutospacing="1"/>
        <w:jc w:val="center"/>
        <w:rPr>
          <w:b/>
          <w:sz w:val="32"/>
        </w:rPr>
      </w:pPr>
      <w:r>
        <w:rPr>
          <w:rFonts w:ascii="Times New Roman" w:hAnsi="Times New Roman" w:cs="Times New Roman"/>
          <w:b/>
          <w:color w:val="auto"/>
          <w:sz w:val="32"/>
          <w:szCs w:val="32"/>
        </w:rPr>
        <w:t xml:space="preserve">Design specifcation for the grounding resistance online monitoring system of </w:t>
      </w:r>
      <w:r>
        <w:rPr>
          <w:rFonts w:hint="eastAsia" w:ascii="Times New Roman" w:hAnsi="Times New Roman" w:cs="Times New Roman"/>
          <w:b/>
          <w:color w:val="auto"/>
          <w:sz w:val="32"/>
          <w:szCs w:val="32"/>
        </w:rPr>
        <w:t>petroleum and chemical</w:t>
      </w:r>
      <w:r>
        <w:rPr>
          <w:rFonts w:ascii="Times New Roman" w:hAnsi="Times New Roman" w:cs="Times New Roman"/>
          <w:b/>
          <w:color w:val="auto"/>
          <w:sz w:val="32"/>
          <w:szCs w:val="32"/>
        </w:rPr>
        <w:t xml:space="preserve"> enterprises</w:t>
      </w:r>
    </w:p>
    <w:p>
      <w:pPr>
        <w:pStyle w:val="57"/>
        <w:spacing w:before="0" w:line="360" w:lineRule="auto"/>
        <w:rPr>
          <w:rFonts w:hint="eastAsia" w:eastAsia="宋体"/>
          <w:color w:val="000000" w:themeColor="text1"/>
          <w:sz w:val="32"/>
          <w:szCs w:val="32"/>
          <w:highlight w:val="none"/>
          <w14:textFill>
            <w14:solidFill>
              <w14:schemeClr w14:val="tx1"/>
            </w14:solidFill>
          </w14:textFill>
        </w:rPr>
      </w:pPr>
    </w:p>
    <w:p>
      <w:pPr>
        <w:pStyle w:val="57"/>
        <w:keepNext w:val="0"/>
        <w:keepLines w:val="0"/>
        <w:pageBreakBefore w:val="0"/>
        <w:widowControl w:val="0"/>
        <w:kinsoku/>
        <w:wordWrap/>
        <w:overflowPunct/>
        <w:topLinePunct w:val="0"/>
        <w:autoSpaceDE/>
        <w:autoSpaceDN/>
        <w:bidi w:val="0"/>
        <w:adjustRightInd/>
        <w:snapToGrid/>
        <w:spacing w:before="0" w:line="240" w:lineRule="auto"/>
        <w:textAlignment w:val="auto"/>
        <w:rPr>
          <w:rFonts w:hint="eastAsia" w:ascii="Times New Roman" w:hAnsi="Times New Roman" w:eastAsia="宋体" w:cs="Times New Roman"/>
          <w:b/>
          <w:bCs/>
          <w:color w:val="000000" w:themeColor="text1"/>
          <w:kern w:val="2"/>
          <w:sz w:val="32"/>
          <w:szCs w:val="32"/>
          <w:highlight w:val="none"/>
          <w:lang w:val="en-US" w:eastAsia="zh-CN" w:bidi="ar-SA"/>
          <w14:textFill>
            <w14:solidFill>
              <w14:schemeClr w14:val="tx1"/>
            </w14:solidFill>
          </w14:textFill>
        </w:rPr>
      </w:pPr>
      <w:r>
        <w:rPr>
          <w:rFonts w:hint="eastAsia" w:ascii="Times New Roman" w:hAnsi="Times New Roman" w:eastAsia="宋体" w:cs="Times New Roman"/>
          <w:b/>
          <w:bCs/>
          <w:color w:val="000000" w:themeColor="text1"/>
          <w:kern w:val="2"/>
          <w:sz w:val="32"/>
          <w:szCs w:val="32"/>
          <w:highlight w:val="none"/>
          <w:lang w:val="en-US" w:eastAsia="zh-CN" w:bidi="ar-SA"/>
          <w14:textFill>
            <w14:solidFill>
              <w14:schemeClr w14:val="tx1"/>
            </w14:solidFill>
          </w14:textFill>
        </w:rPr>
        <w:t>T/HGJ 1486</w:t>
      </w:r>
      <w:r>
        <w:rPr>
          <w:rFonts w:hint="eastAsia" w:ascii="Times New Roman" w:hAnsi="Times New Roman" w:cs="Times New Roman"/>
          <w:b/>
          <w:bCs/>
          <w:color w:val="000000" w:themeColor="text1"/>
          <w:kern w:val="2"/>
          <w:sz w:val="32"/>
          <w:szCs w:val="32"/>
          <w:highlight w:val="none"/>
          <w:lang w:val="en-US" w:eastAsia="zh-CN" w:bidi="ar-SA"/>
          <w14:textFill>
            <w14:solidFill>
              <w14:schemeClr w14:val="tx1"/>
            </w14:solidFill>
          </w14:textFill>
        </w:rPr>
        <w:t>6</w:t>
      </w:r>
      <w:r>
        <w:rPr>
          <w:rFonts w:hint="eastAsia" w:ascii="Times New Roman" w:hAnsi="Times New Roman" w:eastAsia="宋体" w:cs="Times New Roman"/>
          <w:b/>
          <w:bCs/>
          <w:color w:val="000000" w:themeColor="text1"/>
          <w:kern w:val="2"/>
          <w:sz w:val="32"/>
          <w:szCs w:val="32"/>
          <w:highlight w:val="none"/>
          <w:lang w:val="en-US" w:eastAsia="zh-CN" w:bidi="ar-SA"/>
          <w14:textFill>
            <w14:solidFill>
              <w14:schemeClr w14:val="tx1"/>
            </w14:solidFill>
          </w14:textFill>
        </w:rPr>
        <w:t>-YYYY</w:t>
      </w:r>
    </w:p>
    <w:p>
      <w:pPr>
        <w:pStyle w:val="56"/>
        <w:framePr w:w="0" w:hRule="auto" w:wrap="auto" w:vAnchor="margin" w:hAnchor="text" w:xAlign="left" w:yAlign="inline"/>
        <w:spacing w:line="360" w:lineRule="auto"/>
        <w:rPr>
          <w:rFonts w:hint="eastAsia"/>
          <w:color w:val="000000" w:themeColor="text1"/>
          <w:spacing w:val="100"/>
          <w:szCs w:val="52"/>
          <w:highlight w:val="none"/>
          <w14:textFill>
            <w14:solidFill>
              <w14:schemeClr w14:val="tx1"/>
            </w14:solidFill>
          </w14:textFill>
        </w:rPr>
      </w:pPr>
    </w:p>
    <w:p>
      <w:pPr>
        <w:pStyle w:val="56"/>
        <w:framePr w:w="0" w:hRule="auto" w:wrap="auto" w:vAnchor="margin" w:hAnchor="text" w:xAlign="left" w:yAlign="inline"/>
        <w:spacing w:line="360" w:lineRule="auto"/>
        <w:rPr>
          <w:rFonts w:hint="eastAsia"/>
          <w:color w:val="000000" w:themeColor="text1"/>
          <w:spacing w:val="100"/>
          <w:szCs w:val="52"/>
          <w:highlight w:val="none"/>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主编单位：中国寰球工程有限公司北京分公司</w:t>
      </w:r>
    </w:p>
    <w:p>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val="en-US" w:eastAsia="zh-CN"/>
          <w14:textFill>
            <w14:solidFill>
              <w14:schemeClr w14:val="tx1"/>
            </w14:solidFill>
          </w14:textFill>
        </w:rPr>
        <w:t xml:space="preserve">          天津市中力神盾电子科技有限公司</w:t>
      </w:r>
    </w:p>
    <w:p>
      <w:pPr>
        <w:keepNext w:val="0"/>
        <w:keepLines w:val="0"/>
        <w:pageBreakBefore w:val="0"/>
        <w:widowControl w:val="0"/>
        <w:kinsoku/>
        <w:wordWrap/>
        <w:overflowPunct/>
        <w:topLinePunct w:val="0"/>
        <w:autoSpaceDE/>
        <w:autoSpaceDN/>
        <w:bidi w:val="0"/>
        <w:adjustRightInd/>
        <w:snapToGrid/>
        <w:spacing w:line="360" w:lineRule="auto"/>
        <w:ind w:firstLine="1400" w:firstLineChars="500"/>
        <w:jc w:val="both"/>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批准部门：中国石油和化工勘察设计协会</w:t>
      </w:r>
    </w:p>
    <w:p>
      <w:pPr>
        <w:keepNext w:val="0"/>
        <w:keepLines w:val="0"/>
        <w:pageBreakBefore w:val="0"/>
        <w:widowControl w:val="0"/>
        <w:kinsoku/>
        <w:wordWrap/>
        <w:overflowPunct/>
        <w:topLinePunct w:val="0"/>
        <w:autoSpaceDE/>
        <w:autoSpaceDN/>
        <w:bidi w:val="0"/>
        <w:adjustRightInd/>
        <w:snapToGrid/>
        <w:spacing w:line="360" w:lineRule="auto"/>
        <w:ind w:left="0" w:leftChars="0" w:firstLine="1400" w:firstLineChars="500"/>
        <w:jc w:val="both"/>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实施日期：20XX年XX月XX日</w:t>
      </w:r>
    </w:p>
    <w:p>
      <w:pPr>
        <w:spacing w:line="360" w:lineRule="auto"/>
        <w:rPr>
          <w:rFonts w:hint="eastAsia" w:eastAsia="宋体"/>
          <w:color w:val="000000" w:themeColor="text1"/>
          <w:sz w:val="28"/>
          <w:szCs w:val="28"/>
          <w:highlight w:val="none"/>
          <w:lang w:eastAsia="zh-CN"/>
          <w14:textFill>
            <w14:solidFill>
              <w14:schemeClr w14:val="tx1"/>
            </w14:solidFill>
          </w14:textFill>
        </w:rPr>
      </w:pPr>
    </w:p>
    <w:p>
      <w:pPr>
        <w:spacing w:line="360" w:lineRule="auto"/>
        <w:rPr>
          <w:rFonts w:hint="eastAsia"/>
          <w:color w:val="000000" w:themeColor="text1"/>
          <w:sz w:val="28"/>
          <w:szCs w:val="28"/>
          <w:highlight w:val="none"/>
          <w14:textFill>
            <w14:solidFill>
              <w14:schemeClr w14:val="tx1"/>
            </w14:solidFill>
          </w14:textFill>
        </w:rPr>
      </w:pPr>
    </w:p>
    <w:p>
      <w:pPr>
        <w:spacing w:line="360" w:lineRule="auto"/>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×××出版社</w:t>
      </w:r>
    </w:p>
    <w:p>
      <w:pPr>
        <w:spacing w:line="360" w:lineRule="auto"/>
        <w:jc w:val="center"/>
        <w:rPr>
          <w:rFonts w:hint="eastAsia" w:ascii="仿宋_GB2312" w:eastAsia="仿宋_GB2312"/>
          <w:color w:val="000000" w:themeColor="text1"/>
          <w:sz w:val="32"/>
          <w:szCs w:val="32"/>
          <w:highlight w:val="none"/>
          <w14:textFill>
            <w14:solidFill>
              <w14:schemeClr w14:val="tx1"/>
            </w14:solidFill>
          </w14:textFill>
        </w:rPr>
        <w:sectPr>
          <w:footerReference r:id="rId6" w:type="default"/>
          <w:pgSz w:w="11907" w:h="16840"/>
          <w:pgMar w:top="1440" w:right="1797" w:bottom="1440" w:left="1797" w:header="851" w:footer="992" w:gutter="0"/>
          <w:pgNumType w:fmt="decimal" w:start="1"/>
          <w:cols w:space="425" w:num="1"/>
          <w:docGrid w:type="lines" w:linePitch="312" w:charSpace="0"/>
        </w:sectPr>
      </w:pPr>
      <w:r>
        <w:rPr>
          <w:rFonts w:hint="eastAsia"/>
          <w:color w:val="000000" w:themeColor="text1"/>
          <w:sz w:val="28"/>
          <w:szCs w:val="28"/>
          <w:highlight w:val="none"/>
          <w14:textFill>
            <w14:solidFill>
              <w14:schemeClr w14:val="tx1"/>
            </w14:solidFill>
          </w14:textFill>
        </w:rPr>
        <w:t xml:space="preserve">20XX </w:t>
      </w:r>
      <w:r>
        <w:rPr>
          <w:color w:val="000000" w:themeColor="text1"/>
          <w:sz w:val="28"/>
          <w:szCs w:val="28"/>
          <w:highlight w:val="none"/>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w:t>
      </w:r>
    </w:p>
    <w:p>
      <w:pPr>
        <w:spacing w:before="312" w:beforeLines="100" w:after="312" w:afterLines="100"/>
        <w:jc w:val="center"/>
        <w:rPr>
          <w:rFonts w:hint="eastAsia" w:ascii="宋体" w:hAnsi="宋体"/>
          <w:b w:val="0"/>
          <w:bCs/>
          <w:color w:val="000000" w:themeColor="text1"/>
          <w:sz w:val="32"/>
          <w:szCs w:val="32"/>
          <w14:textFill>
            <w14:solidFill>
              <w14:schemeClr w14:val="tx1"/>
            </w14:solidFill>
          </w14:textFill>
        </w:rPr>
      </w:pPr>
      <w:r>
        <w:rPr>
          <w:rFonts w:hint="eastAsia" w:ascii="黑体" w:hAnsi="黑体" w:eastAsia="黑体" w:cs="Arial"/>
          <w:b w:val="0"/>
          <w:bCs/>
          <w:color w:val="auto"/>
          <w:sz w:val="32"/>
          <w:szCs w:val="32"/>
        </w:rPr>
        <w:t xml:space="preserve">前 </w:t>
      </w:r>
      <w:r>
        <w:rPr>
          <w:rFonts w:ascii="黑体" w:hAnsi="黑体" w:eastAsia="黑体" w:cs="Arial"/>
          <w:b w:val="0"/>
          <w:bCs/>
          <w:color w:val="auto"/>
          <w:sz w:val="32"/>
          <w:szCs w:val="32"/>
        </w:rPr>
        <w:t xml:space="preserve">  </w:t>
      </w:r>
      <w:r>
        <w:rPr>
          <w:rFonts w:hint="eastAsia" w:ascii="黑体" w:hAnsi="黑体" w:eastAsia="黑体" w:cs="Arial"/>
          <w:b w:val="0"/>
          <w:bCs/>
          <w:color w:val="auto"/>
          <w:sz w:val="32"/>
          <w:szCs w:val="32"/>
        </w:rPr>
        <w:t>言</w:t>
      </w:r>
    </w:p>
    <w:p>
      <w:pPr>
        <w:pStyle w:val="49"/>
        <w:spacing w:line="360" w:lineRule="auto"/>
        <w:ind w:firstLine="480"/>
        <w:rPr>
          <w:rFonts w:hint="eastAsia" w:hAnsi="宋体" w:eastAsia="宋体" w:cs="宋体"/>
          <w:color w:val="000000" w:themeColor="text1"/>
          <w:sz w:val="24"/>
          <w:szCs w:val="24"/>
          <w:lang w:eastAsia="zh-CN"/>
          <w14:textFill>
            <w14:solidFill>
              <w14:schemeClr w14:val="tx1"/>
            </w14:solidFill>
          </w14:textFill>
        </w:rPr>
      </w:pPr>
      <w:r>
        <w:rPr>
          <w:rFonts w:hint="eastAsia" w:hAnsi="宋体" w:eastAsia="宋体" w:cs="宋体"/>
          <w:color w:val="000000" w:themeColor="text1"/>
          <w:sz w:val="24"/>
          <w:szCs w:val="24"/>
          <w:lang w:val="en-US" w:eastAsia="zh-CN"/>
          <w14:textFill>
            <w14:solidFill>
              <w14:schemeClr w14:val="tx1"/>
            </w14:solidFill>
          </w14:textFill>
        </w:rPr>
        <w:t>本规范</w:t>
      </w:r>
      <w:r>
        <w:rPr>
          <w:rFonts w:hint="eastAsia" w:hAnsi="宋体" w:eastAsia="宋体" w:cs="宋体"/>
          <w:color w:val="000000" w:themeColor="text1"/>
          <w:sz w:val="24"/>
          <w:szCs w:val="24"/>
          <w14:textFill>
            <w14:solidFill>
              <w14:schemeClr w14:val="tx1"/>
            </w14:solidFill>
          </w14:textFill>
        </w:rPr>
        <w:t>根据</w:t>
      </w:r>
      <w:r>
        <w:rPr>
          <w:rFonts w:hint="default" w:ascii="Times New Roman" w:hAnsi="Times New Roman" w:eastAsia="宋体" w:cs="Times New Roman"/>
          <w:color w:val="000000" w:themeColor="text1"/>
          <w:sz w:val="24"/>
          <w:szCs w:val="24"/>
          <w14:textFill>
            <w14:solidFill>
              <w14:schemeClr w14:val="tx1"/>
            </w14:solidFill>
          </w14:textFill>
        </w:rPr>
        <w:t>中国石油和化工勘察设计协会《关于印发2024年第4批协会团体标准制修订计划的通知》（中石化勘设协[2024]76号）的要求，中国石油和化工勘察设计协会</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电气</w:t>
      </w:r>
      <w:r>
        <w:rPr>
          <w:rFonts w:hint="default" w:ascii="Times New Roman" w:hAnsi="Times New Roman" w:eastAsia="宋体" w:cs="Times New Roman"/>
          <w:color w:val="000000" w:themeColor="text1"/>
          <w:sz w:val="24"/>
          <w:szCs w:val="24"/>
          <w14:textFill>
            <w14:solidFill>
              <w14:schemeClr w14:val="tx1"/>
            </w14:solidFill>
          </w14:textFill>
        </w:rPr>
        <w:t>设计专业委员会负责组织</w:t>
      </w:r>
      <w:r>
        <w:rPr>
          <w:rFonts w:hint="default" w:ascii="Times New Roman" w:hAnsi="Times New Roman" w:eastAsia="宋体"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t>由中国</w:t>
      </w:r>
      <w:r>
        <w:rPr>
          <w:rFonts w:hint="eastAsia" w:hAnsi="宋体" w:eastAsia="宋体" w:cs="宋体"/>
          <w:color w:val="000000" w:themeColor="text1"/>
          <w:sz w:val="24"/>
          <w:szCs w:val="24"/>
          <w14:textFill>
            <w14:solidFill>
              <w14:schemeClr w14:val="tx1"/>
            </w14:solidFill>
          </w14:textFill>
        </w:rPr>
        <w:t>寰球工程有限公司</w:t>
      </w:r>
      <w:r>
        <w:rPr>
          <w:rFonts w:hint="eastAsia" w:hAnsi="宋体" w:eastAsia="宋体" w:cs="宋体"/>
          <w:color w:val="000000" w:themeColor="text1"/>
          <w:sz w:val="24"/>
          <w:szCs w:val="24"/>
          <w:lang w:val="en-US" w:eastAsia="zh-CN"/>
          <w14:textFill>
            <w14:solidFill>
              <w14:schemeClr w14:val="tx1"/>
            </w14:solidFill>
          </w14:textFill>
        </w:rPr>
        <w:t>北京分公司</w:t>
      </w:r>
      <w:r>
        <w:rPr>
          <w:rFonts w:hint="eastAsia" w:hAnsi="宋体" w:eastAsia="宋体" w:cs="宋体"/>
          <w:color w:val="000000" w:themeColor="text1"/>
          <w:sz w:val="24"/>
          <w:szCs w:val="24"/>
          <w14:textFill>
            <w14:solidFill>
              <w14:schemeClr w14:val="tx1"/>
            </w14:solidFill>
          </w14:textFill>
        </w:rPr>
        <w:t>和天津市</w:t>
      </w:r>
      <w:r>
        <w:rPr>
          <w:rFonts w:hint="eastAsia" w:hAnsi="宋体" w:eastAsia="宋体" w:cs="宋体"/>
          <w:color w:val="000000" w:themeColor="text1"/>
          <w:sz w:val="24"/>
          <w:szCs w:val="24"/>
          <w:lang w:val="en-US" w:eastAsia="zh-CN"/>
          <w14:textFill>
            <w14:solidFill>
              <w14:schemeClr w14:val="tx1"/>
            </w14:solidFill>
          </w14:textFill>
        </w:rPr>
        <w:t>中力</w:t>
      </w:r>
      <w:r>
        <w:rPr>
          <w:rFonts w:hint="eastAsia" w:hAnsi="宋体" w:eastAsia="宋体" w:cs="宋体"/>
          <w:color w:val="000000" w:themeColor="text1"/>
          <w:sz w:val="24"/>
          <w:szCs w:val="24"/>
          <w14:textFill>
            <w14:solidFill>
              <w14:schemeClr w14:val="tx1"/>
            </w14:solidFill>
          </w14:textFill>
        </w:rPr>
        <w:t>神盾电子科技有限公司会同有关单位组成规范</w:t>
      </w:r>
      <w:r>
        <w:rPr>
          <w:rFonts w:hint="eastAsia" w:hAnsi="宋体" w:eastAsia="宋体" w:cs="宋体"/>
          <w:color w:val="000000" w:themeColor="text1"/>
          <w:sz w:val="24"/>
          <w:szCs w:val="24"/>
          <w:lang w:val="en-US" w:eastAsia="zh-CN"/>
          <w14:textFill>
            <w14:solidFill>
              <w14:schemeClr w14:val="tx1"/>
            </w14:solidFill>
          </w14:textFill>
        </w:rPr>
        <w:t>编制</w:t>
      </w:r>
      <w:r>
        <w:rPr>
          <w:rFonts w:hint="eastAsia" w:hAnsi="宋体" w:eastAsia="宋体" w:cs="宋体"/>
          <w:color w:val="000000" w:themeColor="text1"/>
          <w:sz w:val="24"/>
          <w:szCs w:val="24"/>
          <w14:textFill>
            <w14:solidFill>
              <w14:schemeClr w14:val="tx1"/>
            </w14:solidFill>
          </w14:textFill>
        </w:rPr>
        <w:t>组共同编制完成</w:t>
      </w:r>
      <w:r>
        <w:rPr>
          <w:rFonts w:hint="eastAsia" w:hAnsi="宋体" w:eastAsia="宋体" w:cs="宋体"/>
          <w:color w:val="000000" w:themeColor="text1"/>
          <w:sz w:val="24"/>
          <w:szCs w:val="24"/>
          <w:lang w:eastAsia="zh-CN"/>
          <w14:textFill>
            <w14:solidFill>
              <w14:schemeClr w14:val="tx1"/>
            </w14:solidFill>
          </w14:textFill>
        </w:rPr>
        <w:t>。</w:t>
      </w:r>
    </w:p>
    <w:p>
      <w:pPr>
        <w:pStyle w:val="49"/>
        <w:spacing w:line="360" w:lineRule="auto"/>
        <w:ind w:firstLine="480"/>
        <w:rPr>
          <w:rFonts w:hint="default" w:ascii="Times New Roman" w:hAnsi="Times New Roman" w:eastAsia="宋体" w:cs="Times New Roman"/>
          <w:color w:val="000000" w:themeColor="text1"/>
          <w:sz w:val="24"/>
          <w:szCs w:val="24"/>
          <w:lang w:eastAsia="zh-CN"/>
          <w14:textFill>
            <w14:solidFill>
              <w14:schemeClr w14:val="tx1"/>
            </w14:solidFill>
          </w14:textFill>
        </w:rPr>
      </w:pPr>
      <w:r>
        <w:rPr>
          <w:rFonts w:hint="default" w:ascii="Times New Roman" w:hAnsi="Times New Roman" w:eastAsia="宋体" w:cs="Times New Roman"/>
          <w:color w:val="000000" w:themeColor="text1"/>
          <w:sz w:val="24"/>
          <w:szCs w:val="24"/>
          <w:lang w:eastAsia="zh-CN"/>
          <w14:textFill>
            <w14:solidFill>
              <w14:schemeClr w14:val="tx1"/>
            </w14:solidFill>
          </w14:textFill>
        </w:rPr>
        <w:t>本规范已将发布文件和规范有关信息在全国团体标准信息平台（http://www.ttbz.org.cn）信息公开。</w:t>
      </w:r>
    </w:p>
    <w:p>
      <w:pPr>
        <w:pStyle w:val="49"/>
        <w:spacing w:line="360" w:lineRule="auto"/>
        <w:ind w:firstLine="480"/>
        <w:rPr>
          <w:rFonts w:hint="eastAsia" w:hAnsi="宋体" w:eastAsia="宋体" w:cs="宋体"/>
          <w:color w:val="auto"/>
          <w:sz w:val="24"/>
          <w:szCs w:val="24"/>
        </w:rPr>
      </w:pPr>
      <w:r>
        <w:rPr>
          <w:rFonts w:hint="eastAsia" w:hAnsi="宋体" w:eastAsia="宋体" w:cs="宋体"/>
          <w:color w:val="auto"/>
          <w:sz w:val="24"/>
          <w:szCs w:val="24"/>
        </w:rPr>
        <w:t>本规范在编制过程中，规范</w:t>
      </w:r>
      <w:r>
        <w:rPr>
          <w:rFonts w:hint="eastAsia" w:hAnsi="宋体" w:eastAsia="宋体" w:cs="宋体"/>
          <w:color w:val="auto"/>
          <w:sz w:val="24"/>
          <w:szCs w:val="24"/>
          <w:lang w:val="en-US" w:eastAsia="zh-CN"/>
        </w:rPr>
        <w:t>编制</w:t>
      </w:r>
      <w:r>
        <w:rPr>
          <w:rFonts w:hint="eastAsia" w:hAnsi="宋体" w:eastAsia="宋体" w:cs="宋体"/>
          <w:color w:val="auto"/>
          <w:sz w:val="24"/>
          <w:szCs w:val="24"/>
        </w:rPr>
        <w:t>组经广泛调查研究，结合具体工程实践，参考有关国内外标准先进标准，并在广泛征求意见的基础上，最后经审查定稿。</w:t>
      </w:r>
    </w:p>
    <w:p>
      <w:pPr>
        <w:spacing w:line="360" w:lineRule="auto"/>
        <w:ind w:firstLine="480" w:firstLineChars="200"/>
        <w:rPr>
          <w:rFonts w:hint="eastAsia" w:ascii="宋体" w:hAnsi="宋体"/>
          <w:color w:val="auto"/>
          <w:sz w:val="24"/>
          <w:szCs w:val="24"/>
        </w:rPr>
      </w:pPr>
      <w:r>
        <w:rPr>
          <w:rFonts w:hint="eastAsia" w:ascii="宋体" w:hAnsi="宋体"/>
          <w:color w:val="auto"/>
          <w:sz w:val="24"/>
          <w:szCs w:val="24"/>
        </w:rPr>
        <w:t>本</w:t>
      </w:r>
      <w:r>
        <w:rPr>
          <w:rFonts w:hint="eastAsia" w:ascii="宋体" w:hAnsi="宋体"/>
          <w:color w:val="auto"/>
          <w:sz w:val="24"/>
          <w:szCs w:val="24"/>
          <w:lang w:val="en-US" w:eastAsia="zh-CN"/>
        </w:rPr>
        <w:t>规范的</w:t>
      </w:r>
      <w:r>
        <w:rPr>
          <w:rFonts w:hint="eastAsia" w:ascii="宋体" w:hAnsi="宋体"/>
          <w:color w:val="auto"/>
          <w:sz w:val="24"/>
          <w:szCs w:val="24"/>
        </w:rPr>
        <w:t>主要</w:t>
      </w:r>
      <w:r>
        <w:rPr>
          <w:rFonts w:hint="eastAsia" w:ascii="宋体" w:hAnsi="宋体"/>
          <w:color w:val="auto"/>
          <w:sz w:val="24"/>
          <w:szCs w:val="24"/>
          <w:lang w:val="en-US" w:eastAsia="zh-CN"/>
        </w:rPr>
        <w:t>技术</w:t>
      </w:r>
      <w:r>
        <w:rPr>
          <w:rFonts w:hint="eastAsia" w:ascii="宋体" w:hAnsi="宋体"/>
          <w:color w:val="auto"/>
          <w:sz w:val="24"/>
          <w:szCs w:val="24"/>
        </w:rPr>
        <w:t>内容：</w:t>
      </w:r>
      <w:r>
        <w:rPr>
          <w:rStyle w:val="23"/>
          <w:rFonts w:ascii="宋体" w:hAnsi="宋体"/>
          <w:color w:val="auto"/>
          <w:sz w:val="24"/>
          <w:szCs w:val="24"/>
          <w:u w:val="none"/>
        </w:rPr>
        <w:t>总则</w:t>
      </w:r>
      <w:r>
        <w:rPr>
          <w:rStyle w:val="23"/>
          <w:rFonts w:hint="eastAsia" w:ascii="宋体" w:hAnsi="宋体"/>
          <w:color w:val="auto"/>
          <w:sz w:val="24"/>
          <w:szCs w:val="24"/>
          <w:u w:val="none"/>
          <w:lang w:eastAsia="zh-CN"/>
        </w:rPr>
        <w:t>、</w:t>
      </w:r>
      <w:r>
        <w:rPr>
          <w:rStyle w:val="23"/>
          <w:rFonts w:ascii="宋体" w:hAnsi="宋体"/>
          <w:color w:val="auto"/>
          <w:sz w:val="24"/>
          <w:szCs w:val="24"/>
          <w:u w:val="none"/>
        </w:rPr>
        <w:t>术语</w:t>
      </w:r>
      <w:r>
        <w:rPr>
          <w:rStyle w:val="23"/>
          <w:rFonts w:hint="eastAsia" w:ascii="宋体" w:hAnsi="宋体"/>
          <w:color w:val="auto"/>
          <w:sz w:val="24"/>
          <w:szCs w:val="24"/>
          <w:u w:val="none"/>
          <w:lang w:eastAsia="zh-CN"/>
        </w:rPr>
        <w:t>、</w:t>
      </w:r>
      <w:r>
        <w:rPr>
          <w:rStyle w:val="23"/>
          <w:rFonts w:ascii="宋体" w:hAnsi="宋体"/>
          <w:color w:val="auto"/>
          <w:sz w:val="24"/>
          <w:szCs w:val="24"/>
          <w:u w:val="none"/>
        </w:rPr>
        <w:t>基本规定</w:t>
      </w:r>
      <w:r>
        <w:rPr>
          <w:rStyle w:val="23"/>
          <w:rFonts w:hint="eastAsia" w:ascii="宋体" w:hAnsi="宋体"/>
          <w:color w:val="auto"/>
          <w:sz w:val="24"/>
          <w:szCs w:val="24"/>
          <w:u w:val="none"/>
          <w:lang w:eastAsia="zh-CN"/>
        </w:rPr>
        <w:t>、系统组成、</w:t>
      </w:r>
      <w:r>
        <w:rPr>
          <w:rStyle w:val="23"/>
          <w:rFonts w:hint="eastAsia" w:ascii="宋体" w:hAnsi="宋体"/>
          <w:color w:val="auto"/>
          <w:sz w:val="24"/>
          <w:szCs w:val="24"/>
          <w:u w:val="none"/>
          <w:lang w:val="en-US" w:eastAsia="zh-CN"/>
        </w:rPr>
        <w:t>系统功能、</w:t>
      </w:r>
      <w:r>
        <w:rPr>
          <w:rStyle w:val="23"/>
          <w:rFonts w:hint="eastAsia" w:ascii="宋体" w:hAnsi="宋体"/>
          <w:color w:val="auto"/>
          <w:sz w:val="24"/>
          <w:szCs w:val="24"/>
          <w:u w:val="none"/>
          <w:lang w:eastAsia="zh-CN"/>
        </w:rPr>
        <w:t>系统设计、</w:t>
      </w:r>
      <w:r>
        <w:rPr>
          <w:rStyle w:val="23"/>
          <w:rFonts w:ascii="宋体" w:hAnsi="宋体"/>
          <w:color w:val="auto"/>
          <w:sz w:val="24"/>
          <w:szCs w:val="24"/>
          <w:u w:val="none"/>
        </w:rPr>
        <w:t>安装验收</w:t>
      </w:r>
      <w:r>
        <w:rPr>
          <w:rStyle w:val="23"/>
          <w:rFonts w:hint="eastAsia" w:ascii="宋体" w:hAnsi="宋体"/>
          <w:color w:val="auto"/>
          <w:sz w:val="24"/>
          <w:szCs w:val="24"/>
          <w:u w:val="none"/>
          <w:lang w:eastAsia="zh-CN"/>
        </w:rPr>
        <w:t>、</w:t>
      </w:r>
      <w:r>
        <w:rPr>
          <w:rStyle w:val="23"/>
          <w:rFonts w:ascii="宋体" w:hAnsi="宋体"/>
          <w:color w:val="auto"/>
          <w:sz w:val="24"/>
          <w:szCs w:val="24"/>
          <w:u w:val="none"/>
        </w:rPr>
        <w:t>运行维护</w:t>
      </w:r>
      <w:r>
        <w:rPr>
          <w:rStyle w:val="23"/>
          <w:rFonts w:hint="eastAsia" w:ascii="宋体" w:hAnsi="宋体"/>
          <w:color w:val="auto"/>
          <w:sz w:val="24"/>
          <w:szCs w:val="24"/>
          <w:u w:val="none"/>
        </w:rPr>
        <w:t>。</w:t>
      </w:r>
    </w:p>
    <w:p>
      <w:pPr>
        <w:spacing w:line="360" w:lineRule="auto"/>
        <w:ind w:firstLine="480" w:firstLineChars="200"/>
        <w:rPr>
          <w:rFonts w:hint="eastAsia" w:ascii="宋体" w:hAnsi="宋体"/>
          <w:color w:val="auto"/>
          <w:sz w:val="24"/>
          <w:szCs w:val="24"/>
          <w:lang w:eastAsia="zh-CN"/>
        </w:rPr>
      </w:pPr>
      <w:r>
        <w:rPr>
          <w:rFonts w:hint="eastAsia" w:ascii="宋体" w:hAnsi="宋体"/>
          <w:color w:val="auto"/>
          <w:sz w:val="24"/>
          <w:szCs w:val="24"/>
        </w:rPr>
        <w:t>本</w:t>
      </w:r>
      <w:r>
        <w:rPr>
          <w:rFonts w:hint="eastAsia" w:ascii="宋体" w:hAnsi="宋体"/>
          <w:color w:val="auto"/>
          <w:sz w:val="24"/>
          <w:szCs w:val="24"/>
          <w:lang w:val="en-US" w:eastAsia="zh-CN"/>
        </w:rPr>
        <w:t>规范</w:t>
      </w:r>
      <w:r>
        <w:rPr>
          <w:rFonts w:hint="eastAsia" w:ascii="宋体" w:hAnsi="宋体"/>
          <w:color w:val="auto"/>
          <w:sz w:val="24"/>
          <w:szCs w:val="24"/>
        </w:rPr>
        <w:t>由</w:t>
      </w:r>
      <w:r>
        <w:rPr>
          <w:rFonts w:hint="eastAsia" w:hAnsi="宋体" w:cs="宋体"/>
          <w:color w:val="auto"/>
          <w:sz w:val="24"/>
          <w:szCs w:val="24"/>
        </w:rPr>
        <w:t>中国石油和化工勘察设计协会负责</w:t>
      </w:r>
      <w:r>
        <w:rPr>
          <w:rFonts w:hint="eastAsia" w:ascii="宋体" w:hAnsi="宋体"/>
          <w:color w:val="auto"/>
          <w:sz w:val="24"/>
          <w:szCs w:val="24"/>
        </w:rPr>
        <w:t>管理，由中国石油和化工勘察设计协会</w:t>
      </w:r>
      <w:r>
        <w:rPr>
          <w:rFonts w:hint="eastAsia" w:ascii="宋体" w:hAnsi="宋体"/>
          <w:color w:val="auto"/>
          <w:sz w:val="24"/>
          <w:szCs w:val="24"/>
          <w:lang w:val="en-US" w:eastAsia="zh-CN"/>
        </w:rPr>
        <w:t>电气</w:t>
      </w:r>
      <w:r>
        <w:rPr>
          <w:rFonts w:hint="eastAsia" w:ascii="宋体" w:hAnsi="宋体"/>
          <w:color w:val="auto"/>
          <w:sz w:val="24"/>
          <w:szCs w:val="24"/>
        </w:rPr>
        <w:t>设计专业委员会负责日常管理</w:t>
      </w:r>
      <w:r>
        <w:rPr>
          <w:rFonts w:hint="eastAsia" w:ascii="宋体" w:hAnsi="宋体"/>
          <w:color w:val="auto"/>
          <w:sz w:val="24"/>
          <w:szCs w:val="24"/>
          <w:lang w:eastAsia="zh-CN"/>
        </w:rPr>
        <w:t>，</w:t>
      </w:r>
      <w:r>
        <w:rPr>
          <w:rFonts w:hint="eastAsia" w:ascii="宋体" w:hAnsi="宋体"/>
          <w:color w:val="auto"/>
          <w:sz w:val="24"/>
          <w:szCs w:val="24"/>
        </w:rPr>
        <w:t>由</w:t>
      </w:r>
      <w:r>
        <w:rPr>
          <w:rFonts w:hint="eastAsia" w:hAnsi="宋体" w:eastAsia="宋体" w:cs="宋体"/>
          <w:color w:val="000000" w:themeColor="text1"/>
          <w:sz w:val="24"/>
          <w:szCs w:val="24"/>
          <w14:textFill>
            <w14:solidFill>
              <w14:schemeClr w14:val="tx1"/>
            </w14:solidFill>
          </w14:textFill>
        </w:rPr>
        <w:t>天津市</w:t>
      </w:r>
      <w:r>
        <w:rPr>
          <w:rFonts w:hint="eastAsia" w:hAnsi="宋体" w:eastAsia="宋体" w:cs="宋体"/>
          <w:color w:val="000000" w:themeColor="text1"/>
          <w:sz w:val="24"/>
          <w:szCs w:val="24"/>
          <w:lang w:val="en-US" w:eastAsia="zh-CN"/>
          <w14:textFill>
            <w14:solidFill>
              <w14:schemeClr w14:val="tx1"/>
            </w14:solidFill>
          </w14:textFill>
        </w:rPr>
        <w:t>中力</w:t>
      </w:r>
      <w:r>
        <w:rPr>
          <w:rFonts w:hint="eastAsia" w:hAnsi="宋体" w:eastAsia="宋体" w:cs="宋体"/>
          <w:color w:val="000000" w:themeColor="text1"/>
          <w:sz w:val="24"/>
          <w:szCs w:val="24"/>
          <w14:textFill>
            <w14:solidFill>
              <w14:schemeClr w14:val="tx1"/>
            </w14:solidFill>
          </w14:textFill>
        </w:rPr>
        <w:t>神盾电子科技有限公司</w:t>
      </w:r>
      <w:r>
        <w:rPr>
          <w:rFonts w:hint="eastAsia" w:ascii="宋体" w:hAnsi="宋体"/>
          <w:color w:val="auto"/>
          <w:sz w:val="24"/>
          <w:szCs w:val="24"/>
        </w:rPr>
        <w:t>负责具体技术内容的解释。</w:t>
      </w:r>
      <w:r>
        <w:rPr>
          <w:rFonts w:hint="eastAsia" w:ascii="宋体" w:hAnsi="宋体"/>
          <w:color w:val="auto"/>
          <w:sz w:val="24"/>
          <w:szCs w:val="24"/>
          <w:lang w:val="en-US" w:eastAsia="zh-CN"/>
        </w:rPr>
        <w:t>在</w:t>
      </w:r>
      <w:r>
        <w:rPr>
          <w:rFonts w:hint="eastAsia" w:ascii="宋体" w:hAnsi="宋体"/>
          <w:color w:val="auto"/>
          <w:sz w:val="24"/>
          <w:szCs w:val="24"/>
        </w:rPr>
        <w:t>执行过程中如有意见或建议，请</w:t>
      </w:r>
      <w:r>
        <w:rPr>
          <w:rFonts w:hint="eastAsia" w:hAnsi="宋体" w:eastAsia="宋体" w:cs="宋体"/>
          <w:color w:val="000000" w:themeColor="text1"/>
          <w:sz w:val="24"/>
          <w:szCs w:val="24"/>
          <w14:textFill>
            <w14:solidFill>
              <w14:schemeClr w14:val="tx1"/>
            </w14:solidFill>
          </w14:textFill>
        </w:rPr>
        <w:t>天津市</w:t>
      </w:r>
      <w:r>
        <w:rPr>
          <w:rFonts w:hint="eastAsia" w:hAnsi="宋体" w:eastAsia="宋体" w:cs="宋体"/>
          <w:color w:val="000000" w:themeColor="text1"/>
          <w:sz w:val="24"/>
          <w:szCs w:val="24"/>
          <w:lang w:val="en-US" w:eastAsia="zh-CN"/>
          <w14:textFill>
            <w14:solidFill>
              <w14:schemeClr w14:val="tx1"/>
            </w14:solidFill>
          </w14:textFill>
        </w:rPr>
        <w:t>中力</w:t>
      </w:r>
      <w:r>
        <w:rPr>
          <w:rFonts w:hint="eastAsia" w:hAnsi="宋体" w:eastAsia="宋体" w:cs="宋体"/>
          <w:color w:val="000000" w:themeColor="text1"/>
          <w:sz w:val="24"/>
          <w:szCs w:val="24"/>
          <w14:textFill>
            <w14:solidFill>
              <w14:schemeClr w14:val="tx1"/>
            </w14:solidFill>
          </w14:textFill>
        </w:rPr>
        <w:t>神盾电子科技有限公司</w:t>
      </w:r>
      <w:r>
        <w:rPr>
          <w:rFonts w:hint="default" w:ascii="Times New Roman" w:hAnsi="Times New Roman" w:cs="Times New Roman"/>
          <w:color w:val="auto"/>
          <w:sz w:val="24"/>
          <w:szCs w:val="24"/>
        </w:rPr>
        <w:t>（地址：天津市滨海高新区华苑产业区华科四路5号，邮编：300392，电子邮件：tjzlfl@139.com 电话：022-83711920）</w:t>
      </w:r>
      <w:r>
        <w:rPr>
          <w:rFonts w:hint="default" w:ascii="Times New Roman" w:hAnsi="Times New Roman" w:cs="Times New Roman"/>
          <w:color w:val="auto"/>
          <w:sz w:val="24"/>
          <w:szCs w:val="24"/>
          <w:lang w:eastAsia="zh-CN"/>
        </w:rPr>
        <w:t>。</w:t>
      </w:r>
    </w:p>
    <w:p>
      <w:pPr>
        <w:spacing w:line="360" w:lineRule="auto"/>
        <w:ind w:firstLine="480" w:firstLineChars="200"/>
        <w:rPr>
          <w:rFonts w:hint="eastAsia" w:ascii="宋体" w:hAnsi="宋体"/>
          <w:color w:val="000000" w:themeColor="text1"/>
          <w:sz w:val="24"/>
          <w:szCs w:val="24"/>
          <w:lang w:eastAsia="zh-CN"/>
          <w14:textFill>
            <w14:solidFill>
              <w14:schemeClr w14:val="tx1"/>
            </w14:solidFill>
          </w14:textFill>
        </w:rPr>
      </w:pPr>
      <w:r>
        <w:rPr>
          <w:rFonts w:hint="eastAsia" w:ascii="宋体" w:hAnsi="宋体"/>
          <w:color w:val="000000" w:themeColor="text1"/>
          <w:sz w:val="24"/>
          <w:szCs w:val="24"/>
          <w:lang w:eastAsia="zh-CN"/>
          <w14:textFill>
            <w14:solidFill>
              <w14:schemeClr w14:val="tx1"/>
            </w14:solidFill>
          </w14:textFill>
        </w:rPr>
        <w:t>本规范主编单位、参编单位、主要起草人和主要审查人：</w:t>
      </w:r>
    </w:p>
    <w:p>
      <w:pPr>
        <w:spacing w:line="360" w:lineRule="auto"/>
        <w:ind w:firstLine="480" w:firstLineChars="200"/>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主编单位：</w:t>
      </w:r>
      <w:r>
        <w:rPr>
          <w:rFonts w:ascii="宋体" w:hAnsi="宋体"/>
          <w:color w:val="000000" w:themeColor="text1"/>
          <w:sz w:val="24"/>
          <w:szCs w:val="24"/>
          <w14:textFill>
            <w14:solidFill>
              <w14:schemeClr w14:val="tx1"/>
            </w14:solidFill>
          </w14:textFill>
        </w:rPr>
        <w:tab/>
      </w:r>
      <w:r>
        <w:rPr>
          <w:rFonts w:hint="eastAsia" w:ascii="宋体" w:hAnsi="宋体" w:cs="宋体"/>
          <w:color w:val="000000" w:themeColor="text1"/>
          <w:sz w:val="24"/>
          <w:szCs w:val="24"/>
          <w14:textFill>
            <w14:solidFill>
              <w14:schemeClr w14:val="tx1"/>
            </w14:solidFill>
          </w14:textFill>
        </w:rPr>
        <w:t>中国寰球工程有限公司</w:t>
      </w:r>
      <w:r>
        <w:rPr>
          <w:rFonts w:hint="eastAsia" w:hAnsi="宋体" w:eastAsia="宋体" w:cs="宋体"/>
          <w:color w:val="000000" w:themeColor="text1"/>
          <w:sz w:val="24"/>
          <w:szCs w:val="24"/>
          <w:lang w:val="en-US" w:eastAsia="zh-CN"/>
          <w14:textFill>
            <w14:solidFill>
              <w14:schemeClr w14:val="tx1"/>
            </w14:solidFill>
          </w14:textFill>
        </w:rPr>
        <w:t>北京分公司</w:t>
      </w:r>
    </w:p>
    <w:p>
      <w:pPr>
        <w:spacing w:line="360" w:lineRule="auto"/>
        <w:ind w:left="1620" w:firstLine="480" w:firstLineChars="200"/>
        <w:rPr>
          <w:rFonts w:hint="eastAsia" w:ascii="宋体" w:hAnsi="宋体"/>
          <w:color w:val="000000" w:themeColor="text1"/>
          <w:sz w:val="24"/>
          <w:szCs w:val="24"/>
          <w14:textFill>
            <w14:solidFill>
              <w14:schemeClr w14:val="tx1"/>
            </w14:solidFill>
          </w14:textFill>
        </w:rPr>
      </w:pPr>
      <w:r>
        <w:rPr>
          <w:rFonts w:hint="eastAsia" w:hAnsi="宋体" w:eastAsia="宋体" w:cs="宋体"/>
          <w:color w:val="000000" w:themeColor="text1"/>
          <w:sz w:val="24"/>
          <w:szCs w:val="24"/>
          <w14:textFill>
            <w14:solidFill>
              <w14:schemeClr w14:val="tx1"/>
            </w14:solidFill>
          </w14:textFill>
        </w:rPr>
        <w:t>天津市</w:t>
      </w:r>
      <w:r>
        <w:rPr>
          <w:rFonts w:hint="eastAsia" w:hAnsi="宋体" w:eastAsia="宋体" w:cs="宋体"/>
          <w:color w:val="000000" w:themeColor="text1"/>
          <w:sz w:val="24"/>
          <w:szCs w:val="24"/>
          <w:lang w:val="en-US" w:eastAsia="zh-CN"/>
          <w14:textFill>
            <w14:solidFill>
              <w14:schemeClr w14:val="tx1"/>
            </w14:solidFill>
          </w14:textFill>
        </w:rPr>
        <w:t>中力</w:t>
      </w:r>
      <w:r>
        <w:rPr>
          <w:rFonts w:hint="eastAsia" w:hAnsi="宋体" w:eastAsia="宋体" w:cs="宋体"/>
          <w:color w:val="000000" w:themeColor="text1"/>
          <w:sz w:val="24"/>
          <w:szCs w:val="24"/>
          <w14:textFill>
            <w14:solidFill>
              <w14:schemeClr w14:val="tx1"/>
            </w14:solidFill>
          </w14:textFill>
        </w:rPr>
        <w:t>神盾电子科技有限公司</w:t>
      </w:r>
    </w:p>
    <w:p>
      <w:pPr>
        <w:spacing w:line="360" w:lineRule="auto"/>
        <w:ind w:firstLine="480" w:firstLineChars="200"/>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参编单位：</w:t>
      </w:r>
    </w:p>
    <w:p>
      <w:pPr>
        <w:spacing w:line="360" w:lineRule="auto"/>
        <w:ind w:firstLine="480" w:firstLineChars="200"/>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主要起草人：</w:t>
      </w:r>
    </w:p>
    <w:p>
      <w:pPr>
        <w:spacing w:line="360" w:lineRule="auto"/>
        <w:ind w:firstLine="480" w:firstLineChars="200"/>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主要审查人：</w:t>
      </w:r>
    </w:p>
    <w:p>
      <w:pPr>
        <w:jc w:val="center"/>
        <w:rPr>
          <w:rFonts w:hint="eastAsia" w:ascii="宋体" w:hAnsi="宋体"/>
          <w:color w:val="000000" w:themeColor="text1"/>
          <w:sz w:val="32"/>
          <w:szCs w:val="32"/>
          <w14:textFill>
            <w14:solidFill>
              <w14:schemeClr w14:val="tx1"/>
            </w14:solidFill>
          </w14:textFill>
        </w:rPr>
      </w:pPr>
    </w:p>
    <w:p>
      <w:pPr>
        <w:jc w:val="center"/>
        <w:rPr>
          <w:rFonts w:eastAsia="黑体"/>
          <w:color w:val="000000" w:themeColor="text1"/>
          <w:sz w:val="32"/>
          <w:szCs w:val="32"/>
          <w14:textFill>
            <w14:solidFill>
              <w14:schemeClr w14:val="tx1"/>
            </w14:solidFill>
          </w14:textFill>
        </w:rPr>
        <w:sectPr>
          <w:footerReference r:id="rId7" w:type="default"/>
          <w:pgSz w:w="11906" w:h="16838"/>
          <w:pgMar w:top="1440" w:right="1797" w:bottom="1440" w:left="1797" w:header="851" w:footer="584" w:gutter="0"/>
          <w:cols w:space="720" w:num="1"/>
          <w:docGrid w:type="lines" w:linePitch="312" w:charSpace="0"/>
        </w:sectPr>
      </w:pPr>
    </w:p>
    <w:p>
      <w:pPr>
        <w:jc w:val="center"/>
        <w:rPr>
          <w:rFonts w:hint="eastAsia" w:ascii="黑体" w:hAnsi="黑体" w:eastAsia="黑体" w:cs="Arial"/>
          <w:b w:val="0"/>
          <w:bCs/>
          <w:color w:val="auto"/>
          <w:sz w:val="32"/>
          <w:szCs w:val="32"/>
        </w:rPr>
      </w:pPr>
      <w:r>
        <w:rPr>
          <w:rFonts w:hint="eastAsia" w:ascii="黑体" w:hAnsi="黑体" w:eastAsia="黑体" w:cs="Arial"/>
          <w:b w:val="0"/>
          <w:bCs/>
          <w:color w:val="auto"/>
          <w:sz w:val="32"/>
          <w:szCs w:val="32"/>
          <w:lang w:val="zh-CN"/>
        </w:rPr>
        <w:t>目</w:t>
      </w:r>
      <w:r>
        <w:rPr>
          <w:rFonts w:hint="eastAsia" w:ascii="黑体" w:hAnsi="黑体" w:eastAsia="黑体" w:cs="Arial"/>
          <w:b w:val="0"/>
          <w:bCs/>
          <w:color w:val="auto"/>
          <w:sz w:val="32"/>
          <w:szCs w:val="32"/>
          <w:lang w:val="en-US" w:eastAsia="zh-CN"/>
        </w:rPr>
        <w:t xml:space="preserve"> </w:t>
      </w:r>
      <w:r>
        <w:rPr>
          <w:rFonts w:hint="eastAsia" w:ascii="黑体" w:hAnsi="黑体" w:eastAsia="黑体" w:cs="Arial"/>
          <w:b w:val="0"/>
          <w:bCs/>
          <w:color w:val="auto"/>
          <w:sz w:val="32"/>
          <w:szCs w:val="32"/>
          <w:lang w:val="zh-CN"/>
        </w:rPr>
        <w:t xml:space="preserve">  次</w:t>
      </w:r>
    </w:p>
    <w:p>
      <w:pPr>
        <w:adjustRightInd w:val="0"/>
        <w:snapToGrid w:val="0"/>
        <w:spacing w:line="288" w:lineRule="auto"/>
        <w:jc w:val="left"/>
        <w:rPr>
          <w:rFonts w:hint="eastAsia" w:ascii="黑体" w:hAnsi="黑体" w:eastAsia="黑体"/>
          <w:color w:val="000000" w:themeColor="text1"/>
          <w:sz w:val="24"/>
          <w:szCs w:val="24"/>
          <w14:textFill>
            <w14:solidFill>
              <w14:schemeClr w14:val="tx1"/>
            </w14:solidFill>
          </w14:textFill>
        </w:rPr>
      </w:pPr>
    </w:p>
    <w:sdt>
      <w:sdtPr>
        <w:rPr>
          <w:color w:val="000000" w:themeColor="text1"/>
          <w:sz w:val="24"/>
          <w:szCs w:val="24"/>
          <w:lang w:val="zh-CN"/>
          <w14:textFill>
            <w14:solidFill>
              <w14:schemeClr w14:val="tx1"/>
            </w14:solidFill>
          </w14:textFill>
        </w:rPr>
        <w:id w:val="-757751940"/>
        <w:docPartObj>
          <w:docPartGallery w:val="Table of Contents"/>
          <w:docPartUnique/>
        </w:docPartObj>
      </w:sdtPr>
      <w:sdtEndPr>
        <w:rPr>
          <w:rFonts w:ascii="宋体" w:hAnsi="宋体"/>
          <w:b/>
          <w:bCs/>
          <w:color w:val="000000" w:themeColor="text1"/>
          <w:sz w:val="24"/>
          <w:szCs w:val="24"/>
          <w:lang w:val="zh-CN"/>
          <w14:textFill>
            <w14:solidFill>
              <w14:schemeClr w14:val="tx1"/>
            </w14:solidFill>
          </w14:textFill>
        </w:rPr>
      </w:sdtEndPr>
      <w:sdtContent>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fldChar w:fldCharType="begin"/>
          </w:r>
          <w:r>
            <w:rPr>
              <w:rFonts w:ascii="宋体" w:hAnsi="宋体"/>
              <w:color w:val="000000" w:themeColor="text1"/>
              <w:sz w:val="24"/>
              <w:szCs w:val="24"/>
              <w14:textFill>
                <w14:solidFill>
                  <w14:schemeClr w14:val="tx1"/>
                </w14:solidFill>
              </w14:textFill>
            </w:rPr>
            <w:instrText xml:space="preserve"> TOC \o "1-3" \h \z \u </w:instrText>
          </w:r>
          <w:r>
            <w:rPr>
              <w:rFonts w:ascii="宋体" w:hAnsi="宋体"/>
              <w:color w:val="000000" w:themeColor="text1"/>
              <w:sz w:val="24"/>
              <w:szCs w:val="24"/>
              <w14:textFill>
                <w14:solidFill>
                  <w14:schemeClr w14:val="tx1"/>
                </w14:solidFill>
              </w14:textFill>
            </w:rPr>
            <w:fldChar w:fldCharType="separate"/>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"_Toc193987802"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1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总  则</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"_Toc193987803"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2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术  语</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2</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"_Toc193987804"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3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基本规定</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4</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"_Toc193987805"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4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系统</w:t>
          </w:r>
          <w:r>
            <w:rPr>
              <w:rStyle w:val="23"/>
              <w:rFonts w:hint="default" w:ascii="Times New Roman" w:hAnsi="Times New Roman" w:eastAsia="宋体" w:cs="Times New Roman"/>
              <w:bCs/>
              <w:color w:val="000000" w:themeColor="text1"/>
              <w:sz w:val="24"/>
              <w:szCs w:val="24"/>
              <w14:textFill>
                <w14:solidFill>
                  <w14:schemeClr w14:val="tx1"/>
                </w14:solidFill>
              </w14:textFill>
            </w:rPr>
            <w:t>组成</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5</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"_Toc193987806"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5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系统功能</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6</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"_Toc193987807"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6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bCs/>
              <w:color w:val="000000" w:themeColor="text1"/>
              <w:sz w:val="24"/>
              <w:szCs w:val="24"/>
              <w14:textFill>
                <w14:solidFill>
                  <w14:schemeClr w14:val="tx1"/>
                </w14:solidFill>
              </w14:textFill>
            </w:rPr>
            <w:t>系统设计</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8</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3"/>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"_Toc193987808"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6.1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设计原则</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8</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3"/>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"_Toc193987809"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6.2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系统配置</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8</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"_Toc193987810"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7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安装验收</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10</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"_Toc193987811"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8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运行维护</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11</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"_Toc193987812"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附录A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系统功能配置表</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12</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"_Toc193987813"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本</w:t>
          </w:r>
          <w:r>
            <w:rPr>
              <w:rStyle w:val="23"/>
              <w:rFonts w:hint="eastAsia" w:cs="Times New Roman"/>
              <w:color w:val="000000" w:themeColor="text1"/>
              <w:sz w:val="24"/>
              <w:szCs w:val="24"/>
              <w:lang w:val="en-US" w:eastAsia="zh-CN"/>
              <w14:textFill>
                <w14:solidFill>
                  <w14:schemeClr w14:val="tx1"/>
                </w14:solidFill>
              </w14:textFill>
            </w:rPr>
            <w:t>规范</w:t>
          </w:r>
          <w:r>
            <w:rPr>
              <w:rStyle w:val="23"/>
              <w:rFonts w:hint="default" w:ascii="Times New Roman" w:hAnsi="Times New Roman" w:eastAsia="宋体" w:cs="Times New Roman"/>
              <w:color w:val="000000" w:themeColor="text1"/>
              <w:sz w:val="24"/>
              <w:szCs w:val="24"/>
              <w14:textFill>
                <w14:solidFill>
                  <w14:schemeClr w14:val="tx1"/>
                </w14:solidFill>
              </w14:textFill>
            </w:rPr>
            <w:t>用词说明</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13</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"_Toc193987814"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引用</w:t>
          </w:r>
          <w:r>
            <w:rPr>
              <w:rStyle w:val="23"/>
              <w:rFonts w:hint="eastAsia" w:cs="Times New Roman"/>
              <w:color w:val="000000" w:themeColor="text1"/>
              <w:sz w:val="24"/>
              <w:szCs w:val="24"/>
              <w:lang w:val="en-US" w:eastAsia="zh-CN"/>
              <w14:textFill>
                <w14:solidFill>
                  <w14:schemeClr w14:val="tx1"/>
                </w14:solidFill>
              </w14:textFill>
            </w:rPr>
            <w:t>规范</w:t>
          </w:r>
          <w:r>
            <w:rPr>
              <w:rStyle w:val="23"/>
              <w:rFonts w:hint="default" w:ascii="Times New Roman" w:hAnsi="Times New Roman" w:eastAsia="宋体" w:cs="Times New Roman"/>
              <w:color w:val="000000" w:themeColor="text1"/>
              <w:sz w:val="24"/>
              <w:szCs w:val="24"/>
              <w14:textFill>
                <w14:solidFill>
                  <w14:schemeClr w14:val="tx1"/>
                </w14:solidFill>
              </w14:textFill>
            </w:rPr>
            <w:t>名录</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14</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eastAsia" w:ascii="宋体" w:hAnsi="宋体" w:cstheme="minorBidi"/>
              <w:color w:val="000000" w:themeColor="text1"/>
              <w:sz w:val="24"/>
              <w:szCs w:val="24"/>
              <w14:textFill>
                <w14:solidFill>
                  <w14:schemeClr w14:val="tx1"/>
                </w14:solidFill>
              </w14:textFill>
            </w:rPr>
          </w:pPr>
          <w:r>
            <w:rPr>
              <w:rFonts w:hint="default" w:ascii="Times New Roman" w:hAnsi="Times New Roman" w:eastAsia="宋体" w:cs="Times New Roman"/>
              <w:sz w:val="24"/>
              <w:szCs w:val="22"/>
              <w:lang w:val="en-US" w:eastAsia="zh-CN"/>
            </w:rPr>
            <w:t>附：</w:t>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"_Toc193987815"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bCs/>
              <w:color w:val="000000" w:themeColor="text1"/>
              <w:sz w:val="24"/>
              <w:szCs w:val="24"/>
              <w14:textFill>
                <w14:solidFill>
                  <w14:schemeClr w14:val="tx1"/>
                </w14:solidFill>
              </w14:textFill>
            </w:rPr>
            <w:t>条文说明</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15</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spacing w:line="360" w:lineRule="auto"/>
          </w:pPr>
          <w:r>
            <w:rPr>
              <w:rFonts w:ascii="宋体" w:hAnsi="宋体"/>
              <w:b/>
              <w:bCs/>
              <w:color w:val="000000" w:themeColor="text1"/>
              <w:sz w:val="24"/>
              <w:szCs w:val="24"/>
              <w:lang w:val="zh-CN"/>
              <w14:textFill>
                <w14:solidFill>
                  <w14:schemeClr w14:val="tx1"/>
                </w14:solidFill>
              </w14:textFill>
            </w:rPr>
            <w:fldChar w:fldCharType="end"/>
          </w:r>
          <w:bookmarkStart w:id="3" w:name="_Toc33811174"/>
        </w:p>
      </w:sdtContent>
    </w:sdt>
    <w:p>
      <w:pPr>
        <w:adjustRightInd w:val="0"/>
        <w:snapToGrid w:val="0"/>
        <w:spacing w:line="360" w:lineRule="auto"/>
        <w:jc w:val="center"/>
        <w:outlineLvl w:val="0"/>
        <w:rPr>
          <w:rFonts w:hint="eastAsia" w:ascii="黑体" w:hAnsi="黑体" w:eastAsia="黑体"/>
          <w:color w:val="000000" w:themeColor="text1"/>
          <w:sz w:val="28"/>
          <w:szCs w:val="28"/>
          <w14:textFill>
            <w14:solidFill>
              <w14:schemeClr w14:val="tx1"/>
            </w14:solidFill>
          </w14:textFill>
        </w:rPr>
        <w:sectPr>
          <w:pgSz w:w="11906" w:h="16838"/>
          <w:pgMar w:top="1440" w:right="1797" w:bottom="1440" w:left="1797" w:header="851" w:footer="584" w:gutter="0"/>
          <w:cols w:space="720" w:num="1"/>
          <w:docGrid w:type="lines" w:linePitch="312" w:charSpace="0"/>
        </w:sectPr>
      </w:pPr>
      <w:r>
        <w:rPr>
          <w:rFonts w:ascii="黑体" w:hAnsi="黑体" w:eastAsia="黑体"/>
          <w:color w:val="000000" w:themeColor="text1"/>
          <w:sz w:val="24"/>
          <w:szCs w:val="24"/>
          <w14:textFill>
            <w14:solidFill>
              <w14:schemeClr w14:val="tx1"/>
            </w14:solidFill>
          </w14:textFill>
        </w:rPr>
        <w:br w:type="page"/>
      </w:r>
    </w:p>
    <w:p>
      <w:pPr>
        <w:jc w:val="center"/>
        <w:rPr>
          <w:color w:val="000000" w:themeColor="text1"/>
          <w:sz w:val="32"/>
          <w:szCs w:val="32"/>
          <w14:textFill>
            <w14:solidFill>
              <w14:schemeClr w14:val="tx1"/>
            </w14:solidFill>
          </w14:textFill>
        </w:rPr>
      </w:pPr>
      <w:r>
        <w:rPr>
          <w:rFonts w:hint="eastAsia"/>
          <w:color w:val="000000" w:themeColor="text1"/>
          <w:sz w:val="32"/>
          <w:szCs w:val="32"/>
          <w:lang w:val="zh-CN"/>
          <w14:textFill>
            <w14:solidFill>
              <w14:schemeClr w14:val="tx1"/>
            </w14:solidFill>
          </w14:textFill>
        </w:rPr>
        <w:t>Contents</w:t>
      </w:r>
    </w:p>
    <w:sdt>
      <w:sdtPr>
        <w:rPr>
          <w:color w:val="000000" w:themeColor="text1"/>
          <w:sz w:val="24"/>
          <w:szCs w:val="24"/>
          <w:lang w:val="zh-CN"/>
          <w14:textFill>
            <w14:solidFill>
              <w14:schemeClr w14:val="tx1"/>
            </w14:solidFill>
          </w14:textFill>
        </w:rPr>
        <w:id w:val="-853409783"/>
        <w:docPartObj>
          <w:docPartGallery w:val="Table of Contents"/>
          <w:docPartUnique/>
        </w:docPartObj>
      </w:sdtPr>
      <w:sdtEndPr>
        <w:rPr>
          <w:rFonts w:hint="default" w:ascii="Times New Roman" w:hAnsi="Times New Roman" w:cs="Times New Roman"/>
          <w:b/>
          <w:bCs/>
          <w:color w:val="000000" w:themeColor="text1"/>
          <w:sz w:val="24"/>
          <w:szCs w:val="24"/>
          <w:lang w:val="zh-CN"/>
          <w14:textFill>
            <w14:solidFill>
              <w14:schemeClr w14:val="tx1"/>
            </w14:solidFill>
          </w14:textFill>
        </w:rPr>
      </w:sdtEndPr>
      <w:sdtContent>
        <w:p>
          <w:pPr>
            <w:spacing w:line="360" w:lineRule="auto"/>
            <w:rPr>
              <w:rFonts w:hint="default" w:ascii="Times New Roman" w:hAnsi="Times New Roman" w:cs="Times New Roman"/>
              <w:color w:val="000000" w:themeColor="text1"/>
              <w:sz w:val="24"/>
              <w:szCs w:val="24"/>
              <w14:textFill>
                <w14:solidFill>
                  <w14:schemeClr w14:val="tx1"/>
                </w14:solidFill>
              </w14:textFill>
            </w:rPr>
          </w:pPr>
        </w:p>
        <w:p>
          <w:pPr>
            <w:pStyle w:val="11"/>
            <w:tabs>
              <w:tab w:val="right" w:leader="dot" w:pos="8302"/>
            </w:tabs>
            <w:spacing w:line="360" w:lineRule="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fldChar w:fldCharType="begin"/>
          </w:r>
          <w:r>
            <w:rPr>
              <w:rFonts w:hint="default" w:ascii="Times New Roman" w:hAnsi="Times New Roman" w:cs="Times New Roman"/>
              <w:color w:val="000000" w:themeColor="text1"/>
              <w:sz w:val="24"/>
              <w:szCs w:val="24"/>
              <w14:textFill>
                <w14:solidFill>
                  <w14:schemeClr w14:val="tx1"/>
                </w14:solidFill>
              </w14:textFill>
            </w:rPr>
            <w:instrText xml:space="preserve"> TOC \o "1-3" \h \z \u </w:instrText>
          </w:r>
          <w:r>
            <w:rPr>
              <w:rFonts w:hint="default" w:ascii="Times New Roman" w:hAnsi="Times New Roman" w:cs="Times New Roman"/>
              <w:color w:val="000000" w:themeColor="text1"/>
              <w:sz w:val="24"/>
              <w:szCs w:val="24"/>
              <w14:textFill>
                <w14:solidFill>
                  <w14:schemeClr w14:val="tx1"/>
                </w14:solidFill>
              </w14:textFill>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"_Toc89864135" </w:instrText>
          </w:r>
          <w:r>
            <w:rPr>
              <w:rFonts w:hint="default" w:ascii="Times New Roman" w:hAnsi="Times New Roman" w:cs="Times New Roman"/>
            </w:rPr>
            <w:fldChar w:fldCharType="separate"/>
          </w:r>
          <w:r>
            <w:rPr>
              <w:rStyle w:val="23"/>
              <w:rFonts w:hint="default" w:ascii="Times New Roman" w:hAnsi="Times New Roman" w:cs="Times New Roman"/>
              <w:color w:val="000000" w:themeColor="text1"/>
              <w:sz w:val="24"/>
              <w:szCs w:val="24"/>
              <w14:textFill>
                <w14:solidFill>
                  <w14:schemeClr w14:val="tx1"/>
                </w14:solidFill>
              </w14:textFill>
            </w:rPr>
            <w:t>1  General Provisions</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"_Toc89864136" </w:instrText>
          </w:r>
          <w:r>
            <w:rPr>
              <w:rFonts w:hint="default" w:ascii="Times New Roman" w:hAnsi="Times New Roman" w:cs="Times New Roman"/>
            </w:rPr>
            <w:fldChar w:fldCharType="separate"/>
          </w:r>
          <w:r>
            <w:rPr>
              <w:rStyle w:val="23"/>
              <w:rFonts w:hint="default" w:ascii="Times New Roman" w:hAnsi="Times New Roman" w:cs="Times New Roman"/>
              <w:color w:val="000000" w:themeColor="text1"/>
              <w:sz w:val="24"/>
              <w:szCs w:val="24"/>
              <w14:textFill>
                <w14:solidFill>
                  <w14:schemeClr w14:val="tx1"/>
                </w14:solidFill>
              </w14:textFill>
            </w:rPr>
            <w:t>2  Terms</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2</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"_Toc89864137" </w:instrText>
          </w:r>
          <w:r>
            <w:rPr>
              <w:rFonts w:hint="default" w:ascii="Times New Roman" w:hAnsi="Times New Roman" w:cs="Times New Roman"/>
            </w:rPr>
            <w:fldChar w:fldCharType="separate"/>
          </w:r>
          <w:r>
            <w:rPr>
              <w:rStyle w:val="23"/>
              <w:rFonts w:hint="default" w:ascii="Times New Roman" w:hAnsi="Times New Roman" w:cs="Times New Roman"/>
              <w:color w:val="000000" w:themeColor="text1"/>
              <w:sz w:val="24"/>
              <w:szCs w:val="24"/>
              <w14:textFill>
                <w14:solidFill>
                  <w14:schemeClr w14:val="tx1"/>
                </w14:solidFill>
              </w14:textFill>
            </w:rPr>
            <w:t>3  Basic Requirements</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4</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cs="Times New Roman"/>
              <w:color w:val="000000" w:themeColor="text1"/>
              <w:sz w:val="24"/>
              <w:szCs w:val="24"/>
              <w14:textFill>
                <w14:solidFill>
                  <w14:schemeClr w14:val="tx1"/>
                </w14:solidFill>
              </w14:textFil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"_Toc89864138" </w:instrText>
          </w:r>
          <w:r>
            <w:rPr>
              <w:rFonts w:hint="default" w:ascii="Times New Roman" w:hAnsi="Times New Roman" w:cs="Times New Roman"/>
            </w:rPr>
            <w:fldChar w:fldCharType="separate"/>
          </w:r>
          <w:r>
            <w:rPr>
              <w:rStyle w:val="23"/>
              <w:rFonts w:hint="default" w:ascii="Times New Roman" w:hAnsi="Times New Roman" w:cs="Times New Roman"/>
              <w:color w:val="000000" w:themeColor="text1"/>
              <w:sz w:val="24"/>
              <w:szCs w:val="24"/>
              <w14:textFill>
                <w14:solidFill>
                  <w14:schemeClr w14:val="tx1"/>
                </w14:solidFill>
              </w14:textFill>
            </w:rPr>
            <w:t>4  System Composition</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5</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"_Toc89864143" </w:instrText>
          </w:r>
          <w:r>
            <w:rPr>
              <w:rFonts w:hint="default" w:ascii="Times New Roman" w:hAnsi="Times New Roman" w:cs="Times New Roman"/>
            </w:rPr>
            <w:fldChar w:fldCharType="separate"/>
          </w:r>
          <w:r>
            <w:rPr>
              <w:rStyle w:val="23"/>
              <w:rFonts w:hint="default" w:ascii="Times New Roman" w:hAnsi="Times New Roman" w:cs="Times New Roman"/>
              <w:color w:val="000000" w:themeColor="text1"/>
              <w:sz w:val="24"/>
              <w:szCs w:val="24"/>
              <w14:textFill>
                <w14:solidFill>
                  <w14:schemeClr w14:val="tx1"/>
                </w14:solidFill>
              </w14:textFill>
            </w:rPr>
            <w:t>5  System Funcion</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14:textFill>
                <w14:solidFill>
                  <w14:schemeClr w14:val="tx1"/>
                </w14:solidFill>
              </w14:textFill>
            </w:rPr>
            <w:fldChar w:fldCharType="end"/>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6</w:t>
          </w:r>
          <w:r>
            <w:rPr>
              <w:rFonts w:hint="default" w:ascii="Times New Roman" w:hAnsi="Times New Roman" w:cs="Times New Roman"/>
              <w:color w:val="000000" w:themeColor="text1"/>
              <w:sz w:val="24"/>
              <w:szCs w:val="24"/>
              <w:lang w:eastAsia="zh-CN"/>
              <w14:textFill>
                <w14:solidFill>
                  <w14:schemeClr w14:val="tx1"/>
                </w14:solidFill>
              </w14:textFill>
            </w:rPr>
            <w:t>）</w:t>
          </w:r>
        </w:p>
        <w:p>
          <w:pPr>
            <w:pStyle w:val="11"/>
            <w:tabs>
              <w:tab w:val="right" w:leader="dot" w:pos="8302"/>
            </w:tabs>
            <w:spacing w:line="360" w:lineRule="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"_Toc89864147" </w:instrText>
          </w:r>
          <w:r>
            <w:rPr>
              <w:rFonts w:hint="default" w:ascii="Times New Roman" w:hAnsi="Times New Roman" w:cs="Times New Roman"/>
            </w:rPr>
            <w:fldChar w:fldCharType="separate"/>
          </w:r>
          <w:r>
            <w:rPr>
              <w:rStyle w:val="23"/>
              <w:rFonts w:hint="default" w:ascii="Times New Roman" w:hAnsi="Times New Roman" w:cs="Times New Roman"/>
              <w:color w:val="000000" w:themeColor="text1"/>
              <w:sz w:val="24"/>
              <w:szCs w:val="24"/>
              <w14:textFill>
                <w14:solidFill>
                  <w14:schemeClr w14:val="tx1"/>
                </w14:solidFill>
              </w14:textFill>
            </w:rPr>
            <w:t>6  System Design</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8</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ind w:firstLine="42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"_Toc89864147" </w:instrText>
          </w:r>
          <w:r>
            <w:rPr>
              <w:rFonts w:hint="default" w:ascii="Times New Roman" w:hAnsi="Times New Roman" w:cs="Times New Roman"/>
            </w:rPr>
            <w:fldChar w:fldCharType="separate"/>
          </w:r>
          <w:r>
            <w:rPr>
              <w:rStyle w:val="23"/>
              <w:rFonts w:hint="default" w:ascii="Times New Roman" w:hAnsi="Times New Roman" w:cs="Times New Roman"/>
              <w:color w:val="000000" w:themeColor="text1"/>
              <w:sz w:val="24"/>
              <w:szCs w:val="24"/>
              <w14:textFill>
                <w14:solidFill>
                  <w14:schemeClr w14:val="tx1"/>
                </w14:solidFill>
              </w14:textFill>
            </w:rPr>
            <w:t xml:space="preserve">6.1 </w:t>
          </w:r>
          <w:r>
            <w:rPr>
              <w:rStyle w:val="23"/>
              <w:rFonts w:hint="eastAsia"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cs="Times New Roman"/>
              <w:color w:val="000000" w:themeColor="text1"/>
              <w:sz w:val="24"/>
              <w:szCs w:val="24"/>
              <w14:textFill>
                <w14:solidFill>
                  <w14:schemeClr w14:val="tx1"/>
                </w14:solidFill>
              </w14:textFill>
            </w:rPr>
            <w:t>Design Principles</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14:textFill>
                <w14:solidFill>
                  <w14:schemeClr w14:val="tx1"/>
                </w14:solidFill>
              </w14:textFill>
            </w:rPr>
            <w:fldChar w:fldCharType="end"/>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8</w:t>
          </w:r>
          <w:r>
            <w:rPr>
              <w:rFonts w:hint="default" w:ascii="Times New Roman" w:hAnsi="Times New Roman" w:cs="Times New Roman"/>
              <w:color w:val="000000" w:themeColor="text1"/>
              <w:sz w:val="24"/>
              <w:szCs w:val="24"/>
              <w:lang w:eastAsia="zh-CN"/>
              <w14:textFill>
                <w14:solidFill>
                  <w14:schemeClr w14:val="tx1"/>
                </w14:solidFill>
              </w14:textFill>
            </w:rPr>
            <w:t>）</w:t>
          </w:r>
        </w:p>
        <w:p>
          <w:pPr>
            <w:pStyle w:val="11"/>
            <w:tabs>
              <w:tab w:val="right" w:leader="dot" w:pos="8302"/>
            </w:tabs>
            <w:spacing w:line="360" w:lineRule="auto"/>
            <w:ind w:firstLine="42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"_Toc89864147" </w:instrText>
          </w:r>
          <w:r>
            <w:rPr>
              <w:rFonts w:hint="default" w:ascii="Times New Roman" w:hAnsi="Times New Roman" w:cs="Times New Roman"/>
            </w:rPr>
            <w:fldChar w:fldCharType="separate"/>
          </w:r>
          <w:r>
            <w:rPr>
              <w:rStyle w:val="23"/>
              <w:rFonts w:hint="default" w:ascii="Times New Roman" w:hAnsi="Times New Roman" w:cs="Times New Roman"/>
              <w:color w:val="000000" w:themeColor="text1"/>
              <w:sz w:val="24"/>
              <w:szCs w:val="24"/>
              <w14:textFill>
                <w14:solidFill>
                  <w14:schemeClr w14:val="tx1"/>
                </w14:solidFill>
              </w14:textFill>
            </w:rPr>
            <w:t xml:space="preserve">6.2 </w:t>
          </w:r>
          <w:r>
            <w:rPr>
              <w:rStyle w:val="23"/>
              <w:rFonts w:hint="eastAsia"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cs="Times New Roman"/>
              <w:color w:val="000000" w:themeColor="text1"/>
              <w:sz w:val="24"/>
              <w:szCs w:val="24"/>
              <w14:textFill>
                <w14:solidFill>
                  <w14:schemeClr w14:val="tx1"/>
                </w14:solidFill>
              </w14:textFill>
            </w:rPr>
            <w:t xml:space="preserve">System </w:t>
          </w:r>
          <w:r>
            <w:rPr>
              <w:rFonts w:hint="default" w:ascii="Times New Roman" w:hAnsi="Times New Roman" w:cs="Times New Roman"/>
              <w:color w:val="000000" w:themeColor="text1"/>
              <w:sz w:val="24"/>
              <w:szCs w:val="24"/>
              <w14:textFill>
                <w14:solidFill>
                  <w14:schemeClr w14:val="tx1"/>
                </w14:solidFill>
              </w14:textFill>
            </w:rPr>
            <w:t>Configuration</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14:textFill>
                <w14:solidFill>
                  <w14:schemeClr w14:val="tx1"/>
                </w14:solidFill>
              </w14:textFill>
            </w:rPr>
            <w:fldChar w:fldCharType="end"/>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8</w:t>
          </w:r>
          <w:r>
            <w:rPr>
              <w:rFonts w:hint="default" w:ascii="Times New Roman" w:hAnsi="Times New Roman" w:cs="Times New Roman"/>
              <w:color w:val="000000" w:themeColor="text1"/>
              <w:sz w:val="24"/>
              <w:szCs w:val="24"/>
              <w:lang w:val="en-US" w:eastAsia="zh-CN"/>
              <w14:textFill>
                <w14:solidFill>
                  <w14:schemeClr w14:val="tx1"/>
                </w14:solidFill>
              </w14:textFill>
            </w:rPr>
            <w:t>）</w:t>
          </w:r>
        </w:p>
        <w:p>
          <w:pPr>
            <w:pStyle w:val="11"/>
            <w:tabs>
              <w:tab w:val="right" w:leader="dot" w:pos="8302"/>
            </w:tabs>
            <w:spacing w:line="360" w:lineRule="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"_Toc89864152" </w:instrText>
          </w:r>
          <w:r>
            <w:rPr>
              <w:rFonts w:hint="default" w:ascii="Times New Roman" w:hAnsi="Times New Roman" w:cs="Times New Roman"/>
            </w:rPr>
            <w:fldChar w:fldCharType="separate"/>
          </w:r>
          <w:r>
            <w:rPr>
              <w:rStyle w:val="23"/>
              <w:rFonts w:hint="default" w:ascii="Times New Roman" w:hAnsi="Times New Roman" w:cs="Times New Roman"/>
              <w:color w:val="000000" w:themeColor="text1"/>
              <w:sz w:val="24"/>
              <w:szCs w:val="24"/>
              <w14:textFill>
                <w14:solidFill>
                  <w14:schemeClr w14:val="tx1"/>
                </w14:solidFill>
              </w14:textFill>
            </w:rPr>
            <w:t>7  Installation and</w:t>
          </w:r>
          <w:r>
            <w:rPr>
              <w:rFonts w:hint="default" w:ascii="Times New Roman" w:hAnsi="Times New Roman" w:cs="Times New Roman"/>
              <w:color w:val="000000" w:themeColor="text1"/>
              <w:sz w:val="24"/>
              <w:szCs w:val="24"/>
              <w14:textFill>
                <w14:solidFill>
                  <w14:schemeClr w14:val="tx1"/>
                </w14:solidFill>
              </w14:textFill>
            </w:rPr>
            <w:t xml:space="preserve"> </w:t>
          </w:r>
          <w:r>
            <w:rPr>
              <w:rStyle w:val="23"/>
              <w:rFonts w:hint="default" w:ascii="Times New Roman" w:hAnsi="Times New Roman" w:cs="Times New Roman"/>
              <w:color w:val="000000" w:themeColor="text1"/>
              <w:sz w:val="24"/>
              <w:szCs w:val="24"/>
              <w14:textFill>
                <w14:solidFill>
                  <w14:schemeClr w14:val="tx1"/>
                </w14:solidFill>
              </w14:textFill>
            </w:rPr>
            <w:t>Acceptance</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14:textFill>
                <w14:solidFill>
                  <w14:schemeClr w14:val="tx1"/>
                </w14:solidFill>
              </w14:textFill>
            </w:rPr>
            <w:fldChar w:fldCharType="end"/>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10</w:t>
          </w:r>
          <w:r>
            <w:rPr>
              <w:rFonts w:hint="default" w:ascii="Times New Roman" w:hAnsi="Times New Roman" w:cs="Times New Roman"/>
              <w:color w:val="000000" w:themeColor="text1"/>
              <w:sz w:val="24"/>
              <w:szCs w:val="24"/>
              <w:lang w:val="en-US" w:eastAsia="zh-CN"/>
              <w14:textFill>
                <w14:solidFill>
                  <w14:schemeClr w14:val="tx1"/>
                </w14:solidFill>
              </w14:textFill>
            </w:rPr>
            <w:t>）</w:t>
          </w:r>
        </w:p>
        <w:p>
          <w:pPr>
            <w:pStyle w:val="11"/>
            <w:tabs>
              <w:tab w:val="right" w:leader="dot" w:pos="8302"/>
            </w:tabs>
            <w:spacing w:line="360" w:lineRule="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"_Toc89864155" </w:instrText>
          </w:r>
          <w:r>
            <w:rPr>
              <w:rFonts w:hint="default" w:ascii="Times New Roman" w:hAnsi="Times New Roman" w:cs="Times New Roman"/>
            </w:rPr>
            <w:fldChar w:fldCharType="separate"/>
          </w:r>
          <w:r>
            <w:rPr>
              <w:rStyle w:val="23"/>
              <w:rFonts w:hint="default" w:ascii="Times New Roman" w:hAnsi="Times New Roman" w:cs="Times New Roman"/>
              <w:color w:val="000000" w:themeColor="text1"/>
              <w:sz w:val="24"/>
              <w:szCs w:val="24"/>
              <w14:textFill>
                <w14:solidFill>
                  <w14:schemeClr w14:val="tx1"/>
                </w14:solidFill>
              </w14:textFill>
            </w:rPr>
            <w:t xml:space="preserve">8  Operation and Maintenance </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14:textFill>
                <w14:solidFill>
                  <w14:schemeClr w14:val="tx1"/>
                </w14:solidFill>
              </w14:textFill>
            </w:rPr>
            <w:fldChar w:fldCharType="end"/>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11</w:t>
          </w:r>
          <w:r>
            <w:rPr>
              <w:rFonts w:hint="default" w:ascii="Times New Roman" w:hAnsi="Times New Roman" w:cs="Times New Roman"/>
              <w:color w:val="000000" w:themeColor="text1"/>
              <w:sz w:val="24"/>
              <w:szCs w:val="24"/>
              <w:lang w:val="en-US" w:eastAsia="zh-CN"/>
              <w14:textFill>
                <w14:solidFill>
                  <w14:schemeClr w14:val="tx1"/>
                </w14:solidFill>
              </w14:textFill>
            </w:rPr>
            <w:t>）</w:t>
          </w:r>
        </w:p>
        <w:p>
          <w:pPr>
            <w:pStyle w:val="11"/>
            <w:tabs>
              <w:tab w:val="right" w:leader="dot" w:pos="8302"/>
            </w:tabs>
            <w:spacing w:line="360" w:lineRule="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 xml:space="preserve">Appendix A </w:t>
          </w:r>
          <w:r>
            <w:rPr>
              <w:rFonts w:hint="eastAsia" w:cs="Times New Roman"/>
              <w:color w:val="000000" w:themeColor="text1"/>
              <w:sz w:val="24"/>
              <w:szCs w:val="24"/>
              <w:lang w:val="en-US" w:eastAsia="zh-CN"/>
              <w14:textFill>
                <w14:solidFill>
                  <w14:schemeClr w14:val="tx1"/>
                </w14:solidFill>
              </w14:textFill>
            </w:rPr>
            <w:t xml:space="preserve"> </w:t>
          </w:r>
          <w:r>
            <w:rPr>
              <w:rFonts w:hint="default" w:ascii="Times New Roman" w:hAnsi="Times New Roman" w:cs="Times New Roman"/>
              <w:color w:val="000000" w:themeColor="text1"/>
              <w:sz w:val="24"/>
              <w:szCs w:val="24"/>
              <w14:textFill>
                <w14:solidFill>
                  <w14:schemeClr w14:val="tx1"/>
                </w14:solidFill>
              </w14:textFill>
            </w:rPr>
            <w:t>System Function Configuration Table</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12</w:t>
          </w:r>
          <w:r>
            <w:rPr>
              <w:rFonts w:hint="default" w:ascii="Times New Roman" w:hAnsi="Times New Roman" w:cs="Times New Roman"/>
              <w:color w:val="000000" w:themeColor="text1"/>
              <w:sz w:val="24"/>
              <w:szCs w:val="24"/>
              <w:lang w:val="en-US" w:eastAsia="zh-CN"/>
              <w14:textFill>
                <w14:solidFill>
                  <w14:schemeClr w14:val="tx1"/>
                </w14:solidFill>
              </w14:textFill>
            </w:rPr>
            <w:t>）</w:t>
          </w:r>
        </w:p>
        <w:p>
          <w:pPr>
            <w:pStyle w:val="11"/>
            <w:tabs>
              <w:tab w:val="right" w:leader="dot" w:pos="8302"/>
            </w:tabs>
            <w:spacing w:line="360" w:lineRule="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b/>
              <w:bCs/>
              <w:color w:val="000000" w:themeColor="text1"/>
              <w:sz w:val="24"/>
              <w:szCs w:val="24"/>
              <w:lang w:val="zh-CN"/>
              <w14:textFill>
                <w14:solidFill>
                  <w14:schemeClr w14:val="tx1"/>
                </w14:solidFill>
              </w14:textFill>
            </w:rPr>
            <w:fldChar w:fldCharType="end"/>
          </w:r>
          <w:r>
            <w:rPr>
              <w:rFonts w:hint="default" w:ascii="Times New Roman" w:hAnsi="Times New Roman" w:cs="Times New Roman"/>
              <w:b w:val="0"/>
              <w:bCs w:val="0"/>
              <w:color w:val="000000" w:themeColor="text1"/>
              <w:sz w:val="24"/>
              <w:szCs w:val="24"/>
              <w:lang w:val="zh-CN"/>
              <w14:textFill>
                <w14:solidFill>
                  <w14:schemeClr w14:val="tx1"/>
                </w14:solidFill>
              </w14:textFill>
            </w:rPr>
            <w:t xml:space="preserve">Explanation of </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W</w:t>
          </w:r>
          <w:r>
            <w:rPr>
              <w:rFonts w:hint="default" w:ascii="Times New Roman" w:hAnsi="Times New Roman" w:cs="Times New Roman"/>
              <w:b w:val="0"/>
              <w:bCs w:val="0"/>
              <w:color w:val="000000" w:themeColor="text1"/>
              <w:sz w:val="24"/>
              <w:szCs w:val="24"/>
              <w:lang w:val="zh-CN"/>
              <w14:textFill>
                <w14:solidFill>
                  <w14:schemeClr w14:val="tx1"/>
                </w14:solidFill>
              </w14:textFill>
            </w:rPr>
            <w:t>ording in</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T</w:t>
          </w:r>
          <w:r>
            <w:rPr>
              <w:rFonts w:hint="default" w:ascii="Times New Roman" w:hAnsi="Times New Roman" w:cs="Times New Roman"/>
              <w:b w:val="0"/>
              <w:bCs w:val="0"/>
              <w:color w:val="000000" w:themeColor="text1"/>
              <w:sz w:val="24"/>
              <w:szCs w:val="24"/>
              <w:lang w:val="zh-CN"/>
              <w14:textFill>
                <w14:solidFill>
                  <w14:schemeClr w14:val="tx1"/>
                </w14:solidFill>
              </w14:textFill>
            </w:rPr>
            <w:t xml:space="preserve">his </w:t>
          </w:r>
          <w:r>
            <w:rPr>
              <w:rFonts w:hint="default" w:ascii="Times New Roman" w:hAnsi="Times New Roman" w:cs="Times New Roman"/>
              <w:b w:val="0"/>
              <w:bCs w:val="0"/>
              <w:color w:val="000000" w:themeColor="text1"/>
              <w:sz w:val="24"/>
              <w:szCs w:val="24"/>
              <w:lang w:val="en-US" w:eastAsia="zh-CN"/>
              <w14:textFill>
                <w14:solidFill>
                  <w14:schemeClr w14:val="tx1"/>
                </w14:solidFill>
              </w14:textFill>
            </w:rPr>
            <w:t>C</w:t>
          </w:r>
          <w:r>
            <w:rPr>
              <w:rFonts w:hint="default" w:ascii="Times New Roman" w:hAnsi="Times New Roman" w:cs="Times New Roman"/>
              <w:b w:val="0"/>
              <w:bCs w:val="0"/>
              <w:color w:val="000000" w:themeColor="text1"/>
              <w:sz w:val="24"/>
              <w:szCs w:val="24"/>
              <w:lang w:val="zh-CN"/>
              <w14:textFill>
                <w14:solidFill>
                  <w14:schemeClr w14:val="tx1"/>
                </w14:solidFill>
              </w14:textFill>
            </w:rPr>
            <w:t>ode</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13</w:t>
          </w:r>
          <w:r>
            <w:rPr>
              <w:rFonts w:hint="default" w:ascii="Times New Roman" w:hAnsi="Times New Roman" w:cs="Times New Roman"/>
              <w:color w:val="000000" w:themeColor="text1"/>
              <w:sz w:val="24"/>
              <w:szCs w:val="24"/>
              <w:lang w:val="en-US" w:eastAsia="zh-CN"/>
              <w14:textFill>
                <w14:solidFill>
                  <w14:schemeClr w14:val="tx1"/>
                </w14:solidFill>
              </w14:textFill>
            </w:rPr>
            <w:t>）</w:t>
          </w:r>
        </w:p>
        <w:p>
          <w:pPr>
            <w:pStyle w:val="11"/>
            <w:tabs>
              <w:tab w:val="right" w:leader="dot" w:pos="8302"/>
            </w:tabs>
            <w:spacing w:line="360" w:lineRule="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List of Quoted Standards</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14</w:t>
          </w:r>
          <w:r>
            <w:rPr>
              <w:rFonts w:hint="default" w:ascii="Times New Roman" w:hAnsi="Times New Roman" w:cs="Times New Roman"/>
              <w:color w:val="000000" w:themeColor="text1"/>
              <w:sz w:val="24"/>
              <w:szCs w:val="24"/>
              <w:lang w:val="en-US" w:eastAsia="zh-CN"/>
              <w14:textFill>
                <w14:solidFill>
                  <w14:schemeClr w14:val="tx1"/>
                </w14:solidFill>
              </w14:textFill>
            </w:rPr>
            <w:t>）</w:t>
          </w:r>
        </w:p>
        <w:p>
          <w:pPr>
            <w:pStyle w:val="11"/>
            <w:tabs>
              <w:tab w:val="right" w:leader="dot" w:pos="8302"/>
            </w:tabs>
            <w:spacing w:line="360" w:lineRule="auto"/>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t>Addition</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Explanation of Provisions</w:t>
          </w:r>
          <w:r>
            <w:rPr>
              <w:rFonts w:hint="default" w:ascii="Times New Roman" w:hAnsi="Times New Roman"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15</w:t>
          </w:r>
          <w:r>
            <w:rPr>
              <w:rFonts w:hint="default" w:ascii="Times New Roman" w:hAnsi="Times New Roman" w:cs="Times New Roman"/>
              <w:color w:val="000000" w:themeColor="text1"/>
              <w:sz w:val="24"/>
              <w:szCs w:val="24"/>
              <w:lang w:val="en-US" w:eastAsia="zh-CN"/>
              <w14:textFill>
                <w14:solidFill>
                  <w14:schemeClr w14:val="tx1"/>
                </w14:solidFill>
              </w14:textFill>
            </w:rPr>
            <w:t>）</w:t>
          </w:r>
        </w:p>
        <w:p>
          <w:pPr>
            <w:adjustRightInd w:val="0"/>
            <w:snapToGrid w:val="0"/>
            <w:spacing w:line="360" w:lineRule="auto"/>
            <w:jc w:val="center"/>
            <w:outlineLvl w:val="0"/>
            <w:rPr>
              <w:rFonts w:hint="eastAsia" w:ascii="黑体" w:hAnsi="黑体" w:eastAsia="黑体"/>
              <w:color w:val="000000" w:themeColor="text1"/>
              <w:sz w:val="28"/>
              <w:szCs w:val="28"/>
              <w14:textFill>
                <w14:solidFill>
                  <w14:schemeClr w14:val="tx1"/>
                </w14:solidFill>
              </w14:textFill>
            </w:rPr>
            <w:sectPr>
              <w:pgSz w:w="11906" w:h="16838"/>
              <w:pgMar w:top="1440" w:right="1797" w:bottom="1440" w:left="1797" w:header="851" w:footer="584" w:gutter="0"/>
              <w:cols w:space="720" w:num="1"/>
              <w:docGrid w:type="lines" w:linePitch="312" w:charSpace="0"/>
            </w:sectPr>
          </w:pPr>
        </w:p>
      </w:sdtContent>
    </w:sdt>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default" w:ascii="Times New Roman" w:hAnsi="Times New Roman" w:eastAsia="宋体" w:cs="Times New Roman"/>
          <w:b/>
          <w:bCs/>
          <w:color w:val="000000" w:themeColor="text1"/>
          <w:sz w:val="30"/>
          <w:szCs w:val="30"/>
          <w14:textFill>
            <w14:solidFill>
              <w14:schemeClr w14:val="tx1"/>
            </w14:solidFill>
          </w14:textFill>
        </w:rPr>
      </w:pPr>
      <w:bookmarkStart w:id="4" w:name="_Toc187409875"/>
      <w:bookmarkStart w:id="5" w:name="_Toc90114511"/>
      <w:bookmarkStart w:id="6" w:name="_Toc193987802"/>
      <w:bookmarkStart w:id="7" w:name="_Toc89867327"/>
      <w:bookmarkStart w:id="8" w:name="_Toc192872054"/>
      <w:r>
        <w:rPr>
          <w:rFonts w:hint="default" w:ascii="Times New Roman" w:hAnsi="Times New Roman" w:eastAsia="宋体" w:cs="Times New Roman"/>
          <w:b/>
          <w:bCs/>
          <w:color w:val="000000" w:themeColor="text1"/>
          <w:sz w:val="30"/>
          <w:szCs w:val="30"/>
          <w14:textFill>
            <w14:solidFill>
              <w14:schemeClr w14:val="tx1"/>
            </w14:solidFill>
          </w14:textFill>
        </w:rPr>
        <w:t xml:space="preserve">1 </w:t>
      </w:r>
      <w:r>
        <w:rPr>
          <w:rFonts w:hint="default" w:ascii="Times New Roman" w:hAnsi="Times New Roman" w:eastAsia="宋体" w:cs="Times New Roman"/>
          <w:b/>
          <w:bCs/>
          <w:color w:val="000000" w:themeColor="text1"/>
          <w:sz w:val="30"/>
          <w:szCs w:val="30"/>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30"/>
          <w:szCs w:val="30"/>
          <w14:textFill>
            <w14:solidFill>
              <w14:schemeClr w14:val="tx1"/>
            </w14:solidFill>
          </w14:textFill>
        </w:rPr>
        <w:t>总  则</w:t>
      </w:r>
      <w:bookmarkEnd w:id="3"/>
      <w:bookmarkEnd w:id="4"/>
      <w:bookmarkEnd w:id="5"/>
      <w:bookmarkEnd w:id="6"/>
      <w:bookmarkEnd w:id="7"/>
      <w:bookmarkEnd w:id="8"/>
    </w:p>
    <w:p>
      <w:pPr>
        <w:pStyle w:val="35"/>
        <w:adjustRightInd w:val="0"/>
        <w:snapToGrid w:val="0"/>
        <w:spacing w:line="360" w:lineRule="auto"/>
        <w:ind w:firstLine="0" w:firstLineChars="0"/>
        <w:rPr>
          <w:rFonts w:hint="eastAsia" w:ascii="宋体" w:hAnsi="宋体" w:eastAsia="宋体" w:cs="宋体"/>
          <w:b w:val="0"/>
          <w:bCs w:val="0"/>
          <w:color w:val="000000" w:themeColor="text1"/>
          <w:sz w:val="24"/>
          <w:szCs w:val="24"/>
          <w14:textFill>
            <w14:solidFill>
              <w14:schemeClr w14:val="tx1"/>
            </w14:solidFill>
          </w14:textFill>
        </w:rPr>
      </w:pPr>
      <w:r>
        <w:rPr>
          <w:rFonts w:hint="default" w:ascii="Times New Roman" w:hAnsi="Times New Roman" w:eastAsia="宋体" w:cs="Times New Roman"/>
          <w:b/>
          <w:bCs/>
          <w:color w:val="000000"/>
          <w:kern w:val="0"/>
          <w:sz w:val="24"/>
          <w:szCs w:val="24"/>
          <w:lang w:val="en-US" w:eastAsia="zh-CN" w:bidi="ar-SA"/>
        </w:rPr>
        <w:t>1.0.1</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themeColor="text1"/>
          <w:sz w:val="24"/>
          <w:szCs w:val="24"/>
          <w14:textFill>
            <w14:solidFill>
              <w14:schemeClr w14:val="tx1"/>
            </w14:solidFill>
          </w14:textFill>
        </w:rPr>
        <w:t>为了规范石油和化工企业接地电阻在线监测系统的设计，做到安全可靠、技术先进、质量优良，促进石油和化工行业接地电阻在线监测系统的总体水平提升，制定本规范。</w:t>
      </w:r>
    </w:p>
    <w:p>
      <w:pPr>
        <w:pStyle w:val="35"/>
        <w:adjustRightInd w:val="0"/>
        <w:snapToGrid w:val="0"/>
        <w:spacing w:line="360" w:lineRule="auto"/>
        <w:ind w:firstLine="0" w:firstLineChars="0"/>
        <w:rPr>
          <w:rFonts w:hint="eastAsia" w:ascii="宋体" w:hAnsi="宋体" w:eastAsia="宋体" w:cs="宋体"/>
          <w:b w:val="0"/>
          <w:bCs w:val="0"/>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1.0.2</w:t>
      </w:r>
      <w:r>
        <w:rPr>
          <w:rFonts w:hint="eastAsia" w:ascii="宋体" w:hAnsi="宋体" w:eastAsia="宋体" w:cs="宋体"/>
          <w:b w:val="0"/>
          <w:bCs w:val="0"/>
          <w:color w:val="000000" w:themeColor="text1"/>
          <w:sz w:val="24"/>
          <w:szCs w:val="24"/>
          <w14:textFill>
            <w14:solidFill>
              <w14:schemeClr w14:val="tx1"/>
            </w14:solidFill>
          </w14:textFill>
        </w:rPr>
        <w:t xml:space="preserve"> </w:t>
      </w:r>
      <w:r>
        <w:rPr>
          <w:rFonts w:hint="eastAsia" w:ascii="宋体" w:hAnsi="宋体" w:cs="宋体"/>
          <w:b w:val="0"/>
          <w:bCs w:val="0"/>
          <w:color w:val="000000" w:themeColor="text1"/>
          <w:sz w:val="24"/>
          <w:szCs w:val="24"/>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14:textFill>
            <w14:solidFill>
              <w14:schemeClr w14:val="tx1"/>
            </w14:solidFill>
          </w14:textFill>
        </w:rPr>
        <w:t>本规范适用于新建、改建和扩建的石油和化工企业接地电阻在线监测系统的设计、安装、验收、运行与维护。</w:t>
      </w:r>
    </w:p>
    <w:p>
      <w:pPr>
        <w:pStyle w:val="35"/>
        <w:adjustRightInd w:val="0"/>
        <w:snapToGrid w:val="0"/>
        <w:spacing w:line="360" w:lineRule="auto"/>
        <w:ind w:firstLine="0" w:firstLineChars="0"/>
        <w:rPr>
          <w:rFonts w:hint="eastAsia" w:ascii="宋体" w:hAnsi="宋体" w:eastAsia="宋体" w:cs="宋体"/>
          <w:b w:val="0"/>
          <w:bCs w:val="0"/>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1.0.3</w:t>
      </w:r>
      <w:r>
        <w:rPr>
          <w:rFonts w:hint="eastAsia" w:ascii="宋体" w:hAnsi="宋体" w:eastAsia="宋体" w:cs="宋体"/>
          <w:b w:val="0"/>
          <w:bCs w:val="0"/>
          <w:color w:val="000000" w:themeColor="text1"/>
          <w:sz w:val="24"/>
          <w:szCs w:val="24"/>
          <w14:textFill>
            <w14:solidFill>
              <w14:schemeClr w14:val="tx1"/>
            </w14:solidFill>
          </w14:textFill>
        </w:rPr>
        <w:t xml:space="preserve"> </w:t>
      </w:r>
      <w:r>
        <w:rPr>
          <w:rFonts w:hint="eastAsia" w:ascii="宋体" w:hAnsi="宋体" w:cs="宋体"/>
          <w:b w:val="0"/>
          <w:bCs w:val="0"/>
          <w:color w:val="000000" w:themeColor="text1"/>
          <w:sz w:val="24"/>
          <w:szCs w:val="24"/>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14:textFill>
            <w14:solidFill>
              <w14:schemeClr w14:val="tx1"/>
            </w14:solidFill>
          </w14:textFill>
        </w:rPr>
        <w:t>石油和化工企业接地电阻在线监测系统的设计、安装、验收、运行与维护除应符合本规范外，尚应符合国家现行有关标准的规定。</w:t>
      </w:r>
    </w:p>
    <w:p>
      <w:pPr>
        <w:pStyle w:val="35"/>
        <w:adjustRightInd w:val="0"/>
        <w:snapToGrid w:val="0"/>
        <w:spacing w:line="360" w:lineRule="auto"/>
        <w:ind w:firstLine="0" w:firstLineChars="0"/>
        <w:rPr>
          <w:rFonts w:hint="eastAsia" w:ascii="宋体" w:hAnsi="宋体"/>
          <w:color w:val="000000" w:themeColor="text1"/>
          <w:sz w:val="24"/>
          <w:szCs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黑体" w:hAnsi="黑体" w:eastAsia="黑体"/>
          <w:color w:val="000000" w:themeColor="text1"/>
          <w:sz w:val="28"/>
          <w:szCs w:val="28"/>
          <w14:textFill>
            <w14:solidFill>
              <w14:schemeClr w14:val="tx1"/>
            </w14:solidFill>
          </w14:textFill>
        </w:rPr>
      </w:pPr>
      <w:r>
        <w:rPr>
          <w:rFonts w:ascii="黑体" w:hAnsi="黑体" w:eastAsia="黑体"/>
          <w:color w:val="000000" w:themeColor="text1"/>
          <w:sz w:val="24"/>
          <w:szCs w:val="24"/>
          <w14:textFill>
            <w14:solidFill>
              <w14:schemeClr w14:val="tx1"/>
            </w14:solidFill>
          </w14:textFill>
        </w:rPr>
        <w:br w:type="page"/>
      </w:r>
      <w:bookmarkStart w:id="9" w:name="_Toc89867328"/>
      <w:bookmarkStart w:id="10" w:name="_Toc187409876"/>
      <w:bookmarkStart w:id="11" w:name="_Toc33811175"/>
      <w:bookmarkStart w:id="12" w:name="_Toc90114512"/>
      <w:bookmarkStart w:id="13" w:name="_Toc193987803"/>
      <w:bookmarkStart w:id="14" w:name="_Toc192872055"/>
      <w:r>
        <w:rPr>
          <w:rFonts w:hint="eastAsia" w:ascii="Times New Roman" w:hAnsi="Times New Roman" w:eastAsia="宋体" w:cs="Times New Roman"/>
          <w:b/>
          <w:bCs/>
          <w:color w:val="000000" w:themeColor="text1"/>
          <w:sz w:val="30"/>
          <w:szCs w:val="30"/>
          <w14:textFill>
            <w14:solidFill>
              <w14:schemeClr w14:val="tx1"/>
            </w14:solidFill>
          </w14:textFill>
        </w:rPr>
        <w:t xml:space="preserve">2 </w:t>
      </w:r>
      <w:r>
        <w:rPr>
          <w:rFonts w:hint="eastAsia" w:ascii="Times New Roman" w:hAnsi="Times New Roman" w:eastAsia="宋体"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术  语</w:t>
      </w:r>
      <w:bookmarkEnd w:id="9"/>
      <w:bookmarkEnd w:id="10"/>
      <w:bookmarkEnd w:id="11"/>
      <w:bookmarkEnd w:id="12"/>
      <w:bookmarkEnd w:id="13"/>
      <w:bookmarkEnd w:id="14"/>
    </w:p>
    <w:p>
      <w:pPr>
        <w:spacing w:line="360" w:lineRule="auto"/>
        <w:rPr>
          <w:rFonts w:hint="eastAsia" w:ascii="宋体" w:hAnsi="宋体" w:eastAsia="宋体" w:cs="宋体"/>
          <w:b/>
          <w:bCs/>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 xml:space="preserve">2.0.1 </w:t>
      </w:r>
      <w:r>
        <w:rPr>
          <w:rFonts w:hint="eastAsia" w:cs="Times New Roman"/>
          <w:b/>
          <w:bCs/>
          <w:color w:val="000000"/>
          <w:kern w:val="0"/>
          <w:sz w:val="24"/>
          <w:szCs w:val="24"/>
          <w:lang w:val="en-US" w:eastAsia="zh-CN" w:bidi="ar-SA"/>
        </w:rPr>
        <w:t xml:space="preserve"> </w:t>
      </w:r>
      <w:r>
        <w:rPr>
          <w:rFonts w:hint="eastAsia" w:ascii="Times New Roman" w:hAnsi="Times New Roman" w:eastAsia="宋体" w:cs="Times New Roman"/>
          <w:b/>
          <w:bCs/>
          <w:color w:val="000000"/>
          <w:kern w:val="0"/>
          <w:sz w:val="24"/>
          <w:szCs w:val="24"/>
          <w:lang w:val="en-US" w:eastAsia="zh-CN" w:bidi="ar-SA"/>
        </w:rPr>
        <w:t>接地 ground</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一种可使电路或电气设备接到大地或接到代替大地的、某种较大的导电体的有意或非有意的导电连接。</w:t>
      </w:r>
    </w:p>
    <w:p>
      <w:pPr>
        <w:spacing w:line="360" w:lineRule="auto"/>
        <w:rPr>
          <w:rFonts w:hint="eastAsia" w:ascii="Times New Roman" w:hAnsi="Times New Roman" w:eastAsia="宋体" w:cs="Times New Roman"/>
          <w:b/>
          <w:bCs/>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 xml:space="preserve">2.0.2 </w:t>
      </w:r>
      <w:r>
        <w:rPr>
          <w:rFonts w:hint="eastAsia" w:cs="Times New Roman"/>
          <w:b/>
          <w:bCs/>
          <w:color w:val="000000"/>
          <w:kern w:val="0"/>
          <w:sz w:val="24"/>
          <w:szCs w:val="24"/>
          <w:lang w:val="en-US" w:eastAsia="zh-CN" w:bidi="ar-SA"/>
        </w:rPr>
        <w:t xml:space="preserve"> </w:t>
      </w:r>
      <w:r>
        <w:rPr>
          <w:rFonts w:hint="eastAsia" w:ascii="Times New Roman" w:hAnsi="Times New Roman" w:eastAsia="宋体" w:cs="Times New Roman"/>
          <w:b/>
          <w:bCs/>
          <w:color w:val="000000"/>
          <w:kern w:val="0"/>
          <w:sz w:val="24"/>
          <w:szCs w:val="24"/>
          <w:lang w:val="en-US" w:eastAsia="zh-CN" w:bidi="ar-SA"/>
        </w:rPr>
        <w:t>接地网 grounding gird</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由埋在地中的互相连接的裸导体构成的一组接地极，用以为电气设备和金属结构提供共同的地。</w:t>
      </w:r>
    </w:p>
    <w:p>
      <w:pPr>
        <w:spacing w:line="360" w:lineRule="auto"/>
        <w:rPr>
          <w:rFonts w:hint="eastAsia" w:ascii="Times New Roman" w:hAnsi="Times New Roman" w:eastAsia="宋体" w:cs="Times New Roman"/>
          <w:b/>
          <w:bCs/>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 xml:space="preserve">2.0.3 </w:t>
      </w:r>
      <w:r>
        <w:rPr>
          <w:rFonts w:hint="eastAsia" w:cs="Times New Roman"/>
          <w:b/>
          <w:bCs/>
          <w:color w:val="000000"/>
          <w:kern w:val="0"/>
          <w:sz w:val="24"/>
          <w:szCs w:val="24"/>
          <w:lang w:val="en-US" w:eastAsia="zh-CN" w:bidi="ar-SA"/>
        </w:rPr>
        <w:t xml:space="preserve"> </w:t>
      </w:r>
      <w:r>
        <w:rPr>
          <w:rFonts w:hint="eastAsia" w:ascii="Times New Roman" w:hAnsi="Times New Roman" w:eastAsia="宋体" w:cs="Times New Roman"/>
          <w:b/>
          <w:bCs/>
          <w:color w:val="000000"/>
          <w:kern w:val="0"/>
          <w:sz w:val="24"/>
          <w:szCs w:val="24"/>
          <w:lang w:val="en-US" w:eastAsia="zh-CN" w:bidi="ar-SA"/>
        </w:rPr>
        <w:t>接地装置 earth-termination system</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指</w:t>
      </w:r>
      <w:r>
        <w:rPr>
          <w:rFonts w:hint="eastAsia" w:ascii="宋体" w:hAnsi="宋体" w:eastAsia="宋体" w:cs="宋体"/>
          <w:color w:val="000000" w:themeColor="text1"/>
          <w:sz w:val="24"/>
          <w:szCs w:val="24"/>
          <w14:textFill>
            <w14:solidFill>
              <w14:schemeClr w14:val="tx1"/>
            </w14:solidFill>
          </w14:textFill>
        </w:rPr>
        <w:t>接地体和接地线的总和，用于传导雷电流并将其流散入大地。</w:t>
      </w:r>
    </w:p>
    <w:p>
      <w:pPr>
        <w:spacing w:line="360" w:lineRule="auto"/>
        <w:rPr>
          <w:rFonts w:hint="eastAsia" w:ascii="Times New Roman" w:hAnsi="Times New Roman" w:eastAsia="宋体" w:cs="Times New Roman"/>
          <w:b/>
          <w:bCs/>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 xml:space="preserve">2.0.4 </w:t>
      </w:r>
      <w:r>
        <w:rPr>
          <w:rFonts w:hint="eastAsia" w:cs="Times New Roman"/>
          <w:b/>
          <w:bCs/>
          <w:color w:val="000000"/>
          <w:kern w:val="0"/>
          <w:sz w:val="24"/>
          <w:szCs w:val="24"/>
          <w:lang w:val="en-US" w:eastAsia="zh-CN" w:bidi="ar-SA"/>
        </w:rPr>
        <w:t xml:space="preserve"> </w:t>
      </w:r>
      <w:r>
        <w:rPr>
          <w:rFonts w:hint="eastAsia" w:ascii="Times New Roman" w:hAnsi="Times New Roman" w:eastAsia="宋体" w:cs="Times New Roman"/>
          <w:b/>
          <w:bCs/>
          <w:color w:val="000000"/>
          <w:kern w:val="0"/>
          <w:sz w:val="24"/>
          <w:szCs w:val="24"/>
          <w:lang w:val="en-US" w:eastAsia="zh-CN" w:bidi="ar-SA"/>
        </w:rPr>
        <w:t>接地体 earth electrode</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指</w:t>
      </w:r>
      <w:r>
        <w:rPr>
          <w:rFonts w:hint="eastAsia" w:ascii="宋体" w:hAnsi="宋体" w:eastAsia="宋体" w:cs="宋体"/>
          <w:color w:val="000000" w:themeColor="text1"/>
          <w:sz w:val="24"/>
          <w:szCs w:val="24"/>
          <w14:textFill>
            <w14:solidFill>
              <w14:schemeClr w14:val="tx1"/>
            </w14:solidFill>
          </w14:textFill>
        </w:rPr>
        <w:t>埋入土壤中或混凝土基础中作散流用的导体。</w:t>
      </w:r>
    </w:p>
    <w:p>
      <w:pPr>
        <w:spacing w:line="360" w:lineRule="auto"/>
        <w:rPr>
          <w:rFonts w:hint="eastAsia" w:ascii="Times New Roman" w:hAnsi="Times New Roman" w:eastAsia="宋体" w:cs="Times New Roman"/>
          <w:b/>
          <w:bCs/>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 xml:space="preserve">2.0.5 </w:t>
      </w:r>
      <w:r>
        <w:rPr>
          <w:rFonts w:hint="eastAsia" w:cs="Times New Roman"/>
          <w:b/>
          <w:bCs/>
          <w:color w:val="000000"/>
          <w:kern w:val="0"/>
          <w:sz w:val="24"/>
          <w:szCs w:val="24"/>
          <w:lang w:val="en-US" w:eastAsia="zh-CN" w:bidi="ar-SA"/>
        </w:rPr>
        <w:t xml:space="preserve"> </w:t>
      </w:r>
      <w:r>
        <w:rPr>
          <w:rFonts w:hint="eastAsia" w:ascii="Times New Roman" w:hAnsi="Times New Roman" w:eastAsia="宋体" w:cs="Times New Roman"/>
          <w:b/>
          <w:bCs/>
          <w:color w:val="000000"/>
          <w:kern w:val="0"/>
          <w:sz w:val="24"/>
          <w:szCs w:val="24"/>
          <w:lang w:val="en-US" w:eastAsia="zh-CN" w:bidi="ar-SA"/>
        </w:rPr>
        <w:t>接地线 earthing conductor</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从引下线断接卡或换线处至接地体的连接导体；或从接地端子、等电位连接带至接地体的连接导体。</w:t>
      </w:r>
    </w:p>
    <w:p>
      <w:pPr>
        <w:spacing w:line="360" w:lineRule="auto"/>
        <w:rPr>
          <w:rFonts w:hint="eastAsia" w:ascii="Times New Roman" w:hAnsi="Times New Roman" w:eastAsia="宋体" w:cs="Times New Roman"/>
          <w:b/>
          <w:bCs/>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 xml:space="preserve">2.0.6 </w:t>
      </w:r>
      <w:r>
        <w:rPr>
          <w:rFonts w:hint="eastAsia" w:cs="Times New Roman"/>
          <w:b/>
          <w:bCs/>
          <w:color w:val="000000"/>
          <w:kern w:val="0"/>
          <w:sz w:val="24"/>
          <w:szCs w:val="24"/>
          <w:lang w:val="en-US" w:eastAsia="zh-CN" w:bidi="ar-SA"/>
        </w:rPr>
        <w:t xml:space="preserve"> </w:t>
      </w:r>
      <w:r>
        <w:rPr>
          <w:rFonts w:hint="eastAsia" w:ascii="Times New Roman" w:hAnsi="Times New Roman" w:eastAsia="宋体" w:cs="Times New Roman"/>
          <w:b/>
          <w:bCs/>
          <w:color w:val="000000"/>
          <w:kern w:val="0"/>
          <w:sz w:val="24"/>
          <w:szCs w:val="24"/>
          <w:lang w:val="en-US" w:eastAsia="zh-CN" w:bidi="ar-SA"/>
        </w:rPr>
        <w:t>工频接地电阻 power frequency ground resistance</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指</w:t>
      </w:r>
      <w:r>
        <w:rPr>
          <w:rFonts w:hint="eastAsia" w:ascii="宋体" w:hAnsi="宋体" w:eastAsia="宋体" w:cs="宋体"/>
          <w:color w:val="000000" w:themeColor="text1"/>
          <w:sz w:val="24"/>
          <w:szCs w:val="24"/>
          <w14:textFill>
            <w14:solidFill>
              <w14:schemeClr w14:val="tx1"/>
            </w14:solidFill>
          </w14:textFill>
        </w:rPr>
        <w:t>工频电流流过接地装置时，接地体与远方大地之间的电阻。其数值等于接地装置相对远方大地的电压与通过接地体流入地中电流的比值。</w:t>
      </w:r>
    </w:p>
    <w:p>
      <w:pPr>
        <w:spacing w:line="360" w:lineRule="auto"/>
        <w:rPr>
          <w:rFonts w:hint="eastAsia" w:ascii="Times New Roman" w:hAnsi="Times New Roman" w:eastAsia="宋体" w:cs="Times New Roman"/>
          <w:b/>
          <w:bCs/>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 xml:space="preserve">2.0.7 </w:t>
      </w:r>
      <w:r>
        <w:rPr>
          <w:rFonts w:hint="eastAsia" w:cs="Times New Roman"/>
          <w:b/>
          <w:bCs/>
          <w:color w:val="000000"/>
          <w:kern w:val="0"/>
          <w:sz w:val="24"/>
          <w:szCs w:val="24"/>
          <w:lang w:val="en-US" w:eastAsia="zh-CN" w:bidi="ar-SA"/>
        </w:rPr>
        <w:t xml:space="preserve"> </w:t>
      </w:r>
      <w:r>
        <w:rPr>
          <w:rFonts w:hint="eastAsia" w:ascii="Times New Roman" w:hAnsi="Times New Roman" w:eastAsia="宋体" w:cs="Times New Roman"/>
          <w:b/>
          <w:bCs/>
          <w:color w:val="000000"/>
          <w:kern w:val="0"/>
          <w:sz w:val="24"/>
          <w:szCs w:val="24"/>
          <w:lang w:val="en-US" w:eastAsia="zh-CN" w:bidi="ar-SA"/>
        </w:rPr>
        <w:t>冲击接地电阻 impulse earthing resistance</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指</w:t>
      </w:r>
      <w:r>
        <w:rPr>
          <w:rFonts w:hint="eastAsia" w:ascii="宋体" w:hAnsi="宋体" w:eastAsia="宋体" w:cs="宋体"/>
          <w:color w:val="000000" w:themeColor="text1"/>
          <w:sz w:val="24"/>
          <w:szCs w:val="24"/>
          <w14:textFill>
            <w14:solidFill>
              <w14:schemeClr w14:val="tx1"/>
            </w14:solidFill>
          </w14:textFill>
        </w:rPr>
        <w:t>根据通过接地体流入地中冲击电流求得的接地电阻（接地体上对地电压的峰值与电流峰值之比）。</w:t>
      </w:r>
    </w:p>
    <w:p>
      <w:pPr>
        <w:spacing w:line="360" w:lineRule="auto"/>
        <w:rPr>
          <w:rFonts w:hint="eastAsia" w:ascii="Times New Roman" w:hAnsi="Times New Roman" w:eastAsia="宋体" w:cs="Times New Roman"/>
          <w:b/>
          <w:bCs/>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 xml:space="preserve">2.0.8 </w:t>
      </w:r>
      <w:r>
        <w:rPr>
          <w:rFonts w:hint="eastAsia" w:cs="Times New Roman"/>
          <w:b/>
          <w:bCs/>
          <w:color w:val="000000"/>
          <w:kern w:val="0"/>
          <w:sz w:val="24"/>
          <w:szCs w:val="24"/>
          <w:lang w:val="en-US" w:eastAsia="zh-CN" w:bidi="ar-SA"/>
        </w:rPr>
        <w:t xml:space="preserve"> </w:t>
      </w:r>
      <w:r>
        <w:rPr>
          <w:rFonts w:hint="eastAsia" w:ascii="Times New Roman" w:hAnsi="Times New Roman" w:eastAsia="宋体" w:cs="Times New Roman"/>
          <w:b/>
          <w:bCs/>
          <w:color w:val="000000"/>
          <w:kern w:val="0"/>
          <w:sz w:val="24"/>
          <w:szCs w:val="24"/>
          <w:lang w:val="en-US" w:eastAsia="zh-CN" w:bidi="ar-SA"/>
        </w:rPr>
        <w:t>接地电阻在线监测系统 grounding resistance online monitoring system</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通过接地监测设备，按照用户的配置参数，进行工频接地电阻等实时在线监</w:t>
      </w:r>
      <w:r>
        <w:rPr>
          <w:rFonts w:hint="eastAsia" w:ascii="宋体" w:hAnsi="宋体" w:eastAsia="宋体" w:cs="宋体"/>
          <w:color w:val="000000" w:themeColor="text1"/>
          <w:spacing w:val="-11"/>
          <w:sz w:val="24"/>
          <w:szCs w:val="24"/>
          <w14:textFill>
            <w14:solidFill>
              <w14:schemeClr w14:val="tx1"/>
            </w14:solidFill>
          </w14:textFill>
        </w:rPr>
        <w:t>测和数据处理的系统。接地监测设备包括接地电阻在线监测设备和接地综合监测设备。</w:t>
      </w:r>
    </w:p>
    <w:p>
      <w:pPr>
        <w:spacing w:line="360" w:lineRule="auto"/>
        <w:rPr>
          <w:rFonts w:hint="eastAsia" w:ascii="Times New Roman" w:hAnsi="Times New Roman" w:eastAsia="宋体" w:cs="Times New Roman"/>
          <w:b/>
          <w:bCs/>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 xml:space="preserve">2.0.9 </w:t>
      </w:r>
      <w:r>
        <w:rPr>
          <w:rFonts w:hint="eastAsia" w:cs="Times New Roman"/>
          <w:b/>
          <w:bCs/>
          <w:color w:val="000000"/>
          <w:kern w:val="0"/>
          <w:sz w:val="24"/>
          <w:szCs w:val="24"/>
          <w:lang w:val="en-US" w:eastAsia="zh-CN" w:bidi="ar-SA"/>
        </w:rPr>
        <w:t xml:space="preserve"> </w:t>
      </w:r>
      <w:r>
        <w:rPr>
          <w:rFonts w:hint="eastAsia" w:ascii="Times New Roman" w:hAnsi="Times New Roman" w:eastAsia="宋体" w:cs="Times New Roman"/>
          <w:b/>
          <w:bCs/>
          <w:color w:val="000000"/>
          <w:kern w:val="0"/>
          <w:sz w:val="24"/>
          <w:szCs w:val="24"/>
          <w:lang w:val="en-US" w:eastAsia="zh-CN" w:bidi="ar-SA"/>
        </w:rPr>
        <w:t>接地电阻在线监测设备 grounding resistance online monitoring device</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指</w:t>
      </w:r>
      <w:r>
        <w:rPr>
          <w:rFonts w:hint="eastAsia" w:ascii="宋体" w:hAnsi="宋体" w:eastAsia="宋体" w:cs="宋体"/>
          <w:color w:val="000000" w:themeColor="text1"/>
          <w:sz w:val="24"/>
          <w:szCs w:val="24"/>
          <w14:textFill>
            <w14:solidFill>
              <w14:schemeClr w14:val="tx1"/>
            </w14:solidFill>
          </w14:textFill>
        </w:rPr>
        <w:t>可对工频接地电阻进行自动测量并记录的设备，具有通信接口。</w:t>
      </w:r>
    </w:p>
    <w:p>
      <w:pPr>
        <w:spacing w:line="360" w:lineRule="auto"/>
        <w:rPr>
          <w:rFonts w:hint="eastAsia" w:ascii="Times New Roman" w:hAnsi="Times New Roman" w:eastAsia="宋体" w:cs="Times New Roman"/>
          <w:b/>
          <w:bCs/>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 xml:space="preserve">2.0.10 </w:t>
      </w:r>
      <w:r>
        <w:rPr>
          <w:rFonts w:hint="eastAsia" w:cs="Times New Roman"/>
          <w:b/>
          <w:bCs/>
          <w:color w:val="000000"/>
          <w:kern w:val="0"/>
          <w:sz w:val="24"/>
          <w:szCs w:val="24"/>
          <w:lang w:val="en-US" w:eastAsia="zh-CN" w:bidi="ar-SA"/>
        </w:rPr>
        <w:t xml:space="preserve"> </w:t>
      </w:r>
      <w:r>
        <w:rPr>
          <w:rFonts w:hint="eastAsia" w:ascii="Times New Roman" w:hAnsi="Times New Roman" w:eastAsia="宋体" w:cs="Times New Roman"/>
          <w:b/>
          <w:bCs/>
          <w:color w:val="000000"/>
          <w:kern w:val="0"/>
          <w:sz w:val="24"/>
          <w:szCs w:val="24"/>
          <w:lang w:val="en-US" w:eastAsia="zh-CN" w:bidi="ar-SA"/>
        </w:rPr>
        <w:t>接地综合监测设备 grounding comprehensive monitoring equipment</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指</w:t>
      </w:r>
      <w:r>
        <w:rPr>
          <w:rFonts w:hint="eastAsia" w:ascii="宋体" w:hAnsi="宋体" w:eastAsia="宋体" w:cs="宋体"/>
          <w:color w:val="000000" w:themeColor="text1"/>
          <w:sz w:val="24"/>
          <w:szCs w:val="24"/>
          <w14:textFill>
            <w14:solidFill>
              <w14:schemeClr w14:val="tx1"/>
            </w14:solidFill>
          </w14:textFill>
        </w:rPr>
        <w:t>集成接地电阻监测、土壤电阻率监测、电气完整性监测、地电位反击监测等接地监测功能的设备，具备显示、记录和管理功能，具有交互界面和通信接口。</w:t>
      </w:r>
    </w:p>
    <w:p>
      <w:pPr>
        <w:spacing w:line="360" w:lineRule="auto"/>
        <w:rPr>
          <w:rFonts w:hint="eastAsia" w:ascii="Times New Roman" w:hAnsi="Times New Roman" w:eastAsia="宋体" w:cs="Times New Roman"/>
          <w:b/>
          <w:bCs/>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 xml:space="preserve">2.0.11 </w:t>
      </w:r>
      <w:r>
        <w:rPr>
          <w:rFonts w:hint="eastAsia" w:cs="Times New Roman"/>
          <w:b/>
          <w:bCs/>
          <w:color w:val="000000"/>
          <w:kern w:val="0"/>
          <w:sz w:val="24"/>
          <w:szCs w:val="24"/>
          <w:lang w:val="en-US" w:eastAsia="zh-CN" w:bidi="ar-SA"/>
        </w:rPr>
        <w:t xml:space="preserve"> </w:t>
      </w:r>
      <w:r>
        <w:rPr>
          <w:rFonts w:hint="eastAsia" w:ascii="Times New Roman" w:hAnsi="Times New Roman" w:eastAsia="宋体" w:cs="Times New Roman"/>
          <w:b/>
          <w:bCs/>
          <w:color w:val="000000"/>
          <w:kern w:val="0"/>
          <w:sz w:val="24"/>
          <w:szCs w:val="24"/>
          <w:lang w:val="en-US" w:eastAsia="zh-CN" w:bidi="ar-SA"/>
        </w:rPr>
        <w:t>土壤电阻率 earth resistivity</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表征土壤导电性能的参数，它的值等于单位立方体土壤相对两面间测得的电阻。</w:t>
      </w:r>
    </w:p>
    <w:p>
      <w:pPr>
        <w:spacing w:line="360" w:lineRule="auto"/>
        <w:rPr>
          <w:rFonts w:hint="eastAsia" w:ascii="Times New Roman" w:hAnsi="Times New Roman" w:eastAsia="宋体" w:cs="Times New Roman"/>
          <w:b/>
          <w:bCs/>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 xml:space="preserve">2.0.12 </w:t>
      </w:r>
      <w:r>
        <w:rPr>
          <w:rFonts w:hint="eastAsia" w:cs="Times New Roman"/>
          <w:b/>
          <w:bCs/>
          <w:color w:val="000000"/>
          <w:kern w:val="0"/>
          <w:sz w:val="24"/>
          <w:szCs w:val="24"/>
          <w:lang w:val="en-US" w:eastAsia="zh-CN" w:bidi="ar-SA"/>
        </w:rPr>
        <w:t xml:space="preserve"> </w:t>
      </w:r>
      <w:r>
        <w:rPr>
          <w:rFonts w:hint="eastAsia" w:ascii="Times New Roman" w:hAnsi="Times New Roman" w:eastAsia="宋体" w:cs="Times New Roman"/>
          <w:b/>
          <w:bCs/>
          <w:color w:val="000000"/>
          <w:kern w:val="0"/>
          <w:sz w:val="24"/>
          <w:szCs w:val="24"/>
          <w:lang w:val="en-US" w:eastAsia="zh-CN" w:bidi="ar-SA"/>
        </w:rPr>
        <w:t>电气完整性 electric integrity</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指</w:t>
      </w:r>
      <w:r>
        <w:rPr>
          <w:rFonts w:hint="eastAsia" w:ascii="宋体" w:hAnsi="宋体" w:eastAsia="宋体" w:cs="宋体"/>
          <w:color w:val="000000" w:themeColor="text1"/>
          <w:sz w:val="24"/>
          <w:szCs w:val="24"/>
          <w14:textFill>
            <w14:solidFill>
              <w14:schemeClr w14:val="tx1"/>
            </w14:solidFill>
          </w14:textFill>
        </w:rPr>
        <w:t>各种电气设备之间，以及接地装置的各部分与各设备之间的电气连接性。</w:t>
      </w:r>
    </w:p>
    <w:p>
      <w:pPr>
        <w:spacing w:line="360" w:lineRule="auto"/>
        <w:rPr>
          <w:rFonts w:hint="eastAsia" w:ascii="Times New Roman" w:hAnsi="Times New Roman" w:eastAsia="宋体" w:cs="Times New Roman"/>
          <w:b/>
          <w:bCs/>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 xml:space="preserve">2.0.13 </w:t>
      </w:r>
      <w:r>
        <w:rPr>
          <w:rFonts w:hint="eastAsia" w:cs="Times New Roman"/>
          <w:b/>
          <w:bCs/>
          <w:color w:val="000000"/>
          <w:kern w:val="0"/>
          <w:sz w:val="24"/>
          <w:szCs w:val="24"/>
          <w:lang w:val="en-US" w:eastAsia="zh-CN" w:bidi="ar-SA"/>
        </w:rPr>
        <w:t xml:space="preserve"> </w:t>
      </w:r>
      <w:r>
        <w:rPr>
          <w:rFonts w:hint="eastAsia" w:ascii="Times New Roman" w:hAnsi="Times New Roman" w:eastAsia="宋体" w:cs="Times New Roman"/>
          <w:b/>
          <w:bCs/>
          <w:color w:val="000000"/>
          <w:kern w:val="0"/>
          <w:sz w:val="24"/>
          <w:szCs w:val="24"/>
          <w:lang w:val="en-US" w:eastAsia="zh-CN" w:bidi="ar-SA"/>
        </w:rPr>
        <w:t>地电位反击 ground potential reverse breakdown</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指</w:t>
      </w:r>
      <w:r>
        <w:rPr>
          <w:rFonts w:hint="eastAsia" w:ascii="宋体" w:hAnsi="宋体" w:eastAsia="宋体" w:cs="宋体"/>
          <w:color w:val="000000" w:themeColor="text1"/>
          <w:sz w:val="24"/>
          <w:szCs w:val="24"/>
          <w14:textFill>
            <w14:solidFill>
              <w14:schemeClr w14:val="tx1"/>
            </w14:solidFill>
          </w14:textFill>
        </w:rPr>
        <w:t>雷电流经过接地点或接地系统而引起该区域地电位的变化。地电位反击会引起接地系统电位的变化，可能造成电子设备、电气设备的损坏。</w:t>
      </w:r>
    </w:p>
    <w:p>
      <w:pPr>
        <w:spacing w:line="360" w:lineRule="auto"/>
        <w:rPr>
          <w:rFonts w:hint="eastAsia" w:ascii="Times New Roman" w:hAnsi="Times New Roman" w:eastAsia="宋体" w:cs="Times New Roman"/>
          <w:b/>
          <w:bCs/>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 xml:space="preserve">2.0.14 </w:t>
      </w:r>
      <w:r>
        <w:rPr>
          <w:rFonts w:hint="eastAsia" w:cs="Times New Roman"/>
          <w:b/>
          <w:bCs/>
          <w:color w:val="000000"/>
          <w:kern w:val="0"/>
          <w:sz w:val="24"/>
          <w:szCs w:val="24"/>
          <w:lang w:val="en-US" w:eastAsia="zh-CN" w:bidi="ar-SA"/>
        </w:rPr>
        <w:t xml:space="preserve"> </w:t>
      </w:r>
      <w:r>
        <w:rPr>
          <w:rFonts w:hint="eastAsia" w:ascii="Times New Roman" w:hAnsi="Times New Roman" w:eastAsia="宋体" w:cs="Times New Roman"/>
          <w:b/>
          <w:bCs/>
          <w:color w:val="000000"/>
          <w:kern w:val="0"/>
          <w:sz w:val="24"/>
          <w:szCs w:val="24"/>
          <w:lang w:val="en-US" w:eastAsia="zh-CN" w:bidi="ar-SA"/>
        </w:rPr>
        <w:t>接地杂散电流 grounding stray current</w:t>
      </w:r>
    </w:p>
    <w:p>
      <w:pPr>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指</w:t>
      </w:r>
      <w:r>
        <w:rPr>
          <w:rFonts w:hint="eastAsia" w:ascii="宋体" w:hAnsi="宋体" w:eastAsia="宋体" w:cs="宋体"/>
          <w:color w:val="000000" w:themeColor="text1"/>
          <w:sz w:val="24"/>
          <w:szCs w:val="24"/>
          <w14:textFill>
            <w14:solidFill>
              <w14:schemeClr w14:val="tx1"/>
            </w14:solidFill>
          </w14:textFill>
        </w:rPr>
        <w:t>在非指定回路上流动的电流。或因有意或无意的接地，而流入大地或埋地金属物体中的泄露电流。</w:t>
      </w:r>
    </w:p>
    <w:p>
      <w:pPr>
        <w:spacing w:line="360" w:lineRule="auto"/>
        <w:rPr>
          <w:rFonts w:hint="eastAsia" w:ascii="Times New Roman" w:hAnsi="Times New Roman" w:eastAsia="宋体" w:cs="Times New Roman"/>
          <w:b/>
          <w:bCs/>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 xml:space="preserve">2.0.15 </w:t>
      </w:r>
      <w:r>
        <w:rPr>
          <w:rFonts w:hint="eastAsia" w:cs="Times New Roman"/>
          <w:b/>
          <w:bCs/>
          <w:color w:val="000000"/>
          <w:kern w:val="0"/>
          <w:sz w:val="24"/>
          <w:szCs w:val="24"/>
          <w:lang w:val="en-US" w:eastAsia="zh-CN" w:bidi="ar-SA"/>
        </w:rPr>
        <w:t xml:space="preserve"> </w:t>
      </w:r>
      <w:r>
        <w:rPr>
          <w:rFonts w:hint="eastAsia" w:ascii="Times New Roman" w:hAnsi="Times New Roman" w:eastAsia="宋体" w:cs="Times New Roman"/>
          <w:b/>
          <w:bCs/>
          <w:color w:val="000000"/>
          <w:kern w:val="0"/>
          <w:sz w:val="24"/>
          <w:szCs w:val="24"/>
          <w:lang w:val="en-US" w:eastAsia="zh-CN" w:bidi="ar-SA"/>
        </w:rPr>
        <w:t>智能浪涌保护器（SPD） intelligent SPD</w:t>
      </w:r>
    </w:p>
    <w:p>
      <w:pPr>
        <w:spacing w:line="360" w:lineRule="auto"/>
        <w:ind w:firstLine="480" w:firstLineChars="200"/>
        <w:rPr>
          <w:rFonts w:hint="eastAsia" w:ascii="Times New Roman" w:hAnsi="Times New Roman" w:eastAsia="宋体" w:cs="Times New Roman"/>
          <w:b w:val="0"/>
          <w:bCs w:val="0"/>
          <w:color w:val="000000"/>
          <w:kern w:val="0"/>
          <w:sz w:val="24"/>
          <w:szCs w:val="24"/>
          <w:lang w:val="en-US" w:eastAsia="zh-CN" w:bidi="ar-SA"/>
        </w:rPr>
      </w:pPr>
      <w:r>
        <w:rPr>
          <w:rFonts w:hint="eastAsia" w:ascii="Times New Roman" w:hAnsi="Times New Roman" w:eastAsia="宋体" w:cs="Times New Roman"/>
          <w:b w:val="0"/>
          <w:bCs w:val="0"/>
          <w:color w:val="000000"/>
          <w:kern w:val="0"/>
          <w:sz w:val="24"/>
          <w:szCs w:val="24"/>
          <w:lang w:val="en-US" w:eastAsia="zh-CN" w:bidi="ar-SA"/>
        </w:rPr>
        <w:t>指内部具有实时监测SPD工作状态和运行参数的装置，同时具有通信功能的SPD。</w:t>
      </w:r>
    </w:p>
    <w:p>
      <w:pPr>
        <w:spacing w:line="360" w:lineRule="auto"/>
        <w:rPr>
          <w:rFonts w:ascii="黑体" w:eastAsia="黑体"/>
          <w:color w:val="000000" w:themeColor="text1"/>
          <w:sz w:val="24"/>
          <w:szCs w:val="24"/>
          <w14:textFill>
            <w14:solidFill>
              <w14:schemeClr w14:val="tx1"/>
            </w14:solidFill>
          </w14:textFill>
        </w:rPr>
      </w:pPr>
    </w:p>
    <w:p>
      <w:pPr>
        <w:spacing w:line="360" w:lineRule="auto"/>
        <w:ind w:firstLine="480" w:firstLineChars="200"/>
        <w:rPr>
          <w:rFonts w:hint="eastAsia" w:ascii="黑体" w:hAnsi="黑体" w:eastAsia="黑体"/>
          <w:color w:val="000000" w:themeColor="text1"/>
          <w:sz w:val="24"/>
          <w:szCs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宋体" w:hAnsi="宋体"/>
          <w:color w:val="000000" w:themeColor="text1"/>
          <w:sz w:val="32"/>
          <w:szCs w:val="32"/>
          <w14:textFill>
            <w14:solidFill>
              <w14:schemeClr w14:val="tx1"/>
            </w14:solidFill>
          </w14:textFill>
        </w:rPr>
      </w:pPr>
      <w:r>
        <w:rPr>
          <w:rFonts w:ascii="黑体" w:hAnsi="黑体" w:eastAsia="黑体"/>
          <w:color w:val="000000" w:themeColor="text1"/>
          <w:sz w:val="24"/>
          <w:szCs w:val="24"/>
          <w14:textFill>
            <w14:solidFill>
              <w14:schemeClr w14:val="tx1"/>
            </w14:solidFill>
          </w14:textFill>
        </w:rPr>
        <w:br w:type="page"/>
      </w:r>
      <w:bookmarkStart w:id="15" w:name="_Toc89867329"/>
      <w:bookmarkStart w:id="16" w:name="_Toc192872056"/>
      <w:bookmarkStart w:id="17" w:name="_Toc193987804"/>
      <w:bookmarkStart w:id="18" w:name="_Toc33811178"/>
      <w:bookmarkStart w:id="19" w:name="_Toc187409877"/>
      <w:bookmarkStart w:id="20" w:name="_Toc90114513"/>
      <w:r>
        <w:rPr>
          <w:rFonts w:hint="eastAsia" w:ascii="Times New Roman" w:hAnsi="Times New Roman" w:eastAsia="宋体" w:cs="Times New Roman"/>
          <w:b/>
          <w:bCs/>
          <w:color w:val="000000" w:themeColor="text1"/>
          <w:sz w:val="30"/>
          <w:szCs w:val="30"/>
          <w14:textFill>
            <w14:solidFill>
              <w14:schemeClr w14:val="tx1"/>
            </w14:solidFill>
          </w14:textFill>
        </w:rPr>
        <w:t xml:space="preserve">3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基本规定</w:t>
      </w:r>
      <w:bookmarkEnd w:id="15"/>
      <w:bookmarkEnd w:id="16"/>
      <w:bookmarkEnd w:id="17"/>
      <w:bookmarkEnd w:id="18"/>
      <w:bookmarkEnd w:id="19"/>
      <w:bookmarkEnd w:id="20"/>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bookmarkStart w:id="21" w:name="OLE_LINK1"/>
      <w:r>
        <w:rPr>
          <w:rFonts w:hint="eastAsia" w:ascii="Times New Roman" w:hAnsi="Times New Roman" w:eastAsia="宋体" w:cs="Times New Roman"/>
          <w:b/>
          <w:bCs/>
          <w:color w:val="000000"/>
          <w:kern w:val="0"/>
          <w:sz w:val="24"/>
          <w:szCs w:val="24"/>
          <w:lang w:val="en-US" w:eastAsia="zh-CN" w:bidi="ar-SA"/>
        </w:rPr>
        <w:t>3.0.1</w:t>
      </w:r>
      <w:r>
        <w:rPr>
          <w:rFonts w:hint="eastAsia" w:ascii="Times New Roman" w:hAnsi="Times New Roman" w:eastAsia="宋体" w:cs="Times New Roman"/>
          <w:b/>
          <w:bCs/>
          <w:color w:val="000000" w:themeColor="text1"/>
          <w:sz w:val="30"/>
          <w:szCs w:val="30"/>
          <w14:textFill>
            <w14:solidFill>
              <w14:schemeClr w14:val="tx1"/>
            </w14:solidFill>
          </w14:textFill>
        </w:rPr>
        <w:t xml:space="preserve">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接地电阻在线监测系统应按照石油和化工企业用户的配置要求，测量接地装置的实时接地电阻，实现对接地良好性的实时监测和异常报警。</w:t>
      </w:r>
    </w:p>
    <w:p>
      <w:pPr>
        <w:adjustRightInd w:val="0"/>
        <w:snapToGrid w:val="0"/>
        <w:spacing w:line="360" w:lineRule="auto"/>
        <w:jc w:val="left"/>
        <w:rPr>
          <w:rFonts w:hint="eastAsia" w:ascii="宋体" w:hAnsi="宋体" w:eastAsia="宋体" w:cs="宋体"/>
          <w:sz w:val="24"/>
          <w:szCs w:val="24"/>
        </w:rPr>
      </w:pPr>
      <w:r>
        <w:rPr>
          <w:rFonts w:hint="eastAsia" w:ascii="Times New Roman" w:hAnsi="Times New Roman" w:eastAsia="宋体" w:cs="Times New Roman"/>
          <w:b/>
          <w:bCs/>
          <w:color w:val="000000"/>
          <w:kern w:val="0"/>
          <w:sz w:val="24"/>
          <w:szCs w:val="24"/>
          <w:lang w:val="en-US" w:eastAsia="zh-CN" w:bidi="ar-SA"/>
        </w:rPr>
        <w:t>3.0.2</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接地电阻在线监测系统的接地监测设备应具备测量多点接地电阻、电气完</w:t>
      </w:r>
      <w:r>
        <w:rPr>
          <w:rFonts w:hint="eastAsia" w:ascii="宋体" w:hAnsi="宋体" w:eastAsia="宋体" w:cs="宋体"/>
          <w:sz w:val="24"/>
          <w:szCs w:val="24"/>
        </w:rPr>
        <w:t>整性的功能。</w:t>
      </w:r>
    </w:p>
    <w:p>
      <w:pPr>
        <w:adjustRightInd w:val="0"/>
        <w:snapToGrid w:val="0"/>
        <w:spacing w:line="360" w:lineRule="auto"/>
        <w:jc w:val="left"/>
        <w:rPr>
          <w:rFonts w:hint="eastAsia" w:ascii="宋体" w:hAnsi="宋体" w:eastAsia="宋体" w:cs="宋体"/>
          <w:sz w:val="24"/>
          <w:szCs w:val="24"/>
        </w:rPr>
      </w:pPr>
      <w:r>
        <w:rPr>
          <w:rFonts w:hint="eastAsia" w:ascii="Times New Roman" w:hAnsi="Times New Roman" w:eastAsia="宋体" w:cs="Times New Roman"/>
          <w:b/>
          <w:bCs/>
          <w:color w:val="000000"/>
          <w:kern w:val="0"/>
          <w:sz w:val="24"/>
          <w:szCs w:val="24"/>
          <w:lang w:val="en-US" w:eastAsia="zh-CN" w:bidi="ar-SA"/>
        </w:rPr>
        <w:t xml:space="preserve">3.0.3 </w:t>
      </w:r>
      <w:r>
        <w:rPr>
          <w:rFonts w:hint="eastAsia" w:cs="Times New Roman"/>
          <w:b/>
          <w:bCs/>
          <w:color w:val="000000"/>
          <w:kern w:val="0"/>
          <w:sz w:val="24"/>
          <w:szCs w:val="24"/>
          <w:lang w:val="en-US" w:eastAsia="zh-CN" w:bidi="ar-SA"/>
        </w:rPr>
        <w:t xml:space="preserve"> </w:t>
      </w:r>
      <w:r>
        <w:rPr>
          <w:rFonts w:hint="eastAsia" w:ascii="宋体" w:hAnsi="宋体" w:eastAsia="宋体" w:cs="宋体"/>
          <w:sz w:val="24"/>
          <w:szCs w:val="24"/>
        </w:rPr>
        <w:t>接地电阻在线监测系统应具备与石油和化工企业防雷接地一体化监测平台的数据交互功能。</w:t>
      </w:r>
    </w:p>
    <w:p>
      <w:pPr>
        <w:adjustRightInd w:val="0"/>
        <w:snapToGrid w:val="0"/>
        <w:spacing w:line="360" w:lineRule="auto"/>
        <w:jc w:val="left"/>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 xml:space="preserve">3.0.4 </w:t>
      </w:r>
      <w:r>
        <w:rPr>
          <w:rFonts w:hint="eastAsia" w:cs="Times New Roman"/>
          <w:b/>
          <w:bCs/>
          <w:color w:val="000000"/>
          <w:kern w:val="0"/>
          <w:sz w:val="24"/>
          <w:szCs w:val="24"/>
          <w:lang w:val="en-US" w:eastAsia="zh-CN" w:bidi="ar-SA"/>
        </w:rPr>
        <w:t xml:space="preserve"> </w:t>
      </w:r>
      <w:r>
        <w:rPr>
          <w:rFonts w:hint="eastAsia" w:ascii="宋体" w:hAnsi="宋体" w:eastAsia="宋体" w:cs="宋体"/>
          <w:sz w:val="24"/>
          <w:szCs w:val="24"/>
        </w:rPr>
        <w:t>接地电阻在线监测</w:t>
      </w:r>
      <w:r>
        <w:rPr>
          <w:rFonts w:hint="eastAsia" w:ascii="宋体" w:hAnsi="宋体" w:eastAsia="宋体" w:cs="宋体"/>
          <w:color w:val="000000" w:themeColor="text1"/>
          <w:sz w:val="24"/>
          <w:szCs w:val="24"/>
          <w14:textFill>
            <w14:solidFill>
              <w14:schemeClr w14:val="tx1"/>
            </w14:solidFill>
          </w14:textFill>
        </w:rPr>
        <w:t>系统应具备抗干扰能力。</w:t>
      </w:r>
    </w:p>
    <w:p>
      <w:pPr>
        <w:adjustRightInd w:val="0"/>
        <w:snapToGrid w:val="0"/>
        <w:spacing w:line="360" w:lineRule="auto"/>
        <w:jc w:val="left"/>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 xml:space="preserve">3.0.5 </w:t>
      </w:r>
      <w:r>
        <w:rPr>
          <w:rFonts w:hint="eastAsia" w:cs="Times New Roman"/>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接地电阻在线监测系统的测量精度应满足系统要求，同时不影响被监测的接地系统正常工作。</w:t>
      </w:r>
      <w:bookmarkEnd w:id="21"/>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宋体" w:hAnsi="宋体"/>
          <w:color w:val="000000" w:themeColor="text1"/>
          <w:sz w:val="32"/>
          <w:szCs w:val="32"/>
          <w14:textFill>
            <w14:solidFill>
              <w14:schemeClr w14:val="tx1"/>
            </w14:solidFill>
          </w14:textFill>
        </w:rPr>
      </w:pPr>
      <w:r>
        <w:rPr>
          <w:rFonts w:ascii="黑体" w:hAnsi="黑体" w:eastAsia="黑体"/>
          <w:color w:val="000000" w:themeColor="text1"/>
          <w:sz w:val="24"/>
          <w:szCs w:val="24"/>
          <w14:textFill>
            <w14:solidFill>
              <w14:schemeClr w14:val="tx1"/>
            </w14:solidFill>
          </w14:textFill>
        </w:rPr>
        <w:br w:type="page"/>
      </w:r>
      <w:bookmarkStart w:id="22" w:name="_Toc89867330"/>
      <w:bookmarkStart w:id="23" w:name="_Toc187409878"/>
      <w:bookmarkStart w:id="24" w:name="_Toc90114514"/>
      <w:bookmarkStart w:id="25" w:name="_Toc192872057"/>
      <w:bookmarkStart w:id="26" w:name="_Toc193987805"/>
      <w:bookmarkStart w:id="27" w:name="_Toc33811179"/>
      <w:r>
        <w:rPr>
          <w:rFonts w:hint="eastAsia" w:ascii="Times New Roman" w:hAnsi="Times New Roman" w:eastAsia="宋体" w:cs="Times New Roman"/>
          <w:b/>
          <w:bCs/>
          <w:color w:val="000000" w:themeColor="text1"/>
          <w:sz w:val="30"/>
          <w:szCs w:val="30"/>
          <w14:textFill>
            <w14:solidFill>
              <w14:schemeClr w14:val="tx1"/>
            </w14:solidFill>
          </w14:textFill>
        </w:rPr>
        <w:t xml:space="preserve">4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系统</w:t>
      </w:r>
      <w:bookmarkEnd w:id="22"/>
      <w:bookmarkEnd w:id="23"/>
      <w:bookmarkEnd w:id="24"/>
      <w:r>
        <w:rPr>
          <w:rFonts w:hint="eastAsia" w:ascii="Times New Roman" w:hAnsi="Times New Roman" w:eastAsia="宋体" w:cs="Times New Roman"/>
          <w:b/>
          <w:bCs/>
          <w:color w:val="000000" w:themeColor="text1"/>
          <w:sz w:val="30"/>
          <w:szCs w:val="30"/>
          <w14:textFill>
            <w14:solidFill>
              <w14:schemeClr w14:val="tx1"/>
            </w14:solidFill>
          </w14:textFill>
        </w:rPr>
        <w:t>组成</w:t>
      </w:r>
      <w:bookmarkEnd w:id="25"/>
      <w:bookmarkEnd w:id="26"/>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bookmarkStart w:id="28" w:name="OLE_LINK2"/>
      <w:r>
        <w:rPr>
          <w:rFonts w:hint="eastAsia" w:ascii="Times New Roman" w:hAnsi="Times New Roman" w:eastAsia="宋体" w:cs="Times New Roman"/>
          <w:b/>
          <w:bCs/>
          <w:color w:val="000000"/>
          <w:kern w:val="0"/>
          <w:sz w:val="24"/>
          <w:szCs w:val="24"/>
          <w:lang w:val="en-US" w:eastAsia="zh-CN" w:bidi="ar-SA"/>
        </w:rPr>
        <w:t>4.0.1</w:t>
      </w:r>
      <w:r>
        <w:rPr>
          <w:rFonts w:hint="eastAsia" w:ascii="Times New Roman" w:hAnsi="Times New Roman" w:eastAsia="宋体" w:cs="Times New Roman"/>
          <w:b/>
          <w:bCs/>
          <w:color w:val="000000" w:themeColor="text1"/>
          <w:sz w:val="30"/>
          <w:szCs w:val="30"/>
          <w:lang w:val="en-US" w:eastAsia="zh-CN"/>
          <w14:textFill>
            <w14:solidFill>
              <w14:schemeClr w14:val="tx1"/>
            </w14:solidFill>
          </w14:textFill>
        </w:rPr>
        <w:t xml:space="preserve">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接地电阻在线监测系统应由接地监测设备、网络通信设备、监控平台及连接线缆等部分组成。</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 xml:space="preserve">4.0.2 </w:t>
      </w:r>
      <w:r>
        <w:rPr>
          <w:rFonts w:hint="eastAsia" w:cs="Times New Roman"/>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接地监测设备包括接地电阻在线监测设备和接地综合监测设备两种。接地监测设备应包含实现接地电阻监测所需的测试电极、测试线等。</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4.0.3</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网络通信设备可选择网络交换机或其它设备。</w:t>
      </w:r>
    </w:p>
    <w:p>
      <w:pPr>
        <w:adjustRightInd w:val="0"/>
        <w:snapToGrid w:val="0"/>
        <w:spacing w:line="360" w:lineRule="auto"/>
        <w:rPr>
          <w:rFonts w:hint="eastAsia" w:ascii="宋体" w:hAnsi="宋体" w:eastAsia="宋体" w:cs="宋体"/>
          <w:b/>
          <w:bCs/>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4.0.4</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监控平台由监控主机、数据服务器、报警装置等硬件和系统软件组成。</w:t>
      </w:r>
      <w:bookmarkEnd w:id="28"/>
    </w:p>
    <w:p>
      <w:pPr>
        <w:pStyle w:val="35"/>
        <w:adjustRightInd w:val="0"/>
        <w:snapToGrid w:val="0"/>
        <w:spacing w:line="360" w:lineRule="auto"/>
        <w:ind w:firstLine="0" w:firstLineChars="0"/>
        <w:rPr>
          <w:rFonts w:hint="eastAsia" w:asciiTheme="minorHAnsi" w:hAnsiTheme="minorHAnsi"/>
          <w:color w:val="000000" w:themeColor="text1"/>
          <w:sz w:val="24"/>
          <w:szCs w:val="24"/>
          <w14:textFill>
            <w14:solidFill>
              <w14:schemeClr w14:val="tx1"/>
            </w14:solidFill>
          </w14:textFill>
        </w:rPr>
      </w:pPr>
    </w:p>
    <w:p>
      <w:pPr>
        <w:adjustRightInd w:val="0"/>
        <w:snapToGrid w:val="0"/>
        <w:spacing w:line="312" w:lineRule="auto"/>
        <w:rPr>
          <w:rFonts w:hint="eastAsia" w:ascii="宋体" w:hAnsi="宋体"/>
          <w:color w:val="000000" w:themeColor="text1"/>
          <w:sz w:val="24"/>
          <w:szCs w:val="24"/>
          <w14:textFill>
            <w14:solidFill>
              <w14:schemeClr w14:val="tx1"/>
            </w14:solidFill>
          </w14:textFill>
        </w:rPr>
      </w:pPr>
    </w:p>
    <w:p>
      <w:pPr>
        <w:adjustRightInd w:val="0"/>
        <w:snapToGrid w:val="0"/>
        <w:jc w:val="center"/>
        <w:outlineLvl w:val="0"/>
        <w:rPr>
          <w:rFonts w:hint="eastAsia" w:ascii="黑体" w:hAnsi="黑体" w:eastAsia="黑体"/>
          <w:color w:val="000000" w:themeColor="text1"/>
          <w:sz w:val="30"/>
          <w:szCs w:val="30"/>
          <w14:textFill>
            <w14:solidFill>
              <w14:schemeClr w14:val="tx1"/>
            </w14:solidFill>
          </w14:textFill>
        </w:rPr>
      </w:pPr>
      <w:r>
        <w:rPr>
          <w:rFonts w:ascii="黑体" w:hAnsi="黑体" w:eastAsia="黑体"/>
          <w:color w:val="000000" w:themeColor="text1"/>
          <w:sz w:val="30"/>
          <w:szCs w:val="30"/>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29" w:name="_Toc187409879"/>
      <w:bookmarkStart w:id="30" w:name="_Toc89867335"/>
      <w:bookmarkStart w:id="31" w:name="_Toc90114519"/>
      <w:bookmarkStart w:id="32" w:name="_Toc193987806"/>
      <w:bookmarkStart w:id="33" w:name="_Toc192872058"/>
      <w:r>
        <w:rPr>
          <w:rFonts w:hint="eastAsia" w:ascii="Times New Roman" w:hAnsi="Times New Roman" w:eastAsia="宋体" w:cs="Times New Roman"/>
          <w:b/>
          <w:bCs/>
          <w:color w:val="000000" w:themeColor="text1"/>
          <w:sz w:val="30"/>
          <w:szCs w:val="30"/>
          <w14:textFill>
            <w14:solidFill>
              <w14:schemeClr w14:val="tx1"/>
            </w14:solidFill>
          </w14:textFill>
        </w:rPr>
        <w:t xml:space="preserve">5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系统</w:t>
      </w:r>
      <w:bookmarkEnd w:id="29"/>
      <w:bookmarkEnd w:id="30"/>
      <w:bookmarkEnd w:id="31"/>
      <w:r>
        <w:rPr>
          <w:rFonts w:hint="eastAsia" w:ascii="Times New Roman" w:hAnsi="Times New Roman" w:eastAsia="宋体" w:cs="Times New Roman"/>
          <w:b/>
          <w:bCs/>
          <w:color w:val="000000" w:themeColor="text1"/>
          <w:sz w:val="30"/>
          <w:szCs w:val="30"/>
          <w14:textFill>
            <w14:solidFill>
              <w14:schemeClr w14:val="tx1"/>
            </w14:solidFill>
          </w14:textFill>
        </w:rPr>
        <w:t>功能</w:t>
      </w:r>
      <w:bookmarkEnd w:id="32"/>
      <w:bookmarkEnd w:id="33"/>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bookmarkStart w:id="34" w:name="OLE_LINK3"/>
      <w:r>
        <w:rPr>
          <w:rFonts w:hint="eastAsia" w:ascii="Times New Roman" w:hAnsi="Times New Roman" w:eastAsia="宋体" w:cs="Times New Roman"/>
          <w:b/>
          <w:bCs/>
          <w:color w:val="000000"/>
          <w:kern w:val="0"/>
          <w:sz w:val="24"/>
          <w:szCs w:val="24"/>
          <w:lang w:val="en-US" w:eastAsia="zh-CN" w:bidi="ar-SA"/>
        </w:rPr>
        <w:t>5.0.1</w:t>
      </w:r>
      <w:r>
        <w:rPr>
          <w:rFonts w:hint="eastAsia" w:ascii="Times New Roman" w:hAnsi="Times New Roman" w:eastAsia="宋体" w:cs="Times New Roman"/>
          <w:b/>
          <w:bCs/>
          <w:color w:val="000000" w:themeColor="text1"/>
          <w:sz w:val="30"/>
          <w:szCs w:val="30"/>
          <w:lang w:val="en-US" w:eastAsia="zh-CN"/>
          <w14:textFill>
            <w14:solidFill>
              <w14:schemeClr w14:val="tx1"/>
            </w14:solidFill>
          </w14:textFill>
        </w:rPr>
        <w:t xml:space="preserve">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接地电阻在线监测系统应具有数据采集、分析处理、人机交互、组网通信、记录存储、系统管理等功能。</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5.0.2</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接地电阻在线监测系统应具有阈值设定、时间设定和超限报警等功能。</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5.0.3</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接地电阻在线监测系统应具备故障定位功能，应符合下列规定：</w:t>
      </w:r>
    </w:p>
    <w:p>
      <w:pPr>
        <w:adjustRightInd w:val="0"/>
        <w:snapToGrid w:val="0"/>
        <w:spacing w:line="360" w:lineRule="auto"/>
        <w:ind w:firstLine="482" w:firstLineChars="200"/>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1</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对监测范围内的接地不可靠的设备及设施进行定位。</w:t>
      </w:r>
    </w:p>
    <w:p>
      <w:pPr>
        <w:adjustRightInd w:val="0"/>
        <w:snapToGrid w:val="0"/>
        <w:spacing w:line="360" w:lineRule="auto"/>
        <w:ind w:firstLine="482" w:firstLineChars="200"/>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2</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对监测范围内的接地点接地电阻超过限值的进行定位。</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5.0.4</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b w:val="0"/>
          <w:bCs w:val="0"/>
          <w:color w:val="000000"/>
          <w:spacing w:val="-11"/>
          <w:kern w:val="0"/>
          <w:sz w:val="24"/>
          <w:szCs w:val="24"/>
          <w:lang w:val="en-US" w:eastAsia="zh-CN" w:bidi="ar-SA"/>
        </w:rPr>
        <w:t>接</w:t>
      </w:r>
      <w:r>
        <w:rPr>
          <w:rFonts w:hint="eastAsia" w:ascii="宋体" w:hAnsi="宋体" w:eastAsia="宋体" w:cs="宋体"/>
          <w:color w:val="000000" w:themeColor="text1"/>
          <w:spacing w:val="-11"/>
          <w:sz w:val="24"/>
          <w:szCs w:val="24"/>
          <w14:textFill>
            <w14:solidFill>
              <w14:schemeClr w14:val="tx1"/>
            </w14:solidFill>
          </w14:textFill>
        </w:rPr>
        <w:t>地电阻在线监测系统应具备接地监测设备的远程状态监测和管理控制功能。</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5.0.5</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接地电阻在线监测系统应具有多点监测组网功能，并基于地图进行用户与数据管理。</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5.0.6</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接地电阻在线监测系统宜具备土壤温湿度监测、土壤电阻率监测、电气完整性监测、地电位反击监测、接地杂散电流监测、智能型</w:t>
      </w:r>
      <w:r>
        <w:rPr>
          <w:rFonts w:hint="eastAsia" w:ascii="Times New Roman" w:hAnsi="Times New Roman" w:eastAsia="宋体" w:cs="Times New Roman"/>
          <w:b w:val="0"/>
          <w:bCs w:val="0"/>
          <w:color w:val="000000"/>
          <w:kern w:val="0"/>
          <w:sz w:val="24"/>
          <w:szCs w:val="24"/>
          <w:lang w:val="en-US" w:eastAsia="zh-CN" w:bidi="ar-SA"/>
        </w:rPr>
        <w:t>SPD</w:t>
      </w:r>
      <w:r>
        <w:rPr>
          <w:rFonts w:hint="eastAsia" w:ascii="宋体" w:hAnsi="宋体" w:eastAsia="宋体" w:cs="宋体"/>
          <w:color w:val="000000" w:themeColor="text1"/>
          <w:sz w:val="24"/>
          <w:szCs w:val="24"/>
          <w14:textFill>
            <w14:solidFill>
              <w14:schemeClr w14:val="tx1"/>
            </w14:solidFill>
          </w14:textFill>
        </w:rPr>
        <w:t>监测等接地综合监测功能。</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5.0.7</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接地监测设备应具备</w:t>
      </w:r>
      <w:r>
        <w:rPr>
          <w:rFonts w:hint="eastAsia" w:ascii="宋体" w:hAnsi="宋体" w:cs="宋体"/>
          <w:color w:val="000000" w:themeColor="text1"/>
          <w:sz w:val="24"/>
          <w:szCs w:val="24"/>
          <w:lang w:val="en-US" w:eastAsia="zh-CN"/>
          <w14:textFill>
            <w14:solidFill>
              <w14:schemeClr w14:val="tx1"/>
            </w14:solidFill>
          </w14:textFill>
        </w:rPr>
        <w:t>下列</w:t>
      </w:r>
      <w:r>
        <w:rPr>
          <w:rFonts w:hint="eastAsia" w:ascii="宋体" w:hAnsi="宋体" w:eastAsia="宋体" w:cs="宋体"/>
          <w:color w:val="000000" w:themeColor="text1"/>
          <w:sz w:val="24"/>
          <w:szCs w:val="24"/>
          <w14:textFill>
            <w14:solidFill>
              <w14:schemeClr w14:val="tx1"/>
            </w14:solidFill>
          </w14:textFill>
        </w:rPr>
        <w:t>功能：</w:t>
      </w:r>
    </w:p>
    <w:p>
      <w:pPr>
        <w:adjustRightInd w:val="0"/>
        <w:snapToGrid w:val="0"/>
        <w:spacing w:line="360" w:lineRule="auto"/>
        <w:ind w:firstLine="482" w:firstLineChars="200"/>
        <w:rPr>
          <w:rFonts w:hint="eastAsia" w:ascii="宋体" w:hAnsi="宋体" w:eastAsia="宋体" w:cs="宋体"/>
          <w:sz w:val="24"/>
          <w:szCs w:val="24"/>
        </w:rPr>
      </w:pPr>
      <w:r>
        <w:rPr>
          <w:rFonts w:hint="eastAsia" w:ascii="Times New Roman" w:hAnsi="Times New Roman" w:eastAsia="宋体" w:cs="Times New Roman"/>
          <w:b/>
          <w:bCs/>
          <w:color w:val="000000"/>
          <w:kern w:val="0"/>
          <w:sz w:val="24"/>
          <w:szCs w:val="24"/>
          <w:lang w:val="en-US" w:eastAsia="zh-CN" w:bidi="ar-SA"/>
        </w:rPr>
        <w:t>1</w:t>
      </w:r>
      <w:r>
        <w:rPr>
          <w:rFonts w:hint="eastAsia" w:cs="Times New Roman"/>
          <w:b/>
          <w:bCs/>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eastAsia="宋体" w:cs="宋体"/>
          <w:sz w:val="24"/>
          <w:szCs w:val="24"/>
        </w:rPr>
        <w:t>可接收后台监控系统信息指令，实时测量相关接地点端口接地电阻值。</w:t>
      </w:r>
    </w:p>
    <w:p>
      <w:pPr>
        <w:adjustRightInd w:val="0"/>
        <w:snapToGrid w:val="0"/>
        <w:spacing w:line="360" w:lineRule="auto"/>
        <w:ind w:firstLine="482" w:firstLineChars="200"/>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2</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接地电阻测量与数据采集、本地存储与显示、现场操作与控制等功能。</w:t>
      </w:r>
    </w:p>
    <w:p>
      <w:pPr>
        <w:adjustRightInd w:val="0"/>
        <w:snapToGrid w:val="0"/>
        <w:spacing w:line="360" w:lineRule="auto"/>
        <w:ind w:firstLine="482" w:firstLineChars="200"/>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3</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数据实时传输或定期集中数据传输功能，支持断点续传。</w:t>
      </w:r>
    </w:p>
    <w:p>
      <w:pPr>
        <w:adjustRightInd w:val="0"/>
        <w:snapToGrid w:val="0"/>
        <w:spacing w:line="360" w:lineRule="auto"/>
        <w:ind w:firstLine="482" w:firstLineChars="200"/>
        <w:rPr>
          <w:rFonts w:hint="eastAsia" w:ascii="宋体" w:hAnsi="宋体" w:eastAsia="宋体" w:cs="宋体"/>
          <w:sz w:val="24"/>
          <w:szCs w:val="24"/>
        </w:rPr>
      </w:pPr>
      <w:r>
        <w:rPr>
          <w:rFonts w:hint="eastAsia" w:ascii="Times New Roman" w:hAnsi="Times New Roman" w:eastAsia="宋体" w:cs="Times New Roman"/>
          <w:b/>
          <w:bCs/>
          <w:color w:val="000000"/>
          <w:kern w:val="0"/>
          <w:sz w:val="24"/>
          <w:szCs w:val="24"/>
          <w:lang w:val="en-US" w:eastAsia="zh-CN" w:bidi="ar-SA"/>
        </w:rPr>
        <w:t>4</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sz w:val="24"/>
          <w:szCs w:val="24"/>
        </w:rPr>
        <w:t>自动定时测量功能，时间间隔人工可调。</w:t>
      </w:r>
    </w:p>
    <w:p>
      <w:pPr>
        <w:adjustRightInd w:val="0"/>
        <w:snapToGrid w:val="0"/>
        <w:spacing w:line="360" w:lineRule="auto"/>
        <w:ind w:firstLine="482" w:firstLineChars="200"/>
        <w:rPr>
          <w:rFonts w:hint="eastAsia" w:ascii="宋体" w:hAnsi="宋体" w:eastAsia="宋体" w:cs="宋体"/>
          <w:sz w:val="24"/>
          <w:szCs w:val="24"/>
        </w:rPr>
      </w:pPr>
      <w:r>
        <w:rPr>
          <w:rFonts w:hint="eastAsia" w:ascii="Times New Roman" w:hAnsi="Times New Roman" w:eastAsia="宋体" w:cs="Times New Roman"/>
          <w:b/>
          <w:bCs/>
          <w:color w:val="000000"/>
          <w:kern w:val="0"/>
          <w:sz w:val="24"/>
          <w:szCs w:val="24"/>
          <w:lang w:val="en-US" w:eastAsia="zh-CN" w:bidi="ar-SA"/>
        </w:rPr>
        <w:t>5</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sz w:val="24"/>
          <w:szCs w:val="24"/>
        </w:rPr>
        <w:t>监测接地引下线连接状态、金属回路联结电阻值及连接状态。</w:t>
      </w:r>
    </w:p>
    <w:p>
      <w:pPr>
        <w:adjustRightInd w:val="0"/>
        <w:snapToGrid w:val="0"/>
        <w:spacing w:line="360" w:lineRule="auto"/>
        <w:ind w:firstLine="482" w:firstLineChars="200"/>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6</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设置接地电阻变化预警、报警定值，具有声光报警和事件信息推送功能。</w:t>
      </w:r>
    </w:p>
    <w:p>
      <w:pPr>
        <w:adjustRightInd w:val="0"/>
        <w:snapToGrid w:val="0"/>
        <w:spacing w:line="360" w:lineRule="auto"/>
        <w:ind w:firstLine="482" w:firstLineChars="200"/>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7</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一机多点监测功能。</w:t>
      </w:r>
    </w:p>
    <w:p>
      <w:pPr>
        <w:adjustRightInd w:val="0"/>
        <w:snapToGrid w:val="0"/>
        <w:spacing w:line="360" w:lineRule="auto"/>
        <w:ind w:firstLine="482" w:firstLineChars="200"/>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8</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有防雷保护措施。</w:t>
      </w:r>
    </w:p>
    <w:p>
      <w:pPr>
        <w:adjustRightInd w:val="0"/>
        <w:snapToGrid w:val="0"/>
        <w:spacing w:line="360" w:lineRule="auto"/>
        <w:ind w:firstLine="482" w:firstLineChars="200"/>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9</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宜具有土壤温湿度、土壤电阻率、电气完整性、地电位反击、接地杂散电流、智能型</w:t>
      </w:r>
      <w:r>
        <w:rPr>
          <w:rFonts w:hint="eastAsia" w:ascii="Times New Roman" w:hAnsi="Times New Roman" w:eastAsia="宋体" w:cs="Times New Roman"/>
          <w:b w:val="0"/>
          <w:bCs w:val="0"/>
          <w:color w:val="000000"/>
          <w:kern w:val="0"/>
          <w:sz w:val="24"/>
          <w:szCs w:val="24"/>
          <w:lang w:val="en-US" w:eastAsia="zh-CN" w:bidi="ar-SA"/>
        </w:rPr>
        <w:t>SPD</w:t>
      </w:r>
      <w:r>
        <w:rPr>
          <w:rFonts w:hint="eastAsia" w:ascii="宋体" w:hAnsi="宋体" w:eastAsia="宋体" w:cs="宋体"/>
          <w:b w:val="0"/>
          <w:bCs w:val="0"/>
          <w:color w:val="000000"/>
          <w:kern w:val="0"/>
          <w:sz w:val="24"/>
          <w:szCs w:val="24"/>
          <w:lang w:val="en-US" w:eastAsia="zh-CN" w:bidi="ar-SA"/>
        </w:rPr>
        <w:t>等扩展监测功能。</w:t>
      </w:r>
    </w:p>
    <w:p>
      <w:pPr>
        <w:adjustRightInd w:val="0"/>
        <w:snapToGrid w:val="0"/>
        <w:spacing w:line="360" w:lineRule="auto"/>
        <w:ind w:firstLine="482" w:firstLineChars="200"/>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10</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宜具有接入并实时显示雷电预警系统数据功能，可实现企业防雷防静电综合管理平台功能。</w:t>
      </w:r>
    </w:p>
    <w:p>
      <w:pPr>
        <w:adjustRightInd w:val="0"/>
        <w:snapToGrid w:val="0"/>
        <w:spacing w:line="360" w:lineRule="auto"/>
        <w:ind w:firstLine="482" w:firstLineChars="200"/>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11</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宜具有有线和无线等多种通信方式。</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5.0.8</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接地电阻在线监测系统应具备与石油化工企业其它安全管理系统或平台的开放接口。</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5.0.9</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接地电阻在线监测系统应具备时钟同步功能，实现各节点的时钟同步。</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5.0.10</w:t>
      </w:r>
      <w:r>
        <w:rPr>
          <w:rFonts w:hint="eastAsia" w:cs="Times New Roman"/>
          <w:b/>
          <w:bCs/>
          <w:color w:val="000000"/>
          <w:kern w:val="0"/>
          <w:sz w:val="24"/>
          <w:szCs w:val="24"/>
          <w:lang w:val="en-US" w:eastAsia="zh-CN" w:bidi="ar-SA"/>
        </w:rPr>
        <w:t xml:space="preserve"> </w:t>
      </w:r>
      <w:r>
        <w:rPr>
          <w:rFonts w:hint="eastAsia" w:ascii="宋体" w:hAnsi="宋体" w:eastAsia="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接地电阻在线监测系统的功能配置</w:t>
      </w:r>
      <w:r>
        <w:rPr>
          <w:rFonts w:hint="eastAsia" w:ascii="宋体" w:hAnsi="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应</w:t>
      </w:r>
      <w:r>
        <w:rPr>
          <w:rFonts w:hint="eastAsia" w:ascii="宋体" w:hAnsi="宋体" w:cs="宋体"/>
          <w:color w:val="000000" w:themeColor="text1"/>
          <w:sz w:val="24"/>
          <w:szCs w:val="24"/>
          <w:lang w:val="en-US" w:eastAsia="zh-CN"/>
          <w14:textFill>
            <w14:solidFill>
              <w14:schemeClr w14:val="tx1"/>
            </w14:solidFill>
          </w14:textFill>
        </w:rPr>
        <w:t>按本</w:t>
      </w:r>
      <w:r>
        <w:rPr>
          <w:rFonts w:hint="eastAsia" w:ascii="宋体" w:hAnsi="宋体" w:cs="宋体"/>
          <w:b w:val="0"/>
          <w:bCs w:val="0"/>
          <w:color w:val="000000" w:themeColor="text1"/>
          <w:sz w:val="24"/>
          <w:szCs w:val="24"/>
          <w:lang w:val="en-US" w:eastAsia="zh-CN"/>
          <w14:textFill>
            <w14:solidFill>
              <w14:schemeClr w14:val="tx1"/>
            </w14:solidFill>
          </w14:textFill>
        </w:rPr>
        <w:t>规范</w:t>
      </w:r>
      <w:r>
        <w:rPr>
          <w:rFonts w:hint="eastAsia" w:cs="Times New Roman"/>
          <w:b w:val="0"/>
          <w:bCs w:val="0"/>
          <w:color w:val="000000"/>
          <w:kern w:val="0"/>
          <w:sz w:val="24"/>
          <w:szCs w:val="24"/>
          <w:lang w:val="en-US" w:eastAsia="zh-CN" w:bidi="ar-SA"/>
        </w:rPr>
        <w:t>附录</w:t>
      </w:r>
      <w:r>
        <w:rPr>
          <w:rFonts w:hint="eastAsia" w:ascii="Times New Roman" w:hAnsi="Times New Roman" w:eastAsia="宋体" w:cs="Times New Roman"/>
          <w:b w:val="0"/>
          <w:bCs w:val="0"/>
          <w:color w:val="000000"/>
          <w:kern w:val="0"/>
          <w:sz w:val="24"/>
          <w:szCs w:val="24"/>
          <w:lang w:val="en-US" w:eastAsia="zh-CN" w:bidi="ar-SA"/>
        </w:rPr>
        <w:t>A</w:t>
      </w:r>
      <w:r>
        <w:rPr>
          <w:rFonts w:hint="eastAsia" w:ascii="宋体" w:hAnsi="宋体" w:eastAsia="宋体" w:cs="宋体"/>
          <w:b w:val="0"/>
          <w:bCs w:val="0"/>
          <w:color w:val="000000" w:themeColor="text1"/>
          <w:sz w:val="24"/>
          <w:szCs w:val="24"/>
          <w14:textFill>
            <w14:solidFill>
              <w14:schemeClr w14:val="tx1"/>
            </w14:solidFill>
          </w14:textFill>
        </w:rPr>
        <w:t>的</w:t>
      </w:r>
      <w:r>
        <w:rPr>
          <w:rFonts w:hint="eastAsia" w:ascii="宋体" w:hAnsi="宋体" w:cs="宋体"/>
          <w:b w:val="0"/>
          <w:bCs w:val="0"/>
          <w:color w:val="000000" w:themeColor="text1"/>
          <w:sz w:val="24"/>
          <w:szCs w:val="24"/>
          <w:lang w:val="en-US" w:eastAsia="zh-CN"/>
          <w14:textFill>
            <w14:solidFill>
              <w14:schemeClr w14:val="tx1"/>
            </w14:solidFill>
          </w14:textFill>
        </w:rPr>
        <w:t>有关</w:t>
      </w:r>
      <w:r>
        <w:rPr>
          <w:rFonts w:hint="eastAsia" w:ascii="宋体" w:hAnsi="宋体" w:eastAsia="宋体" w:cs="宋体"/>
          <w:b w:val="0"/>
          <w:bCs w:val="0"/>
          <w:color w:val="000000" w:themeColor="text1"/>
          <w:sz w:val="24"/>
          <w:szCs w:val="24"/>
          <w14:textFill>
            <w14:solidFill>
              <w14:schemeClr w14:val="tx1"/>
            </w14:solidFill>
          </w14:textFill>
        </w:rPr>
        <w:t>规定</w:t>
      </w:r>
      <w:r>
        <w:rPr>
          <w:rFonts w:hint="eastAsia" w:ascii="宋体" w:hAnsi="宋体" w:cs="宋体"/>
          <w:b w:val="0"/>
          <w:bCs w:val="0"/>
          <w:color w:val="000000" w:themeColor="text1"/>
          <w:sz w:val="24"/>
          <w:szCs w:val="24"/>
          <w:lang w:val="en-US" w:eastAsia="zh-CN"/>
          <w14:textFill>
            <w14:solidFill>
              <w14:schemeClr w14:val="tx1"/>
            </w14:solidFill>
          </w14:textFill>
        </w:rPr>
        <w:t>配置</w:t>
      </w:r>
      <w:r>
        <w:rPr>
          <w:rFonts w:hint="eastAsia" w:ascii="宋体" w:hAnsi="宋体" w:eastAsia="宋体" w:cs="宋体"/>
          <w:color w:val="000000" w:themeColor="text1"/>
          <w:sz w:val="24"/>
          <w:szCs w:val="24"/>
          <w14:textFill>
            <w14:solidFill>
              <w14:schemeClr w14:val="tx1"/>
            </w14:solidFill>
          </w14:textFill>
        </w:rPr>
        <w:t>。</w:t>
      </w:r>
    </w:p>
    <w:p>
      <w:pPr>
        <w:adjustRightInd w:val="0"/>
        <w:snapToGrid w:val="0"/>
        <w:spacing w:line="360" w:lineRule="auto"/>
        <w:rPr>
          <w:rFonts w:hint="eastAsia" w:ascii="宋体" w:hAnsi="宋体" w:eastAsia="宋体" w:cs="宋体"/>
          <w:sz w:val="24"/>
          <w:szCs w:val="24"/>
        </w:rPr>
      </w:pPr>
      <w:r>
        <w:rPr>
          <w:rFonts w:hint="eastAsia" w:ascii="Times New Roman" w:hAnsi="Times New Roman" w:eastAsia="宋体" w:cs="Times New Roman"/>
          <w:b/>
          <w:bCs/>
          <w:color w:val="000000"/>
          <w:kern w:val="0"/>
          <w:sz w:val="24"/>
          <w:szCs w:val="24"/>
          <w:lang w:val="en-US" w:eastAsia="zh-CN" w:bidi="ar-SA"/>
        </w:rPr>
        <w:t>5.0.11</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sz w:val="24"/>
          <w:szCs w:val="24"/>
        </w:rPr>
        <w:t>石油和化工企业防雷接地一体化监测平台应具备</w:t>
      </w:r>
      <w:r>
        <w:rPr>
          <w:rFonts w:hint="eastAsia" w:ascii="宋体" w:hAnsi="宋体" w:cs="宋体"/>
          <w:sz w:val="24"/>
          <w:szCs w:val="24"/>
          <w:lang w:val="en-US" w:eastAsia="zh-CN"/>
        </w:rPr>
        <w:t>下列</w:t>
      </w:r>
      <w:r>
        <w:rPr>
          <w:rFonts w:hint="eastAsia" w:ascii="宋体" w:hAnsi="宋体" w:eastAsia="宋体" w:cs="宋体"/>
          <w:sz w:val="24"/>
          <w:szCs w:val="24"/>
        </w:rPr>
        <w:t>功能：</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1</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防雷、防静电设备运行信息、状态监测信息、计量信息等的统一接入、统一存储和统一管理。</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2</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支持接地电阻在线监测系统的各类设备和信息接入。</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3</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支持雷电预警系统的各类设备和信息接入。</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4</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支持防雷设施远程状态监测。</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5</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支持防静电设备的远程状态监测及技术数值测量获取。</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6</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数据采集、分析处理和分类存储，操作控制和运行管理。</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7</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主要性能指标实时数值推送展示和智能告警。</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8</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以图表等多种可视化形式展示运行状态、数据信息、告警提示、模拟量数据等。</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黑体" w:hAnsi="黑体" w:eastAsia="黑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9</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历史数据查询功能。</w:t>
      </w:r>
      <w:bookmarkEnd w:id="34"/>
    </w:p>
    <w:p>
      <w:pPr>
        <w:adjustRightInd w:val="0"/>
        <w:snapToGrid w:val="0"/>
        <w:spacing w:line="360" w:lineRule="auto"/>
        <w:ind w:firstLine="420"/>
        <w:jc w:val="center"/>
        <w:rPr>
          <w:rFonts w:hint="eastAsia" w:ascii="黑体" w:hAnsi="黑体" w:eastAsia="黑体"/>
          <w:color w:val="000000" w:themeColor="text1"/>
          <w:sz w:val="30"/>
          <w:szCs w:val="30"/>
          <w14:textFill>
            <w14:solidFill>
              <w14:schemeClr w14:val="tx1"/>
            </w14:solidFill>
          </w14:textFill>
        </w:rPr>
      </w:pPr>
      <w:r>
        <w:rPr>
          <w:rFonts w:ascii="黑体" w:hAnsi="黑体" w:eastAsia="黑体"/>
          <w:color w:val="000000" w:themeColor="text1"/>
          <w:sz w:val="30"/>
          <w:szCs w:val="30"/>
          <w14:textFill>
            <w14:solidFill>
              <w14:schemeClr w14:val="tx1"/>
            </w14:solidFill>
          </w14:textFill>
        </w:rPr>
        <w:br w:type="page"/>
      </w:r>
    </w:p>
    <w:bookmarkEnd w:id="27"/>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35" w:name="_Toc33811204"/>
      <w:bookmarkStart w:id="36" w:name="_Toc89867339"/>
      <w:bookmarkStart w:id="37" w:name="_Toc90114523"/>
      <w:bookmarkStart w:id="38" w:name="_Toc187409880"/>
      <w:bookmarkStart w:id="39" w:name="_Toc193987807"/>
      <w:bookmarkStart w:id="40" w:name="_Toc192872059"/>
      <w:bookmarkStart w:id="41" w:name="_Toc33811186"/>
      <w:r>
        <w:rPr>
          <w:rFonts w:hint="eastAsia" w:ascii="Times New Roman" w:hAnsi="Times New Roman" w:eastAsia="宋体" w:cs="Times New Roman"/>
          <w:b/>
          <w:bCs/>
          <w:color w:val="000000" w:themeColor="text1"/>
          <w:sz w:val="30"/>
          <w:szCs w:val="30"/>
          <w14:textFill>
            <w14:solidFill>
              <w14:schemeClr w14:val="tx1"/>
            </w14:solidFill>
          </w14:textFill>
        </w:rPr>
        <w:t xml:space="preserve">6 </w:t>
      </w:r>
      <w:bookmarkEnd w:id="35"/>
      <w:bookmarkEnd w:id="36"/>
      <w:bookmarkEnd w:id="37"/>
      <w:bookmarkEnd w:id="38"/>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系统设计</w:t>
      </w:r>
      <w:bookmarkEnd w:id="39"/>
      <w:bookmarkEnd w:id="40"/>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28"/>
          <w:szCs w:val="28"/>
          <w14:textFill>
            <w14:solidFill>
              <w14:schemeClr w14:val="tx1"/>
            </w14:solidFill>
          </w14:textFill>
        </w:rPr>
      </w:pPr>
      <w:bookmarkStart w:id="42" w:name="_Toc193987808"/>
      <w:bookmarkStart w:id="43" w:name="OLE_LINK4"/>
      <w:r>
        <w:rPr>
          <w:rFonts w:hint="eastAsia" w:ascii="Times New Roman" w:hAnsi="Times New Roman" w:eastAsia="宋体" w:cs="Times New Roman"/>
          <w:b/>
          <w:bCs/>
          <w:color w:val="000000" w:themeColor="text1"/>
          <w:sz w:val="28"/>
          <w:szCs w:val="28"/>
          <w14:textFill>
            <w14:solidFill>
              <w14:schemeClr w14:val="tx1"/>
            </w14:solidFill>
          </w14:textFill>
        </w:rPr>
        <w:t>6.1 设计原则</w:t>
      </w:r>
      <w:bookmarkEnd w:id="42"/>
    </w:p>
    <w:p>
      <w:pPr>
        <w:adjustRightInd w:val="0"/>
        <w:snapToGrid w:val="0"/>
        <w:spacing w:line="360" w:lineRule="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6.1.1</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大型石油化工企业、大型油气储存企业、大型危险化学品制造和储存企业应设置接地电阻在线监测系统。</w:t>
      </w:r>
    </w:p>
    <w:p>
      <w:pPr>
        <w:adjustRightInd w:val="0"/>
        <w:snapToGrid w:val="0"/>
        <w:spacing w:line="360" w:lineRule="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6.1.2</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处于强雷区、多雷区的野外作业单位、油气钻井、集输站场、油库、炼化企业、危险化学品制造和储存企业等应设置接地电阻在线监测系统。</w:t>
      </w:r>
    </w:p>
    <w:p>
      <w:pPr>
        <w:adjustRightInd w:val="0"/>
        <w:snapToGrid w:val="0"/>
        <w:spacing w:line="360" w:lineRule="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6.1.3</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处于中雷区的野外作业单位、油气钻井、集输站场、油库、炼化企业、危险化学品制造和储存企业等宜设置接地电阻在线监测系统。</w:t>
      </w:r>
    </w:p>
    <w:p>
      <w:pPr>
        <w:adjustRightInd w:val="0"/>
        <w:snapToGrid w:val="0"/>
        <w:spacing w:line="360" w:lineRule="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6.1.4</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储存易燃易爆介质的地上储罐，应设置接地电阻在线监测系统。</w:t>
      </w:r>
    </w:p>
    <w:p>
      <w:pPr>
        <w:adjustRightInd w:val="0"/>
        <w:snapToGrid w:val="0"/>
        <w:spacing w:line="360" w:lineRule="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6.1.5</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接地电阻在线监测系统和接地监测设备应根据实际需求设置于厂区的相应位置。</w:t>
      </w:r>
    </w:p>
    <w:p>
      <w:pPr>
        <w:adjustRightInd w:val="0"/>
        <w:snapToGrid w:val="0"/>
        <w:spacing w:line="360" w:lineRule="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6.1.6</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接地电阻在线监测系统和接地监测设备应符合石油化工场所的防爆安全要求和环境要求。</w:t>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28"/>
          <w:szCs w:val="28"/>
          <w14:textFill>
            <w14:solidFill>
              <w14:schemeClr w14:val="tx1"/>
            </w14:solidFill>
          </w14:textFill>
        </w:rPr>
      </w:pPr>
      <w:bookmarkStart w:id="44" w:name="_Toc193987809"/>
      <w:r>
        <w:rPr>
          <w:rFonts w:hint="eastAsia" w:ascii="Times New Roman" w:hAnsi="Times New Roman" w:eastAsia="宋体" w:cs="Times New Roman"/>
          <w:b/>
          <w:bCs/>
          <w:color w:val="000000" w:themeColor="text1"/>
          <w:sz w:val="28"/>
          <w:szCs w:val="28"/>
          <w14:textFill>
            <w14:solidFill>
              <w14:schemeClr w14:val="tx1"/>
            </w14:solidFill>
          </w14:textFill>
        </w:rPr>
        <w:t>6.2 系统配置</w:t>
      </w:r>
      <w:bookmarkEnd w:id="44"/>
    </w:p>
    <w:p>
      <w:pPr>
        <w:adjustRightInd w:val="0"/>
        <w:snapToGrid w:val="0"/>
        <w:spacing w:line="360" w:lineRule="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6.2.1</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接地监测设备应根据用户需求，选用接地电阻在线监测设备和接地综合监测设备的一种或两种，应符合下列规定：</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1</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仅需监测接地电阻值时，应选用接地电阻在线监测设备或接地综合监测设备。</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2</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需监测接地电阻值、土壤电阻率、电气完整性、地电位反击、接触电压、接地杂散电流、智能型</w:t>
      </w:r>
      <w:r>
        <w:rPr>
          <w:rFonts w:hint="eastAsia" w:ascii="Times New Roman" w:hAnsi="Times New Roman" w:eastAsia="宋体" w:cs="Times New Roman"/>
          <w:b w:val="0"/>
          <w:bCs w:val="0"/>
          <w:color w:val="000000"/>
          <w:kern w:val="0"/>
          <w:sz w:val="24"/>
          <w:szCs w:val="24"/>
          <w:lang w:val="en-US" w:eastAsia="zh-CN" w:bidi="ar-SA"/>
        </w:rPr>
        <w:t>SPD</w:t>
      </w:r>
      <w:r>
        <w:rPr>
          <w:rFonts w:hint="eastAsia" w:ascii="宋体" w:hAnsi="宋体" w:eastAsia="宋体" w:cs="宋体"/>
          <w:b w:val="0"/>
          <w:bCs w:val="0"/>
          <w:color w:val="000000"/>
          <w:kern w:val="0"/>
          <w:sz w:val="24"/>
          <w:szCs w:val="24"/>
          <w:lang w:val="en-US" w:eastAsia="zh-CN" w:bidi="ar-SA"/>
        </w:rPr>
        <w:t>、雷电预警系统数据等多种综合接地信息时，应选用接地综合监测设备。</w:t>
      </w:r>
    </w:p>
    <w:p>
      <w:pPr>
        <w:adjustRightInd w:val="0"/>
        <w:snapToGrid w:val="0"/>
        <w:spacing w:line="360" w:lineRule="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6.2.2</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应根据用户使用需求，明确接地电阻在线监测系统的功能，可</w:t>
      </w:r>
      <w:r>
        <w:rPr>
          <w:rFonts w:hint="eastAsia" w:ascii="宋体" w:hAnsi="宋体" w:cs="宋体"/>
          <w:b w:val="0"/>
          <w:bCs w:val="0"/>
          <w:color w:val="000000"/>
          <w:kern w:val="0"/>
          <w:sz w:val="24"/>
          <w:szCs w:val="24"/>
          <w:lang w:val="en-US" w:eastAsia="zh-CN" w:bidi="ar-SA"/>
        </w:rPr>
        <w:t>根据</w:t>
      </w:r>
      <w:r>
        <w:rPr>
          <w:rFonts w:hint="eastAsia" w:ascii="宋体" w:hAnsi="宋体" w:cs="宋体"/>
          <w:color w:val="000000" w:themeColor="text1"/>
          <w:sz w:val="24"/>
          <w:szCs w:val="24"/>
          <w:lang w:val="en-US" w:eastAsia="zh-CN"/>
          <w14:textFill>
            <w14:solidFill>
              <w14:schemeClr w14:val="tx1"/>
            </w14:solidFill>
          </w14:textFill>
        </w:rPr>
        <w:t>本</w:t>
      </w:r>
      <w:r>
        <w:rPr>
          <w:rFonts w:hint="eastAsia" w:ascii="宋体" w:hAnsi="宋体" w:cs="宋体"/>
          <w:b w:val="0"/>
          <w:bCs w:val="0"/>
          <w:color w:val="000000" w:themeColor="text1"/>
          <w:sz w:val="24"/>
          <w:szCs w:val="24"/>
          <w:lang w:val="en-US" w:eastAsia="zh-CN"/>
          <w14:textFill>
            <w14:solidFill>
              <w14:schemeClr w14:val="tx1"/>
            </w14:solidFill>
          </w14:textFill>
        </w:rPr>
        <w:t>规范</w:t>
      </w:r>
      <w:r>
        <w:rPr>
          <w:rFonts w:hint="eastAsia" w:cs="Times New Roman"/>
          <w:b w:val="0"/>
          <w:bCs w:val="0"/>
          <w:color w:val="000000"/>
          <w:kern w:val="0"/>
          <w:sz w:val="24"/>
          <w:szCs w:val="24"/>
          <w:lang w:val="en-US" w:eastAsia="zh-CN" w:bidi="ar-SA"/>
        </w:rPr>
        <w:t>附录</w:t>
      </w:r>
      <w:r>
        <w:rPr>
          <w:rFonts w:hint="eastAsia" w:ascii="Times New Roman" w:hAnsi="Times New Roman" w:eastAsia="宋体" w:cs="Times New Roman"/>
          <w:b w:val="0"/>
          <w:bCs w:val="0"/>
          <w:color w:val="000000"/>
          <w:kern w:val="0"/>
          <w:sz w:val="24"/>
          <w:szCs w:val="24"/>
          <w:lang w:val="en-US" w:eastAsia="zh-CN" w:bidi="ar-SA"/>
        </w:rPr>
        <w:t>A</w:t>
      </w:r>
      <w:r>
        <w:rPr>
          <w:rFonts w:hint="eastAsia" w:ascii="宋体" w:hAnsi="宋体" w:eastAsia="宋体" w:cs="宋体"/>
          <w:b w:val="0"/>
          <w:bCs w:val="0"/>
          <w:color w:val="000000" w:themeColor="text1"/>
          <w:sz w:val="24"/>
          <w:szCs w:val="24"/>
          <w14:textFill>
            <w14:solidFill>
              <w14:schemeClr w14:val="tx1"/>
            </w14:solidFill>
          </w14:textFill>
        </w:rPr>
        <w:t>的</w:t>
      </w:r>
      <w:r>
        <w:rPr>
          <w:rFonts w:hint="eastAsia" w:ascii="宋体" w:hAnsi="宋体" w:cs="宋体"/>
          <w:b w:val="0"/>
          <w:bCs w:val="0"/>
          <w:color w:val="000000" w:themeColor="text1"/>
          <w:sz w:val="24"/>
          <w:szCs w:val="24"/>
          <w:lang w:val="en-US" w:eastAsia="zh-CN"/>
          <w14:textFill>
            <w14:solidFill>
              <w14:schemeClr w14:val="tx1"/>
            </w14:solidFill>
          </w14:textFill>
        </w:rPr>
        <w:t>有关</w:t>
      </w:r>
      <w:r>
        <w:rPr>
          <w:rFonts w:hint="eastAsia" w:ascii="宋体" w:hAnsi="宋体" w:eastAsia="宋体" w:cs="宋体"/>
          <w:b w:val="0"/>
          <w:bCs w:val="0"/>
          <w:color w:val="000000" w:themeColor="text1"/>
          <w:sz w:val="24"/>
          <w:szCs w:val="24"/>
          <w14:textFill>
            <w14:solidFill>
              <w14:schemeClr w14:val="tx1"/>
            </w14:solidFill>
          </w14:textFill>
        </w:rPr>
        <w:t>规定</w:t>
      </w:r>
      <w:r>
        <w:rPr>
          <w:rFonts w:hint="eastAsia" w:ascii="宋体" w:hAnsi="宋体" w:cs="宋体"/>
          <w:b w:val="0"/>
          <w:bCs w:val="0"/>
          <w:color w:val="000000" w:themeColor="text1"/>
          <w:sz w:val="24"/>
          <w:szCs w:val="24"/>
          <w:lang w:val="en-US" w:eastAsia="zh-CN"/>
          <w14:textFill>
            <w14:solidFill>
              <w14:schemeClr w14:val="tx1"/>
            </w14:solidFill>
          </w14:textFill>
        </w:rPr>
        <w:t>配置</w:t>
      </w:r>
      <w:r>
        <w:rPr>
          <w:rFonts w:hint="eastAsia" w:ascii="宋体" w:hAnsi="宋体" w:eastAsia="宋体" w:cs="宋体"/>
          <w:b w:val="0"/>
          <w:bCs w:val="0"/>
          <w:color w:val="000000"/>
          <w:kern w:val="0"/>
          <w:sz w:val="24"/>
          <w:szCs w:val="24"/>
          <w:lang w:val="en-US" w:eastAsia="zh-CN" w:bidi="ar-SA"/>
        </w:rPr>
        <w:t>。</w:t>
      </w:r>
    </w:p>
    <w:p>
      <w:pPr>
        <w:adjustRightInd w:val="0"/>
        <w:snapToGrid w:val="0"/>
        <w:spacing w:line="360" w:lineRule="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6.2.3</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应根据用户使用需求，配置接地监测设备的测量方式，可选择自动测量和手动测量的方式。</w:t>
      </w:r>
    </w:p>
    <w:p>
      <w:pPr>
        <w:adjustRightInd w:val="0"/>
        <w:snapToGrid w:val="0"/>
        <w:spacing w:line="360" w:lineRule="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6.2.4</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应根据现场情况选择接地电阻在线监测系统的通信方式和网络通信设备。</w:t>
      </w:r>
    </w:p>
    <w:p>
      <w:pPr>
        <w:adjustRightInd w:val="0"/>
        <w:snapToGrid w:val="0"/>
        <w:spacing w:line="360" w:lineRule="auto"/>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6.2.5</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b w:val="0"/>
          <w:bCs w:val="0"/>
          <w:color w:val="000000"/>
          <w:kern w:val="0"/>
          <w:sz w:val="24"/>
          <w:szCs w:val="24"/>
          <w:lang w:val="en-US" w:eastAsia="zh-CN" w:bidi="ar-SA"/>
        </w:rPr>
        <w:t>应根据现场情况设定接地电阻在线监测系统的报警阈值，接地电阻报警阈值</w:t>
      </w:r>
      <w:r>
        <w:rPr>
          <w:rFonts w:hint="eastAsia" w:ascii="宋体" w:hAnsi="宋体" w:cs="宋体"/>
          <w:b w:val="0"/>
          <w:bCs w:val="0"/>
          <w:color w:val="000000"/>
          <w:kern w:val="0"/>
          <w:sz w:val="24"/>
          <w:szCs w:val="24"/>
          <w:lang w:val="en-US" w:eastAsia="zh-CN" w:bidi="ar-SA"/>
        </w:rPr>
        <w:t>根据现行国家标准《建筑物防雷设计规范》</w:t>
      </w:r>
      <w:r>
        <w:rPr>
          <w:rFonts w:hint="default" w:ascii="Times New Roman" w:hAnsi="Times New Roman" w:eastAsia="宋体" w:cs="Times New Roman"/>
          <w:b w:val="0"/>
          <w:bCs w:val="0"/>
          <w:color w:val="000000"/>
          <w:kern w:val="0"/>
          <w:sz w:val="24"/>
          <w:szCs w:val="24"/>
          <w:lang w:val="en-US" w:eastAsia="zh-CN" w:bidi="ar-SA"/>
        </w:rPr>
        <w:t>GB 50057</w:t>
      </w:r>
      <w:r>
        <w:rPr>
          <w:rFonts w:hint="eastAsia" w:ascii="宋体" w:hAnsi="宋体" w:eastAsia="宋体" w:cs="宋体"/>
          <w:b w:val="0"/>
          <w:bCs w:val="0"/>
          <w:color w:val="000000"/>
          <w:kern w:val="0"/>
          <w:sz w:val="24"/>
          <w:szCs w:val="24"/>
          <w:lang w:val="en-US" w:eastAsia="zh-CN" w:bidi="ar-SA"/>
        </w:rPr>
        <w:t>、</w:t>
      </w:r>
      <w:r>
        <w:rPr>
          <w:rFonts w:ascii="Segoe UI" w:hAnsi="Segoe UI" w:eastAsia="Segoe UI" w:cs="Segoe UI"/>
          <w:i w:val="0"/>
          <w:caps w:val="0"/>
          <w:spacing w:val="0"/>
          <w:sz w:val="24"/>
          <w:szCs w:val="24"/>
          <w:shd w:val="clear" w:fill="FFFFFF"/>
        </w:rPr>
        <w:t>《危险化学品重大危险源安全监控技术规范》</w:t>
      </w:r>
      <w:r>
        <w:rPr>
          <w:rFonts w:hint="eastAsia" w:ascii="Times New Roman" w:hAnsi="Times New Roman" w:eastAsia="宋体" w:cs="Times New Roman"/>
          <w:b w:val="0"/>
          <w:bCs w:val="0"/>
          <w:color w:val="000000"/>
          <w:kern w:val="0"/>
          <w:sz w:val="24"/>
          <w:szCs w:val="24"/>
          <w:lang w:val="en-US" w:eastAsia="zh-CN" w:bidi="ar-SA"/>
        </w:rPr>
        <w:t>GB 17681</w:t>
      </w:r>
      <w:r>
        <w:rPr>
          <w:rFonts w:hint="eastAsia" w:ascii="宋体" w:hAnsi="宋体" w:eastAsia="宋体" w:cs="宋体"/>
          <w:b w:val="0"/>
          <w:bCs w:val="0"/>
          <w:color w:val="000000"/>
          <w:kern w:val="0"/>
          <w:sz w:val="24"/>
          <w:szCs w:val="24"/>
          <w:lang w:val="en-US" w:eastAsia="zh-CN" w:bidi="ar-SA"/>
        </w:rPr>
        <w:t>和《建筑物雷电防护装置检测技术规范》</w:t>
      </w:r>
      <w:r>
        <w:rPr>
          <w:rFonts w:hint="eastAsia" w:ascii="Times New Roman" w:hAnsi="Times New Roman" w:eastAsia="宋体" w:cs="Times New Roman"/>
          <w:b w:val="0"/>
          <w:bCs w:val="0"/>
          <w:color w:val="000000"/>
          <w:kern w:val="0"/>
          <w:sz w:val="24"/>
          <w:szCs w:val="24"/>
          <w:lang w:val="en-US" w:eastAsia="zh-CN" w:bidi="ar-SA"/>
        </w:rPr>
        <w:t>GB/T 21431</w:t>
      </w:r>
      <w:r>
        <w:rPr>
          <w:rFonts w:hint="eastAsia" w:ascii="宋体" w:hAnsi="宋体" w:eastAsia="宋体" w:cs="宋体"/>
          <w:b w:val="0"/>
          <w:bCs w:val="0"/>
          <w:color w:val="000000"/>
          <w:kern w:val="0"/>
          <w:sz w:val="24"/>
          <w:szCs w:val="24"/>
          <w:lang w:val="en-US" w:eastAsia="zh-CN" w:bidi="ar-SA"/>
        </w:rPr>
        <w:t>的有关规定执行。</w:t>
      </w:r>
    </w:p>
    <w:bookmarkEnd w:id="43"/>
    <w:p>
      <w:pPr>
        <w:adjustRightInd w:val="0"/>
        <w:snapToGrid w:val="0"/>
        <w:spacing w:line="360" w:lineRule="auto"/>
        <w:jc w:val="left"/>
        <w:rPr>
          <w:rFonts w:hint="eastAsia" w:ascii="宋体" w:hAnsi="宋体" w:eastAsia="宋体" w:cs="宋体"/>
          <w:color w:val="000000" w:themeColor="text1"/>
          <w:sz w:val="24"/>
          <w:szCs w:val="24"/>
          <w14:textFill>
            <w14:solidFill>
              <w14:schemeClr w14:val="tx1"/>
            </w14:solidFill>
          </w14:textFill>
        </w:rPr>
      </w:pPr>
      <w:bookmarkStart w:id="45" w:name="OLE_LINK5"/>
      <w:r>
        <w:rPr>
          <w:rFonts w:hint="eastAsia" w:ascii="Times New Roman" w:hAnsi="Times New Roman" w:eastAsia="宋体" w:cs="Times New Roman"/>
          <w:b/>
          <w:bCs/>
          <w:color w:val="000000"/>
          <w:kern w:val="0"/>
          <w:sz w:val="24"/>
          <w:szCs w:val="24"/>
          <w:lang w:val="en-US" w:eastAsia="zh-CN" w:bidi="ar-SA"/>
        </w:rPr>
        <w:t xml:space="preserve">6.2.6 </w:t>
      </w:r>
      <w:r>
        <w:rPr>
          <w:rFonts w:hint="eastAsia" w:cs="Times New Roman"/>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接地电阻在线监测系统的设备和软件应采用国产化产品，软件运行环境应支持国产</w:t>
      </w:r>
      <w:r>
        <w:rPr>
          <w:rFonts w:hint="eastAsia" w:ascii="Times New Roman" w:hAnsi="Times New Roman" w:eastAsia="宋体" w:cs="Times New Roman"/>
          <w:b w:val="0"/>
          <w:bCs w:val="0"/>
          <w:color w:val="000000"/>
          <w:kern w:val="0"/>
          <w:sz w:val="24"/>
          <w:szCs w:val="24"/>
          <w:lang w:val="en-US" w:eastAsia="zh-CN" w:bidi="ar-SA"/>
        </w:rPr>
        <w:t>CPU</w:t>
      </w:r>
      <w:r>
        <w:rPr>
          <w:rFonts w:hint="eastAsia" w:ascii="宋体" w:hAnsi="宋体" w:eastAsia="宋体" w:cs="宋体"/>
          <w:color w:val="000000" w:themeColor="text1"/>
          <w:sz w:val="24"/>
          <w:szCs w:val="24"/>
          <w14:textFill>
            <w14:solidFill>
              <w14:schemeClr w14:val="tx1"/>
            </w14:solidFill>
          </w14:textFill>
        </w:rPr>
        <w:t>和国产操作系统。</w:t>
      </w:r>
    </w:p>
    <w:bookmarkEnd w:id="45"/>
    <w:p>
      <w:pPr>
        <w:adjustRightInd w:val="0"/>
        <w:snapToGrid w:val="0"/>
        <w:spacing w:line="360" w:lineRule="auto"/>
        <w:jc w:val="left"/>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6.2.7</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石油化工企业接地电阻在线监测系统的技术指标应符合下列规定：</w:t>
      </w:r>
    </w:p>
    <w:p>
      <w:pPr>
        <w:adjustRightInd w:val="0"/>
        <w:snapToGrid w:val="0"/>
        <w:spacing w:line="360" w:lineRule="auto"/>
        <w:ind w:firstLine="482" w:firstLineChars="200"/>
        <w:jc w:val="left"/>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1</w:t>
      </w:r>
      <w:r>
        <w:rPr>
          <w:rFonts w:hint="eastAsia" w:ascii="宋体" w:hAnsi="宋体" w:eastAsia="宋体" w:cs="宋体"/>
          <w:b w:val="0"/>
          <w:bCs w:val="0"/>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接地电阻的监测指标应符合下列</w:t>
      </w:r>
      <w:r>
        <w:rPr>
          <w:rFonts w:hint="eastAsia" w:ascii="宋体" w:hAnsi="宋体" w:cs="宋体"/>
          <w:color w:val="000000" w:themeColor="text1"/>
          <w:sz w:val="24"/>
          <w:szCs w:val="24"/>
          <w:lang w:val="en-US" w:eastAsia="zh-CN"/>
          <w14:textFill>
            <w14:solidFill>
              <w14:schemeClr w14:val="tx1"/>
            </w14:solidFill>
          </w14:textFill>
        </w:rPr>
        <w:t>要求</w:t>
      </w:r>
      <w:r>
        <w:rPr>
          <w:rFonts w:hint="eastAsia" w:ascii="宋体" w:hAnsi="宋体" w:eastAsia="宋体" w:cs="宋体"/>
          <w:color w:val="000000" w:themeColor="text1"/>
          <w:sz w:val="24"/>
          <w:szCs w:val="24"/>
          <w14:textFill>
            <w14:solidFill>
              <w14:schemeClr w14:val="tx1"/>
            </w14:solidFill>
          </w14:textFill>
        </w:rPr>
        <w:t>：</w:t>
      </w:r>
    </w:p>
    <w:p>
      <w:pPr>
        <w:adjustRightInd w:val="0"/>
        <w:snapToGrid w:val="0"/>
        <w:spacing w:line="360" w:lineRule="auto"/>
        <w:ind w:firstLine="964" w:firstLineChars="400"/>
        <w:jc w:val="left"/>
        <w:rPr>
          <w:rFonts w:hint="eastAsia" w:ascii="宋体" w:hAnsi="宋体" w:eastAsia="宋体" w:cs="宋体"/>
          <w:b w:val="0"/>
          <w:bCs w:val="0"/>
          <w:color w:val="000000"/>
          <w:kern w:val="0"/>
          <w:sz w:val="24"/>
          <w:szCs w:val="24"/>
          <w:lang w:val="en-US" w:eastAsia="zh-CN" w:bidi="ar-SA"/>
        </w:rPr>
      </w:pPr>
      <w:r>
        <w:rPr>
          <w:rFonts w:hint="eastAsia" w:ascii="Times New Roman" w:hAnsi="Times New Roman" w:eastAsia="宋体" w:cs="Times New Roman"/>
          <w:b/>
          <w:bCs/>
          <w:color w:val="000000"/>
          <w:kern w:val="0"/>
          <w:sz w:val="24"/>
          <w:szCs w:val="24"/>
          <w:lang w:val="en-US" w:eastAsia="zh-CN" w:bidi="ar-SA"/>
        </w:rPr>
        <w:t>1</w:t>
      </w:r>
      <w:r>
        <w:rPr>
          <w:rFonts w:hint="eastAsia" w:ascii="Times New Roman" w:hAnsi="Times New Roman" w:eastAsia="宋体" w:cs="Times New Roman"/>
          <w:b w:val="0"/>
          <w:bCs w:val="0"/>
          <w:color w:val="000000"/>
          <w:kern w:val="0"/>
          <w:sz w:val="24"/>
          <w:szCs w:val="24"/>
          <w:lang w:val="en-US" w:eastAsia="zh-CN" w:bidi="ar-SA"/>
        </w:rPr>
        <w:t>）</w:t>
      </w:r>
      <w:r>
        <w:rPr>
          <w:rFonts w:hint="eastAsia" w:ascii="宋体" w:hAnsi="宋体" w:eastAsia="宋体" w:cs="宋体"/>
          <w:b w:val="0"/>
          <w:bCs w:val="0"/>
          <w:color w:val="000000"/>
          <w:kern w:val="0"/>
          <w:sz w:val="24"/>
          <w:szCs w:val="24"/>
          <w:lang w:val="en-US" w:eastAsia="zh-CN" w:bidi="ar-SA"/>
        </w:rPr>
        <w:t>监测范围：</w:t>
      </w:r>
      <w:r>
        <w:rPr>
          <w:rFonts w:hint="default" w:ascii="Times New Roman" w:hAnsi="Times New Roman" w:eastAsia="宋体" w:cs="Times New Roman"/>
          <w:b w:val="0"/>
          <w:bCs w:val="0"/>
          <w:color w:val="000000"/>
          <w:kern w:val="0"/>
          <w:sz w:val="24"/>
          <w:szCs w:val="24"/>
          <w:lang w:val="en-US" w:eastAsia="zh-CN" w:bidi="ar-SA"/>
        </w:rPr>
        <w:t>0.1～99.99Ω</w:t>
      </w:r>
      <w:r>
        <w:rPr>
          <w:rFonts w:hint="eastAsia" w:ascii="宋体" w:hAnsi="宋体" w:eastAsia="宋体" w:cs="宋体"/>
          <w:b w:val="0"/>
          <w:bCs w:val="0"/>
          <w:color w:val="000000"/>
          <w:kern w:val="0"/>
          <w:sz w:val="24"/>
          <w:szCs w:val="24"/>
          <w:lang w:val="en-US" w:eastAsia="zh-CN" w:bidi="ar-SA"/>
        </w:rPr>
        <w:t>。</w:t>
      </w:r>
    </w:p>
    <w:p>
      <w:pPr>
        <w:adjustRightInd w:val="0"/>
        <w:snapToGrid w:val="0"/>
        <w:spacing w:line="360" w:lineRule="auto"/>
        <w:ind w:firstLine="964" w:firstLineChars="400"/>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b/>
          <w:bCs/>
          <w:color w:val="000000"/>
          <w:kern w:val="0"/>
          <w:sz w:val="24"/>
          <w:szCs w:val="24"/>
          <w:lang w:val="en-US" w:eastAsia="zh-CN" w:bidi="ar-SA"/>
        </w:rPr>
        <w:t>2</w:t>
      </w:r>
      <w:r>
        <w:rPr>
          <w:rFonts w:hint="default" w:ascii="Times New Roman" w:hAnsi="Times New Roman" w:eastAsia="宋体" w:cs="Times New Roman"/>
          <w:b w:val="0"/>
          <w:bCs w:val="0"/>
          <w:color w:val="000000"/>
          <w:kern w:val="0"/>
          <w:sz w:val="24"/>
          <w:szCs w:val="24"/>
          <w:lang w:val="en-US" w:eastAsia="zh-CN" w:bidi="ar-SA"/>
        </w:rPr>
        <w:t>）</w:t>
      </w:r>
      <w:r>
        <w:rPr>
          <w:rFonts w:hint="default" w:ascii="Times New Roman" w:hAnsi="Times New Roman" w:eastAsia="宋体" w:cs="Times New Roman"/>
          <w:color w:val="000000" w:themeColor="text1"/>
          <w:sz w:val="24"/>
          <w:szCs w:val="24"/>
          <w14:textFill>
            <w14:solidFill>
              <w14:schemeClr w14:val="tx1"/>
            </w14:solidFill>
          </w14:textFill>
        </w:rPr>
        <w:t>监测精度：±2%±3dgt。</w:t>
      </w:r>
    </w:p>
    <w:p>
      <w:pPr>
        <w:adjustRightInd w:val="0"/>
        <w:snapToGrid w:val="0"/>
        <w:spacing w:line="360" w:lineRule="auto"/>
        <w:ind w:firstLine="964" w:firstLineChars="400"/>
        <w:jc w:val="left"/>
        <w:rPr>
          <w:rFonts w:hint="default" w:ascii="Times New Roman" w:hAnsi="Times New Roman" w:eastAsia="宋体" w:cs="Times New Roman"/>
          <w:color w:val="000000" w:themeColor="text1"/>
          <w:sz w:val="24"/>
          <w:szCs w:val="24"/>
          <w:highlight w:val="yellow"/>
          <w14:textFill>
            <w14:solidFill>
              <w14:schemeClr w14:val="tx1"/>
            </w14:solidFill>
          </w14:textFill>
        </w:rPr>
      </w:pPr>
      <w:r>
        <w:rPr>
          <w:rFonts w:hint="default" w:ascii="Times New Roman" w:hAnsi="Times New Roman" w:eastAsia="宋体" w:cs="Times New Roman"/>
          <w:b/>
          <w:bCs/>
          <w:color w:val="000000"/>
          <w:kern w:val="0"/>
          <w:sz w:val="24"/>
          <w:szCs w:val="24"/>
          <w:lang w:val="en-US" w:eastAsia="zh-CN" w:bidi="ar-SA"/>
        </w:rPr>
        <w:t>3</w:t>
      </w:r>
      <w:r>
        <w:rPr>
          <w:rFonts w:hint="default" w:ascii="Times New Roman" w:hAnsi="Times New Roman" w:eastAsia="宋体" w:cs="Times New Roman"/>
          <w:b w:val="0"/>
          <w:bCs w:val="0"/>
          <w:color w:val="000000"/>
          <w:kern w:val="0"/>
          <w:sz w:val="24"/>
          <w:szCs w:val="24"/>
          <w:lang w:val="en-US" w:eastAsia="zh-CN" w:bidi="ar-SA"/>
        </w:rPr>
        <w:t>）</w:t>
      </w:r>
      <w:r>
        <w:rPr>
          <w:rFonts w:hint="default" w:ascii="Times New Roman" w:hAnsi="Times New Roman" w:eastAsia="宋体" w:cs="Times New Roman"/>
          <w:color w:val="000000" w:themeColor="text1"/>
          <w:sz w:val="24"/>
          <w:szCs w:val="24"/>
          <w14:textFill>
            <w14:solidFill>
              <w14:schemeClr w14:val="tx1"/>
            </w14:solidFill>
          </w14:textFill>
        </w:rPr>
        <w:t>监测分辨</w:t>
      </w:r>
      <w:r>
        <w:rPr>
          <w:rFonts w:hint="default" w:ascii="Times New Roman" w:hAnsi="Times New Roman" w:eastAsia="宋体" w:cs="Times New Roman"/>
          <w:color w:val="000000" w:themeColor="text1"/>
          <w:sz w:val="24"/>
          <w:szCs w:val="24"/>
          <w:highlight w:val="none"/>
          <w14:textFill>
            <w14:solidFill>
              <w14:schemeClr w14:val="tx1"/>
            </w14:solidFill>
          </w14:textFill>
        </w:rPr>
        <w:t>率：0.01Ω（0Ω～19.99Ω）；0.1Ω（20Ω～99.99Ω）。</w:t>
      </w:r>
    </w:p>
    <w:p>
      <w:pPr>
        <w:adjustRightInd w:val="0"/>
        <w:snapToGrid w:val="0"/>
        <w:spacing w:line="360" w:lineRule="auto"/>
        <w:ind w:firstLine="482" w:firstLineChars="200"/>
        <w:jc w:val="left"/>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2</w:t>
      </w: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电气完整性的监测指标应符合下列</w:t>
      </w:r>
      <w:r>
        <w:rPr>
          <w:rFonts w:hint="eastAsia" w:ascii="宋体" w:hAnsi="宋体" w:cs="宋体"/>
          <w:color w:val="000000" w:themeColor="text1"/>
          <w:sz w:val="24"/>
          <w:szCs w:val="24"/>
          <w:lang w:val="en-US" w:eastAsia="zh-CN"/>
          <w14:textFill>
            <w14:solidFill>
              <w14:schemeClr w14:val="tx1"/>
            </w14:solidFill>
          </w14:textFill>
        </w:rPr>
        <w:t>要求</w:t>
      </w:r>
      <w:r>
        <w:rPr>
          <w:rFonts w:hint="eastAsia" w:ascii="宋体" w:hAnsi="宋体" w:eastAsia="宋体" w:cs="宋体"/>
          <w:color w:val="000000" w:themeColor="text1"/>
          <w:sz w:val="24"/>
          <w:szCs w:val="24"/>
          <w14:textFill>
            <w14:solidFill>
              <w14:schemeClr w14:val="tx1"/>
            </w14:solidFill>
          </w14:textFill>
        </w:rPr>
        <w:t>：</w:t>
      </w:r>
    </w:p>
    <w:p>
      <w:pPr>
        <w:adjustRightInd w:val="0"/>
        <w:snapToGrid w:val="0"/>
        <w:spacing w:line="360" w:lineRule="auto"/>
        <w:ind w:firstLine="964" w:firstLineChars="400"/>
        <w:jc w:val="left"/>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1</w:t>
      </w:r>
      <w:r>
        <w:rPr>
          <w:rFonts w:hint="eastAsia" w:ascii="宋体" w:hAnsi="宋体" w:eastAsia="宋体" w:cs="宋体"/>
          <w:color w:val="000000" w:themeColor="text1"/>
          <w:sz w:val="24"/>
          <w:szCs w:val="24"/>
          <w14:textFill>
            <w14:solidFill>
              <w14:schemeClr w14:val="tx1"/>
            </w14:solidFill>
          </w14:textFill>
        </w:rPr>
        <w:t>）监测范围：</w:t>
      </w:r>
      <w:r>
        <w:rPr>
          <w:rFonts w:hint="default" w:ascii="Times New Roman" w:hAnsi="Times New Roman" w:eastAsia="宋体" w:cs="Times New Roman"/>
          <w:color w:val="000000" w:themeColor="text1"/>
          <w:sz w:val="24"/>
          <w:szCs w:val="24"/>
          <w14:textFill>
            <w14:solidFill>
              <w14:schemeClr w14:val="tx1"/>
            </w14:solidFill>
          </w14:textFill>
        </w:rPr>
        <w:t>1mΩ～3000mΩ。</w:t>
      </w:r>
    </w:p>
    <w:p>
      <w:pPr>
        <w:adjustRightInd w:val="0"/>
        <w:snapToGrid w:val="0"/>
        <w:spacing w:line="360" w:lineRule="auto"/>
        <w:ind w:firstLine="964" w:firstLineChars="400"/>
        <w:jc w:val="left"/>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2</w:t>
      </w:r>
      <w:r>
        <w:rPr>
          <w:rFonts w:hint="eastAsia" w:ascii="宋体" w:hAnsi="宋体" w:eastAsia="宋体" w:cs="宋体"/>
          <w:color w:val="000000" w:themeColor="text1"/>
          <w:sz w:val="24"/>
          <w:szCs w:val="24"/>
          <w14:textFill>
            <w14:solidFill>
              <w14:schemeClr w14:val="tx1"/>
            </w14:solidFill>
          </w14:textFill>
        </w:rPr>
        <w:t>）监测精度：</w:t>
      </w:r>
      <w:r>
        <w:rPr>
          <w:rFonts w:hint="default" w:ascii="Times New Roman" w:hAnsi="Times New Roman" w:eastAsia="宋体" w:cs="Times New Roman"/>
          <w:color w:val="000000" w:themeColor="text1"/>
          <w:sz w:val="24"/>
          <w:szCs w:val="24"/>
          <w14:textFill>
            <w14:solidFill>
              <w14:schemeClr w14:val="tx1"/>
            </w14:solidFill>
          </w14:textFill>
        </w:rPr>
        <w:t>±1%±5dgt。</w:t>
      </w:r>
    </w:p>
    <w:p>
      <w:pPr>
        <w:adjustRightInd w:val="0"/>
        <w:snapToGrid w:val="0"/>
        <w:spacing w:line="360" w:lineRule="auto"/>
        <w:ind w:firstLine="964" w:firstLineChars="400"/>
        <w:jc w:val="left"/>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3</w:t>
      </w:r>
      <w:r>
        <w:rPr>
          <w:rFonts w:hint="eastAsia" w:ascii="宋体" w:hAnsi="宋体" w:eastAsia="宋体" w:cs="宋体"/>
          <w:color w:val="000000" w:themeColor="text1"/>
          <w:sz w:val="24"/>
          <w:szCs w:val="24"/>
          <w14:textFill>
            <w14:solidFill>
              <w14:schemeClr w14:val="tx1"/>
            </w14:solidFill>
          </w14:textFill>
        </w:rPr>
        <w:t>）监测分辨率：</w:t>
      </w:r>
      <w:r>
        <w:rPr>
          <w:rFonts w:hint="default" w:ascii="Times New Roman" w:hAnsi="Times New Roman" w:eastAsia="宋体" w:cs="Times New Roman"/>
          <w:color w:val="000000" w:themeColor="text1"/>
          <w:sz w:val="24"/>
          <w:szCs w:val="24"/>
          <w14:textFill>
            <w14:solidFill>
              <w14:schemeClr w14:val="tx1"/>
            </w14:solidFill>
          </w14:textFill>
        </w:rPr>
        <w:t>1mΩ。</w:t>
      </w:r>
    </w:p>
    <w:p>
      <w:pPr>
        <w:adjustRightInd w:val="0"/>
        <w:snapToGrid w:val="0"/>
        <w:spacing w:line="360" w:lineRule="auto"/>
        <w:ind w:firstLine="482" w:firstLineChars="200"/>
        <w:jc w:val="left"/>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3</w:t>
      </w:r>
      <w:r>
        <w:rPr>
          <w:rFonts w:hint="eastAsia" w:cs="Times New Roman"/>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 xml:space="preserve"> 地电位反击的监测指标应符合下列</w:t>
      </w:r>
      <w:r>
        <w:rPr>
          <w:rFonts w:hint="eastAsia" w:ascii="宋体" w:hAnsi="宋体" w:cs="宋体"/>
          <w:color w:val="000000" w:themeColor="text1"/>
          <w:sz w:val="24"/>
          <w:szCs w:val="24"/>
          <w:lang w:val="en-US" w:eastAsia="zh-CN"/>
          <w14:textFill>
            <w14:solidFill>
              <w14:schemeClr w14:val="tx1"/>
            </w14:solidFill>
          </w14:textFill>
        </w:rPr>
        <w:t>要求</w:t>
      </w:r>
      <w:r>
        <w:rPr>
          <w:rFonts w:hint="eastAsia" w:ascii="宋体" w:hAnsi="宋体" w:eastAsia="宋体" w:cs="宋体"/>
          <w:color w:val="000000" w:themeColor="text1"/>
          <w:sz w:val="24"/>
          <w:szCs w:val="24"/>
          <w14:textFill>
            <w14:solidFill>
              <w14:schemeClr w14:val="tx1"/>
            </w14:solidFill>
          </w14:textFill>
        </w:rPr>
        <w:t>：</w:t>
      </w:r>
    </w:p>
    <w:p>
      <w:pPr>
        <w:adjustRightInd w:val="0"/>
        <w:snapToGrid w:val="0"/>
        <w:spacing w:line="360" w:lineRule="auto"/>
        <w:ind w:firstLine="964" w:firstLineChars="400"/>
        <w:jc w:val="left"/>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1</w:t>
      </w:r>
      <w:r>
        <w:rPr>
          <w:rFonts w:hint="eastAsia" w:ascii="宋体" w:hAnsi="宋体" w:eastAsia="宋体" w:cs="宋体"/>
          <w:color w:val="000000" w:themeColor="text1"/>
          <w:sz w:val="24"/>
          <w:szCs w:val="24"/>
          <w14:textFill>
            <w14:solidFill>
              <w14:schemeClr w14:val="tx1"/>
            </w14:solidFill>
          </w14:textFill>
        </w:rPr>
        <w:t>）监测精度：</w:t>
      </w:r>
      <w:r>
        <w:rPr>
          <w:rFonts w:hint="default" w:ascii="Times New Roman" w:hAnsi="Times New Roman" w:eastAsia="宋体" w:cs="Times New Roman"/>
          <w:color w:val="000000" w:themeColor="text1"/>
          <w:sz w:val="24"/>
          <w:szCs w:val="24"/>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w:t>
      </w:r>
    </w:p>
    <w:p>
      <w:pPr>
        <w:adjustRightInd w:val="0"/>
        <w:snapToGrid w:val="0"/>
        <w:spacing w:line="360" w:lineRule="auto"/>
        <w:ind w:firstLine="964" w:firstLineChars="400"/>
        <w:jc w:val="left"/>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2</w:t>
      </w:r>
      <w:r>
        <w:rPr>
          <w:rFonts w:hint="eastAsia" w:ascii="宋体" w:hAnsi="宋体" w:eastAsia="宋体" w:cs="宋体"/>
          <w:color w:val="000000" w:themeColor="text1"/>
          <w:sz w:val="24"/>
          <w:szCs w:val="24"/>
          <w14:textFill>
            <w14:solidFill>
              <w14:schemeClr w14:val="tx1"/>
            </w14:solidFill>
          </w14:textFill>
        </w:rPr>
        <w:t>）监测分辨率：</w:t>
      </w:r>
      <w:r>
        <w:rPr>
          <w:rFonts w:hint="default" w:ascii="Times New Roman" w:hAnsi="Times New Roman" w:eastAsia="宋体" w:cs="Times New Roman"/>
          <w:color w:val="000000" w:themeColor="text1"/>
          <w:sz w:val="24"/>
          <w:szCs w:val="24"/>
          <w14:textFill>
            <w14:solidFill>
              <w14:schemeClr w14:val="tx1"/>
            </w14:solidFill>
          </w14:textFill>
        </w:rPr>
        <w:t>0.01kA。</w:t>
      </w:r>
    </w:p>
    <w:p>
      <w:pPr>
        <w:adjustRightInd w:val="0"/>
        <w:snapToGrid w:val="0"/>
        <w:spacing w:line="360" w:lineRule="auto"/>
        <w:ind w:firstLine="482" w:firstLineChars="200"/>
        <w:jc w:val="left"/>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4</w:t>
      </w: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接地杂散电流的监测指标应符合下列</w:t>
      </w:r>
      <w:r>
        <w:rPr>
          <w:rFonts w:hint="eastAsia" w:ascii="宋体" w:hAnsi="宋体" w:cs="宋体"/>
          <w:color w:val="000000" w:themeColor="text1"/>
          <w:sz w:val="24"/>
          <w:szCs w:val="24"/>
          <w:lang w:val="en-US" w:eastAsia="zh-CN"/>
          <w14:textFill>
            <w14:solidFill>
              <w14:schemeClr w14:val="tx1"/>
            </w14:solidFill>
          </w14:textFill>
        </w:rPr>
        <w:t>要求</w:t>
      </w:r>
      <w:r>
        <w:rPr>
          <w:rFonts w:hint="eastAsia" w:ascii="宋体" w:hAnsi="宋体" w:eastAsia="宋体" w:cs="宋体"/>
          <w:color w:val="000000" w:themeColor="text1"/>
          <w:sz w:val="24"/>
          <w:szCs w:val="24"/>
          <w14:textFill>
            <w14:solidFill>
              <w14:schemeClr w14:val="tx1"/>
            </w14:solidFill>
          </w14:textFill>
        </w:rPr>
        <w:t>：</w:t>
      </w:r>
    </w:p>
    <w:p>
      <w:pPr>
        <w:adjustRightInd w:val="0"/>
        <w:snapToGrid w:val="0"/>
        <w:spacing w:line="360" w:lineRule="auto"/>
        <w:ind w:firstLine="964" w:firstLineChars="400"/>
        <w:jc w:val="left"/>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1</w:t>
      </w:r>
      <w:r>
        <w:rPr>
          <w:rFonts w:hint="eastAsia" w:ascii="宋体" w:hAnsi="宋体" w:eastAsia="宋体" w:cs="宋体"/>
          <w:color w:val="000000" w:themeColor="text1"/>
          <w:sz w:val="24"/>
          <w:szCs w:val="24"/>
          <w14:textFill>
            <w14:solidFill>
              <w14:schemeClr w14:val="tx1"/>
            </w14:solidFill>
          </w14:textFill>
        </w:rPr>
        <w:t>）监测精度：</w:t>
      </w:r>
      <w:r>
        <w:rPr>
          <w:rFonts w:hint="default" w:ascii="Times New Roman" w:hAnsi="Times New Roman" w:eastAsia="宋体" w:cs="Times New Roman"/>
          <w:color w:val="000000" w:themeColor="text1"/>
          <w:sz w:val="24"/>
          <w:szCs w:val="24"/>
          <w14:textFill>
            <w14:solidFill>
              <w14:schemeClr w14:val="tx1"/>
            </w14:solidFill>
          </w14:textFill>
        </w:rPr>
        <w:t>1级</w:t>
      </w:r>
      <w:r>
        <w:rPr>
          <w:rFonts w:hint="eastAsia" w:ascii="宋体" w:hAnsi="宋体" w:eastAsia="宋体" w:cs="宋体"/>
          <w:color w:val="000000" w:themeColor="text1"/>
          <w:sz w:val="24"/>
          <w:szCs w:val="24"/>
          <w14:textFill>
            <w14:solidFill>
              <w14:schemeClr w14:val="tx1"/>
            </w14:solidFill>
          </w14:textFill>
        </w:rPr>
        <w:t>。</w:t>
      </w:r>
    </w:p>
    <w:p>
      <w:pPr>
        <w:adjustRightInd w:val="0"/>
        <w:snapToGrid w:val="0"/>
        <w:spacing w:line="360" w:lineRule="auto"/>
        <w:ind w:firstLine="964" w:firstLineChars="400"/>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2</w:t>
      </w:r>
      <w:r>
        <w:rPr>
          <w:rFonts w:hint="eastAsia" w:ascii="宋体" w:hAnsi="宋体" w:eastAsia="宋体" w:cs="宋体"/>
          <w:color w:val="000000" w:themeColor="text1"/>
          <w:sz w:val="24"/>
          <w:szCs w:val="24"/>
          <w14:textFill>
            <w14:solidFill>
              <w14:schemeClr w14:val="tx1"/>
            </w14:solidFill>
          </w14:textFill>
        </w:rPr>
        <w:t>）电流量程：</w:t>
      </w:r>
      <w:r>
        <w:rPr>
          <w:rFonts w:hint="default" w:ascii="Times New Roman" w:hAnsi="Times New Roman" w:eastAsia="宋体" w:cs="Times New Roman"/>
          <w:color w:val="000000" w:themeColor="text1"/>
          <w:sz w:val="24"/>
          <w:szCs w:val="24"/>
          <w14:textFill>
            <w14:solidFill>
              <w14:schemeClr w14:val="tx1"/>
            </w14:solidFill>
          </w14:textFill>
        </w:rPr>
        <w:t>20A。</w:t>
      </w:r>
    </w:p>
    <w:p>
      <w:pPr>
        <w:adjustRightInd w:val="0"/>
        <w:snapToGrid w:val="0"/>
        <w:spacing w:line="360" w:lineRule="auto"/>
        <w:ind w:firstLine="482" w:firstLineChars="200"/>
        <w:jc w:val="left"/>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w:t>
      </w:r>
      <w:r>
        <w:rPr>
          <w:rFonts w:hint="eastAsia" w:ascii="宋体" w:hAnsi="宋体" w:eastAsia="宋体" w:cs="宋体"/>
          <w:color w:val="000000" w:themeColor="text1"/>
          <w:sz w:val="24"/>
          <w:szCs w:val="24"/>
          <w14:textFill>
            <w14:solidFill>
              <w14:schemeClr w14:val="tx1"/>
            </w14:solidFill>
          </w14:textFill>
        </w:rPr>
        <w:t xml:space="preserve">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系统历史数据存储时间应符合下列</w:t>
      </w:r>
      <w:r>
        <w:rPr>
          <w:rFonts w:hint="eastAsia" w:ascii="宋体" w:hAnsi="宋体" w:cs="宋体"/>
          <w:color w:val="000000" w:themeColor="text1"/>
          <w:sz w:val="24"/>
          <w:szCs w:val="24"/>
          <w:lang w:val="en-US" w:eastAsia="zh-CN"/>
          <w14:textFill>
            <w14:solidFill>
              <w14:schemeClr w14:val="tx1"/>
            </w14:solidFill>
          </w14:textFill>
        </w:rPr>
        <w:t>要求</w:t>
      </w:r>
      <w:r>
        <w:rPr>
          <w:rFonts w:hint="eastAsia" w:ascii="宋体" w:hAnsi="宋体" w:eastAsia="宋体" w:cs="宋体"/>
          <w:color w:val="000000" w:themeColor="text1"/>
          <w:sz w:val="24"/>
          <w:szCs w:val="24"/>
          <w14:textFill>
            <w14:solidFill>
              <w14:schemeClr w14:val="tx1"/>
            </w14:solidFill>
          </w14:textFill>
        </w:rPr>
        <w:t>：</w:t>
      </w:r>
    </w:p>
    <w:p>
      <w:pPr>
        <w:adjustRightInd w:val="0"/>
        <w:snapToGrid w:val="0"/>
        <w:spacing w:line="360" w:lineRule="auto"/>
        <w:ind w:left="1259" w:leftChars="456" w:hanging="301" w:hangingChars="125"/>
        <w:jc w:val="left"/>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1</w:t>
      </w:r>
      <w:r>
        <w:rPr>
          <w:rFonts w:hint="eastAsia" w:ascii="宋体" w:hAnsi="宋体" w:eastAsia="宋体" w:cs="宋体"/>
          <w:color w:val="000000" w:themeColor="text1"/>
          <w:sz w:val="24"/>
          <w:szCs w:val="24"/>
          <w14:textFill>
            <w14:solidFill>
              <w14:schemeClr w14:val="tx1"/>
            </w14:solidFill>
          </w14:textFill>
        </w:rPr>
        <w:t>）监测数据：系统</w:t>
      </w:r>
      <w:r>
        <w:rPr>
          <w:rFonts w:hint="default" w:ascii="Times New Roman" w:hAnsi="Times New Roman" w:eastAsia="宋体" w:cs="Times New Roman"/>
          <w:color w:val="000000" w:themeColor="text1"/>
          <w:sz w:val="24"/>
          <w:szCs w:val="24"/>
          <w14:textFill>
            <w14:solidFill>
              <w14:schemeClr w14:val="tx1"/>
            </w14:solidFill>
          </w14:textFill>
        </w:rPr>
        <w:t>存储的时间</w:t>
      </w:r>
      <w:r>
        <w:rPr>
          <w:rFonts w:hint="default" w:ascii="Times New Roman" w:hAnsi="Times New Roman" w:cs="Times New Roman"/>
          <w:color w:val="000000" w:themeColor="text1"/>
          <w:sz w:val="24"/>
          <w:szCs w:val="24"/>
          <w:lang w:val="en-US" w:eastAsia="zh-CN"/>
          <w14:textFill>
            <w14:solidFill>
              <w14:schemeClr w14:val="tx1"/>
            </w14:solidFill>
          </w14:textFill>
        </w:rPr>
        <w:t>大于等于</w:t>
      </w:r>
      <w:r>
        <w:rPr>
          <w:rFonts w:hint="default" w:ascii="Times New Roman" w:hAnsi="Times New Roman" w:eastAsia="宋体" w:cs="Times New Roman"/>
          <w:color w:val="000000" w:themeColor="text1"/>
          <w:sz w:val="24"/>
          <w:szCs w:val="24"/>
          <w14:textFill>
            <w14:solidFill>
              <w14:schemeClr w14:val="tx1"/>
            </w14:solidFill>
          </w14:textFill>
        </w:rPr>
        <w:t>3年；本地存储的时间</w:t>
      </w:r>
      <w:r>
        <w:rPr>
          <w:rFonts w:hint="default" w:ascii="Times New Roman" w:hAnsi="Times New Roman" w:cs="Times New Roman"/>
          <w:color w:val="000000" w:themeColor="text1"/>
          <w:sz w:val="24"/>
          <w:szCs w:val="24"/>
          <w:lang w:val="en-US" w:eastAsia="zh-CN"/>
          <w14:textFill>
            <w14:solidFill>
              <w14:schemeClr w14:val="tx1"/>
            </w14:solidFill>
          </w14:textFill>
        </w:rPr>
        <w:t>大于等于</w:t>
      </w:r>
      <w:r>
        <w:rPr>
          <w:rFonts w:hint="default" w:ascii="Times New Roman" w:hAnsi="Times New Roman" w:eastAsia="宋体" w:cs="Times New Roman"/>
          <w:color w:val="000000" w:themeColor="text1"/>
          <w:sz w:val="24"/>
          <w:szCs w:val="24"/>
          <w14:textFill>
            <w14:solidFill>
              <w14:schemeClr w14:val="tx1"/>
            </w14:solidFill>
          </w14:textFill>
        </w:rPr>
        <w:t>30天。</w:t>
      </w:r>
    </w:p>
    <w:p>
      <w:pPr>
        <w:adjustRightInd w:val="0"/>
        <w:snapToGrid w:val="0"/>
        <w:spacing w:line="360" w:lineRule="auto"/>
        <w:ind w:firstLine="964" w:firstLineChars="400"/>
        <w:jc w:val="left"/>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2</w:t>
      </w:r>
      <w:r>
        <w:rPr>
          <w:rFonts w:hint="eastAsia" w:ascii="宋体" w:hAnsi="宋体" w:eastAsia="宋体" w:cs="宋体"/>
          <w:color w:val="000000" w:themeColor="text1"/>
          <w:sz w:val="24"/>
          <w:szCs w:val="24"/>
          <w14:textFill>
            <w14:solidFill>
              <w14:schemeClr w14:val="tx1"/>
            </w14:solidFill>
          </w14:textFill>
        </w:rPr>
        <w:t>）报警信息：存储时间</w:t>
      </w:r>
      <w:r>
        <w:rPr>
          <w:rFonts w:hint="eastAsia" w:ascii="宋体" w:hAnsi="宋体" w:cs="宋体"/>
          <w:color w:val="000000" w:themeColor="text1"/>
          <w:sz w:val="24"/>
          <w:szCs w:val="24"/>
          <w:lang w:val="en-US" w:eastAsia="zh-CN"/>
          <w14:textFill>
            <w14:solidFill>
              <w14:schemeClr w14:val="tx1"/>
            </w14:solidFill>
          </w14:textFill>
        </w:rPr>
        <w:t>大于等</w:t>
      </w:r>
      <w:r>
        <w:rPr>
          <w:rFonts w:hint="default" w:ascii="Times New Roman" w:hAnsi="Times New Roman" w:cs="Times New Roman"/>
          <w:color w:val="000000" w:themeColor="text1"/>
          <w:sz w:val="24"/>
          <w:szCs w:val="24"/>
          <w:lang w:val="en-US" w:eastAsia="zh-CN"/>
          <w14:textFill>
            <w14:solidFill>
              <w14:schemeClr w14:val="tx1"/>
            </w14:solidFill>
          </w14:textFill>
        </w:rPr>
        <w:t>于</w:t>
      </w:r>
      <w:r>
        <w:rPr>
          <w:rFonts w:hint="default" w:ascii="Times New Roman" w:hAnsi="Times New Roman" w:eastAsia="宋体" w:cs="Times New Roman"/>
          <w:color w:val="000000" w:themeColor="text1"/>
          <w:sz w:val="24"/>
          <w:szCs w:val="24"/>
          <w14:textFill>
            <w14:solidFill>
              <w14:schemeClr w14:val="tx1"/>
            </w14:solidFill>
          </w14:textFill>
        </w:rPr>
        <w:t>1年。</w:t>
      </w:r>
    </w:p>
    <w:p>
      <w:pPr>
        <w:adjustRightInd w:val="0"/>
        <w:snapToGrid w:val="0"/>
        <w:jc w:val="center"/>
        <w:outlineLvl w:val="0"/>
        <w:rPr>
          <w:rFonts w:hint="eastAsia" w:ascii="黑体" w:hAnsi="黑体" w:eastAsia="黑体"/>
          <w:color w:val="000000" w:themeColor="text1"/>
          <w:sz w:val="28"/>
          <w:szCs w:val="28"/>
          <w14:textFill>
            <w14:solidFill>
              <w14:schemeClr w14:val="tx1"/>
            </w14:solidFill>
          </w14:textFill>
        </w:rPr>
      </w:pPr>
      <w:r>
        <w:rPr>
          <w:rFonts w:ascii="黑体" w:hAnsi="黑体" w:eastAsia="黑体"/>
          <w:color w:val="000000" w:themeColor="text1"/>
          <w:sz w:val="24"/>
          <w:szCs w:val="24"/>
          <w14:textFill>
            <w14:solidFill>
              <w14:schemeClr w14:val="tx1"/>
            </w14:solidFill>
          </w14:textFill>
        </w:rPr>
        <w:br w:type="page"/>
      </w:r>
      <w:bookmarkStart w:id="46" w:name="_Toc33811214"/>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47" w:name="_Toc89867344"/>
      <w:bookmarkStart w:id="48" w:name="_Toc187409881"/>
      <w:bookmarkStart w:id="49" w:name="_Toc192872060"/>
      <w:bookmarkStart w:id="50" w:name="_Toc90114528"/>
      <w:bookmarkStart w:id="51" w:name="_Toc193987810"/>
      <w:r>
        <w:rPr>
          <w:rFonts w:hint="eastAsia" w:ascii="Times New Roman" w:hAnsi="Times New Roman" w:eastAsia="宋体" w:cs="Times New Roman"/>
          <w:b/>
          <w:bCs/>
          <w:color w:val="000000" w:themeColor="text1"/>
          <w:sz w:val="30"/>
          <w:szCs w:val="30"/>
          <w14:textFill>
            <w14:solidFill>
              <w14:schemeClr w14:val="tx1"/>
            </w14:solidFill>
          </w14:textFill>
        </w:rPr>
        <w:t xml:space="preserve">7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安装验收</w:t>
      </w:r>
      <w:bookmarkEnd w:id="46"/>
      <w:bookmarkEnd w:id="47"/>
      <w:bookmarkEnd w:id="48"/>
      <w:bookmarkEnd w:id="49"/>
      <w:bookmarkEnd w:id="50"/>
      <w:bookmarkEnd w:id="51"/>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bookmarkStart w:id="52" w:name="OLE_LINK6"/>
      <w:r>
        <w:rPr>
          <w:rFonts w:hint="eastAsia" w:ascii="Times New Roman" w:hAnsi="Times New Roman" w:eastAsia="宋体" w:cs="Times New Roman"/>
          <w:b/>
          <w:bCs/>
          <w:color w:val="000000"/>
          <w:kern w:val="0"/>
          <w:sz w:val="24"/>
          <w:szCs w:val="24"/>
          <w:lang w:val="en-US" w:eastAsia="zh-CN" w:bidi="ar-SA"/>
        </w:rPr>
        <w:t>7.0.1</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接地电阻在线监测系统应根据设计图纸、清单、产品手册等进行系统的安装。</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7.0.2</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接地电阻在线监测系统的安装</w:t>
      </w:r>
      <w:r>
        <w:rPr>
          <w:rFonts w:hint="eastAsia" w:ascii="宋体" w:hAnsi="宋体" w:cs="宋体"/>
          <w:color w:val="000000" w:themeColor="text1"/>
          <w:sz w:val="24"/>
          <w:szCs w:val="24"/>
          <w:lang w:val="en-US" w:eastAsia="zh-CN"/>
          <w14:textFill>
            <w14:solidFill>
              <w14:schemeClr w14:val="tx1"/>
            </w14:solidFill>
          </w14:textFill>
        </w:rPr>
        <w:t>应</w:t>
      </w:r>
      <w:r>
        <w:rPr>
          <w:rFonts w:hint="eastAsia" w:ascii="宋体" w:hAnsi="宋体" w:eastAsia="宋体" w:cs="宋体"/>
          <w:color w:val="000000" w:themeColor="text1"/>
          <w:sz w:val="24"/>
          <w:szCs w:val="24"/>
          <w14:textFill>
            <w14:solidFill>
              <w14:schemeClr w14:val="tx1"/>
            </w14:solidFill>
          </w14:textFill>
        </w:rPr>
        <w:t>包括硬件安装和软件安装。</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7.0.3</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易燃易爆及火灾危险场所的接地电阻在线监测系统，应满足石油化工行业防火防爆要求。</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7.0.4</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接地电阻在线监测系统的现场设备安装环境处于海边等高盐雾的地区时，应采取相应的防腐蚀措施。</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7.0.5</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接地电阻在线监测系统安装后</w:t>
      </w:r>
      <w:r>
        <w:rPr>
          <w:rFonts w:hint="eastAsia" w:ascii="宋体" w:hAnsi="宋体" w:cs="宋体"/>
          <w:color w:val="000000" w:themeColor="text1"/>
          <w:sz w:val="24"/>
          <w:szCs w:val="24"/>
          <w:lang w:val="en-US" w:eastAsia="zh-CN"/>
          <w14:textFill>
            <w14:solidFill>
              <w14:schemeClr w14:val="tx1"/>
            </w14:solidFill>
          </w14:textFill>
        </w:rPr>
        <w:t>应</w:t>
      </w:r>
      <w:r>
        <w:rPr>
          <w:rFonts w:hint="eastAsia" w:ascii="宋体" w:hAnsi="宋体" w:eastAsia="宋体" w:cs="宋体"/>
          <w:color w:val="000000" w:themeColor="text1"/>
          <w:sz w:val="24"/>
          <w:szCs w:val="24"/>
          <w14:textFill>
            <w14:solidFill>
              <w14:schemeClr w14:val="tx1"/>
            </w14:solidFill>
          </w14:textFill>
        </w:rPr>
        <w:t>不影响与接地装置相连接设施的正常运行。</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7.0.6</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测试电极的安装位置应避开人员频繁活动场所，并选择地质条件相对稳定的地点。</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7.0.7</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测试电极宜采用镀锌圆钢或不锈钢棒、铜棒等耐腐蚀材料，测试电极埋深不小于</w:t>
      </w:r>
      <w:r>
        <w:rPr>
          <w:rFonts w:hint="default" w:ascii="Times New Roman" w:hAnsi="Times New Roman" w:eastAsia="宋体" w:cs="Times New Roman"/>
          <w:color w:val="000000" w:themeColor="text1"/>
          <w:sz w:val="24"/>
          <w:szCs w:val="24"/>
          <w14:textFill>
            <w14:solidFill>
              <w14:schemeClr w14:val="tx1"/>
            </w14:solidFill>
          </w14:textFill>
        </w:rPr>
        <w:t>100cm</w:t>
      </w:r>
      <w:r>
        <w:rPr>
          <w:rFonts w:hint="eastAsia" w:ascii="宋体" w:hAnsi="宋体" w:eastAsia="宋体" w:cs="宋体"/>
          <w:color w:val="000000" w:themeColor="text1"/>
          <w:sz w:val="24"/>
          <w:szCs w:val="24"/>
          <w14:textFill>
            <w14:solidFill>
              <w14:schemeClr w14:val="tx1"/>
            </w14:solidFill>
          </w14:textFill>
        </w:rPr>
        <w:t>。</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7.0.8</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default" w:ascii="Times New Roman" w:hAnsi="Times New Roman" w:eastAsia="宋体" w:cs="Times New Roman"/>
          <w:color w:val="000000" w:themeColor="text1"/>
          <w:sz w:val="24"/>
          <w:szCs w:val="24"/>
          <w14:textFill>
            <w14:solidFill>
              <w14:schemeClr w14:val="tx1"/>
            </w14:solidFill>
          </w14:textFill>
        </w:rPr>
        <w:t>测试线截面积不应小于1.5mm</w:t>
      </w:r>
      <w:r>
        <w:rPr>
          <w:rFonts w:hint="default" w:ascii="Times New Roman" w:hAnsi="Times New Roman" w:eastAsia="宋体" w:cs="Times New Roman"/>
          <w:color w:val="000000" w:themeColor="text1"/>
          <w:sz w:val="24"/>
          <w:szCs w:val="24"/>
          <w:vertAlign w:val="superscript"/>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，宜穿金属管沿地沟走线，并扣除测试线电阻影响。</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7.0.9</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测试电极与测试线应保持可靠连接，并采取防腐蚀措施。</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7.0.10</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测试电极与埋地管线附近应有安全警示标识。</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7.0.11</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接地监测设备在室外安装时，应按需配置安装支架或水泥基座，接地监测设备的防护等级应</w:t>
      </w:r>
      <w:r>
        <w:rPr>
          <w:rFonts w:hint="default" w:ascii="Times New Roman" w:hAnsi="Times New Roman" w:eastAsia="宋体" w:cs="Times New Roman"/>
          <w:color w:val="000000" w:themeColor="text1"/>
          <w:sz w:val="24"/>
          <w:szCs w:val="24"/>
          <w14:textFill>
            <w14:solidFill>
              <w14:schemeClr w14:val="tx1"/>
            </w14:solidFill>
          </w14:textFill>
        </w:rPr>
        <w:t>不低于IP65</w:t>
      </w:r>
      <w:r>
        <w:rPr>
          <w:rFonts w:hint="eastAsia" w:ascii="宋体" w:hAnsi="宋体" w:eastAsia="宋体" w:cs="宋体"/>
          <w:color w:val="000000" w:themeColor="text1"/>
          <w:sz w:val="24"/>
          <w:szCs w:val="24"/>
          <w14:textFill>
            <w14:solidFill>
              <w14:schemeClr w14:val="tx1"/>
            </w14:solidFill>
          </w14:textFill>
        </w:rPr>
        <w:t>。</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7.0.12</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软件安装应通过功能、性能和安全测试，并应在测</w:t>
      </w:r>
      <w:r>
        <w:rPr>
          <w:rFonts w:hint="default" w:ascii="Times New Roman" w:hAnsi="Times New Roman" w:eastAsia="宋体" w:cs="Times New Roman"/>
          <w:color w:val="000000" w:themeColor="text1"/>
          <w:sz w:val="24"/>
          <w:szCs w:val="24"/>
          <w14:textFill>
            <w14:solidFill>
              <w14:schemeClr w14:val="tx1"/>
            </w14:solidFill>
          </w14:textFill>
        </w:rPr>
        <w:t>试环境稳定运行5天</w:t>
      </w:r>
      <w:r>
        <w:rPr>
          <w:rFonts w:hint="eastAsia" w:ascii="宋体" w:hAnsi="宋体" w:eastAsia="宋体" w:cs="宋体"/>
          <w:color w:val="000000" w:themeColor="text1"/>
          <w:sz w:val="24"/>
          <w:szCs w:val="24"/>
          <w14:textFill>
            <w14:solidFill>
              <w14:schemeClr w14:val="tx1"/>
            </w14:solidFill>
          </w14:textFill>
        </w:rPr>
        <w:t>后方可正式上线运行。</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7.0.13</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应根据设计图纸对系统设备数量、规格、安装位置、组网布线的正确性和完整性进行验收。</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7.0.14</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应根据设计要求对系统功能的准确性和完整性进行验收。</w:t>
      </w:r>
      <w:bookmarkEnd w:id="52"/>
    </w:p>
    <w:p>
      <w:pPr>
        <w:adjustRightInd w:val="0"/>
        <w:snapToGrid w:val="0"/>
        <w:jc w:val="center"/>
        <w:outlineLvl w:val="0"/>
        <w:rPr>
          <w:rFonts w:hint="eastAsia" w:ascii="黑体" w:hAnsi="黑体" w:eastAsia="黑体"/>
          <w:color w:val="000000" w:themeColor="text1"/>
          <w:sz w:val="24"/>
          <w:szCs w:val="24"/>
          <w14:textFill>
            <w14:solidFill>
              <w14:schemeClr w14:val="tx1"/>
            </w14:solidFill>
          </w14:textFill>
        </w:rPr>
      </w:pPr>
      <w:r>
        <w:rPr>
          <w:rFonts w:ascii="黑体" w:hAnsi="黑体" w:eastAsia="黑体"/>
          <w:color w:val="000000" w:themeColor="text1"/>
          <w:sz w:val="24"/>
          <w:szCs w:val="24"/>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53" w:name="_Toc193987811"/>
      <w:bookmarkStart w:id="54" w:name="_Toc192872061"/>
      <w:bookmarkStart w:id="55" w:name="_Toc90114531"/>
      <w:bookmarkStart w:id="56" w:name="_Toc89867347"/>
      <w:bookmarkStart w:id="57" w:name="_Toc187409884"/>
      <w:bookmarkStart w:id="58" w:name="_Toc33811209"/>
      <w:r>
        <w:rPr>
          <w:rFonts w:hint="eastAsia" w:ascii="Times New Roman" w:hAnsi="Times New Roman" w:eastAsia="宋体" w:cs="Times New Roman"/>
          <w:b/>
          <w:bCs/>
          <w:color w:val="000000" w:themeColor="text1"/>
          <w:sz w:val="30"/>
          <w:szCs w:val="30"/>
          <w14:textFill>
            <w14:solidFill>
              <w14:schemeClr w14:val="tx1"/>
            </w14:solidFill>
          </w14:textFill>
        </w:rPr>
        <w:t xml:space="preserve">8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运行维护</w:t>
      </w:r>
      <w:bookmarkEnd w:id="53"/>
      <w:bookmarkEnd w:id="54"/>
      <w:bookmarkEnd w:id="55"/>
      <w:bookmarkEnd w:id="56"/>
      <w:bookmarkEnd w:id="57"/>
      <w:bookmarkEnd w:id="58"/>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bookmarkStart w:id="59" w:name="OLE_LINK7"/>
      <w:r>
        <w:rPr>
          <w:rFonts w:hint="eastAsia" w:ascii="Times New Roman" w:hAnsi="Times New Roman" w:eastAsia="宋体" w:cs="Times New Roman"/>
          <w:b/>
          <w:bCs/>
          <w:color w:val="000000"/>
          <w:kern w:val="0"/>
          <w:sz w:val="24"/>
          <w:szCs w:val="24"/>
          <w:lang w:val="en-US" w:eastAsia="zh-CN" w:bidi="ar-SA"/>
        </w:rPr>
        <w:t>8.0.1</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宜定期检查并确认接地电阻在线监测系统的各个硬件设备及软件接口处于正常运行状态。</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8.0.2</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对接地电阻在线监测系统的运行数据、事件记录和运维记录宜每年定期打印存档。</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8.0.3</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接地电阻在线监测数据宜列入企业防雷防静电设备设施综合电子台账，并结合检查数据及时更新。</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8.0.4</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eastAsia="宋体" w:cs="宋体"/>
          <w:color w:val="000000" w:themeColor="text1"/>
          <w:sz w:val="24"/>
          <w:szCs w:val="24"/>
          <w14:textFill>
            <w14:solidFill>
              <w14:schemeClr w14:val="tx1"/>
            </w14:solidFill>
          </w14:textFill>
        </w:rPr>
        <w:t>宜以半年为周期进行运行优化调整。</w:t>
      </w:r>
    </w:p>
    <w:p>
      <w:pPr>
        <w:adjustRightInd w:val="0"/>
        <w:snapToGrid w:val="0"/>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8.0.5</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default" w:ascii="Times New Roman" w:hAnsi="Times New Roman" w:eastAsia="宋体" w:cs="Times New Roman"/>
          <w:color w:val="000000" w:themeColor="text1"/>
          <w:sz w:val="24"/>
          <w:szCs w:val="24"/>
          <w14:textFill>
            <w14:solidFill>
              <w14:schemeClr w14:val="tx1"/>
            </w14:solidFill>
          </w14:textFill>
        </w:rPr>
        <w:t>当接地电阻在线监测系统安装于海边、高盐雾或腐蚀性严重的环境，宜每6个月进行一次检测和维护，其它环境应每12个月进行一次检测和维护。</w:t>
      </w:r>
      <w:bookmarkEnd w:id="59"/>
    </w:p>
    <w:p>
      <w:pPr>
        <w:widowControl/>
        <w:jc w:val="left"/>
        <w:rPr>
          <w:rFonts w:hint="eastAsia" w:ascii="黑体" w:hAnsi="黑体" w:eastAsia="黑体"/>
          <w:color w:val="000000" w:themeColor="text1"/>
          <w:sz w:val="24"/>
          <w:szCs w:val="24"/>
          <w14:textFill>
            <w14:solidFill>
              <w14:schemeClr w14:val="tx1"/>
            </w14:solidFill>
          </w14:textFill>
        </w:rPr>
      </w:pPr>
      <w:r>
        <w:rPr>
          <w:rFonts w:ascii="黑体" w:hAnsi="黑体" w:eastAsia="黑体"/>
          <w:color w:val="000000" w:themeColor="text1"/>
          <w:sz w:val="24"/>
          <w:szCs w:val="24"/>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60" w:name="_Toc193987812"/>
      <w:r>
        <w:rPr>
          <w:rFonts w:hint="eastAsia" w:ascii="Times New Roman" w:hAnsi="Times New Roman" w:eastAsia="宋体" w:cs="Times New Roman"/>
          <w:b/>
          <w:bCs/>
          <w:color w:val="000000" w:themeColor="text1"/>
          <w:sz w:val="30"/>
          <w:szCs w:val="30"/>
          <w14:textFill>
            <w14:solidFill>
              <w14:schemeClr w14:val="tx1"/>
            </w14:solidFill>
          </w14:textFill>
        </w:rPr>
        <w:t>附录A</w:t>
      </w:r>
      <w:bookmarkEnd w:id="60"/>
      <w:r>
        <w:rPr>
          <w:rFonts w:hint="eastAsia" w:ascii="Times New Roman" w:hAnsi="Times New Roman" w:eastAsia="宋体" w:cs="Times New Roman"/>
          <w:b/>
          <w:bCs/>
          <w:color w:val="000000" w:themeColor="text1"/>
          <w:sz w:val="30"/>
          <w:szCs w:val="30"/>
          <w14:textFill>
            <w14:solidFill>
              <w14:schemeClr w14:val="tx1"/>
            </w14:solidFill>
          </w14:textFill>
        </w:rPr>
        <w:t xml:space="preserve"> 系统功能配置表</w:t>
      </w:r>
    </w:p>
    <w:p>
      <w:pPr>
        <w:adjustRightInd w:val="0"/>
        <w:snapToGrid w:val="0"/>
        <w:spacing w:line="36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表A 接地电阻在线监测系统功能配置表</w:t>
      </w:r>
    </w:p>
    <w:tbl>
      <w:tblPr>
        <w:tblStyle w:val="18"/>
        <w:tblW w:w="8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7"/>
        <w:gridCol w:w="1773"/>
        <w:gridCol w:w="3367"/>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序号</w:t>
            </w:r>
          </w:p>
        </w:tc>
        <w:tc>
          <w:tcPr>
            <w:tcW w:w="1773"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功能项</w:t>
            </w: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功能子项</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w:t>
            </w:r>
          </w:p>
        </w:tc>
        <w:tc>
          <w:tcPr>
            <w:tcW w:w="1773" w:type="dxa"/>
            <w:vMerge w:val="restart"/>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监测功能</w:t>
            </w: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接地电阻监测</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土壤温湿度监测</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3</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土壤电阻率监测</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4</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电气完整性</w:t>
            </w:r>
            <w:r>
              <w:rPr>
                <w:rFonts w:hint="eastAsia" w:ascii="宋体" w:hAnsi="宋体"/>
                <w:color w:val="000000" w:themeColor="text1"/>
                <w:sz w:val="24"/>
                <w:szCs w:val="24"/>
                <w14:textFill>
                  <w14:solidFill>
                    <w14:schemeClr w14:val="tx1"/>
                  </w14:solidFill>
                </w14:textFill>
              </w:rPr>
              <w:t>监测</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5</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地电位反击</w:t>
            </w:r>
            <w:r>
              <w:rPr>
                <w:rFonts w:hint="eastAsia" w:ascii="宋体" w:hAnsi="宋体"/>
                <w:color w:val="000000" w:themeColor="text1"/>
                <w:sz w:val="24"/>
                <w:szCs w:val="24"/>
                <w14:textFill>
                  <w14:solidFill>
                    <w14:schemeClr w14:val="tx1"/>
                  </w14:solidFill>
                </w14:textFill>
              </w:rPr>
              <w:t>监测</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6</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杂散电流监测</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7</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接触电压监测</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8</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跨步电压监测</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9</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设备状态监测</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10</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通信状态监测</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11</w:t>
            </w:r>
          </w:p>
        </w:tc>
        <w:tc>
          <w:tcPr>
            <w:tcW w:w="1773" w:type="dxa"/>
            <w:vMerge w:val="restart"/>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报警功能</w:t>
            </w: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超限报警</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12</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故障报警</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13</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故障定位</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14</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通信异常报警</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15</w:t>
            </w:r>
          </w:p>
        </w:tc>
        <w:tc>
          <w:tcPr>
            <w:tcW w:w="1773" w:type="dxa"/>
            <w:vMerge w:val="restart"/>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控制功能</w:t>
            </w: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报警阈值设定</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16</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测量时间设定</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17</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手动测量</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18</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自动测量</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19</w:t>
            </w:r>
          </w:p>
        </w:tc>
        <w:tc>
          <w:tcPr>
            <w:tcW w:w="1773" w:type="dxa"/>
            <w:vMerge w:val="restart"/>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管理功能</w:t>
            </w: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用户信息设定</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20</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参数设置</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21</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人机交互</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22</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设备管理</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23</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档案管理</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24</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事件管理</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25</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权限管理</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26</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数据存储与显示</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27</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报警信息查询、分析</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28</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历史数据查询、导出、分析</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dxa"/>
            <w:vAlign w:val="center"/>
          </w:tcPr>
          <w:p>
            <w:pPr>
              <w:adjustRightInd w:val="0"/>
              <w:spacing w:line="300" w:lineRule="auto"/>
              <w:jc w:val="center"/>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color w:val="000000" w:themeColor="text1"/>
                <w:sz w:val="24"/>
                <w:szCs w:val="24"/>
                <w14:textFill>
                  <w14:solidFill>
                    <w14:schemeClr w14:val="tx1"/>
                  </w14:solidFill>
                </w14:textFill>
              </w:rPr>
              <w:t>29</w:t>
            </w:r>
          </w:p>
        </w:tc>
        <w:tc>
          <w:tcPr>
            <w:tcW w:w="1773" w:type="dxa"/>
            <w:vMerge w:val="continue"/>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p>
        </w:tc>
        <w:tc>
          <w:tcPr>
            <w:tcW w:w="3367"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报表统计</w:t>
            </w:r>
          </w:p>
        </w:tc>
        <w:tc>
          <w:tcPr>
            <w:tcW w:w="1928" w:type="dxa"/>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075" w:type="dxa"/>
            <w:gridSpan w:val="4"/>
            <w:vAlign w:val="center"/>
          </w:tcPr>
          <w:p>
            <w:pPr>
              <w:adjustRightInd w:val="0"/>
              <w:spacing w:line="300" w:lineRule="auto"/>
              <w:jc w:val="center"/>
              <w:rPr>
                <w:rFonts w:hint="eastAsia" w:ascii="宋体" w:hAnsi="宋体"/>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说明：●表示应具备此项功能；○表示可选择是否具备此项功能。</w:t>
            </w:r>
          </w:p>
        </w:tc>
      </w:tr>
      <w:bookmarkEnd w:id="41"/>
    </w:tbl>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61" w:name="_Toc89867353"/>
      <w:bookmarkStart w:id="62" w:name="_Toc193987813"/>
      <w:bookmarkStart w:id="63" w:name="_Toc187409888"/>
      <w:bookmarkStart w:id="64" w:name="_Toc90114537"/>
      <w:bookmarkStart w:id="65" w:name="_Toc192872062"/>
      <w:r>
        <w:rPr>
          <w:rFonts w:hint="eastAsia" w:ascii="Times New Roman" w:hAnsi="Times New Roman" w:eastAsia="宋体" w:cs="Times New Roman"/>
          <w:b/>
          <w:bCs/>
          <w:color w:val="000000" w:themeColor="text1"/>
          <w:sz w:val="30"/>
          <w:szCs w:val="30"/>
          <w14:textFill>
            <w14:solidFill>
              <w14:schemeClr w14:val="tx1"/>
            </w14:solidFill>
          </w14:textFill>
        </w:rPr>
        <w:t>本标准用词说明</w:t>
      </w:r>
      <w:bookmarkEnd w:id="61"/>
      <w:bookmarkEnd w:id="62"/>
      <w:bookmarkEnd w:id="63"/>
      <w:bookmarkEnd w:id="64"/>
      <w:bookmarkEnd w:id="65"/>
    </w:p>
    <w:p>
      <w:pPr>
        <w:pStyle w:val="14"/>
        <w:spacing w:before="0" w:beforeAutospacing="0" w:after="0" w:afterAutospacing="0" w:line="360" w:lineRule="auto"/>
        <w:rPr>
          <w:rFonts w:hint="eastAsia" w:ascii="宋体" w:hAnsi="宋体" w:eastAsia="宋体" w:cs="宋体"/>
          <w:color w:val="000000" w:themeColor="text1"/>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1</w:t>
      </w:r>
      <w:r>
        <w:rPr>
          <w:rFonts w:hint="eastAsia" w:ascii="宋体" w:hAnsi="宋体" w:eastAsia="宋体" w:cs="宋体"/>
          <w:color w:val="000000" w:themeColor="text1"/>
          <w14:textFill>
            <w14:solidFill>
              <w14:schemeClr w14:val="tx1"/>
            </w14:solidFill>
          </w14:textFill>
        </w:rPr>
        <w:t xml:space="preserve"> 为便于在执行本标准条文时区别对待，对要求严格程度不同的用词说明如下：</w:t>
      </w:r>
    </w:p>
    <w:p>
      <w:pPr>
        <w:pStyle w:val="14"/>
        <w:spacing w:before="0" w:beforeAutospacing="0" w:after="0" w:afterAutospacing="0" w:line="360" w:lineRule="auto"/>
        <w:ind w:firstLine="482" w:firstLineChars="200"/>
        <w:rPr>
          <w:rFonts w:hint="eastAsia" w:ascii="宋体" w:hAnsi="宋体" w:eastAsia="宋体" w:cs="宋体"/>
          <w:color w:val="000000" w:themeColor="text1"/>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1</w:t>
      </w:r>
      <w:r>
        <w:rPr>
          <w:rFonts w:hint="eastAsia" w:ascii="Times New Roman" w:hAnsi="Times New Roman" w:cs="Times New Roman"/>
          <w:b w:val="0"/>
          <w:bCs w:val="0"/>
          <w:color w:val="000000"/>
          <w:kern w:val="0"/>
          <w:sz w:val="24"/>
          <w:szCs w:val="24"/>
          <w:lang w:val="en-US" w:eastAsia="zh-CN" w:bidi="ar-SA"/>
        </w:rPr>
        <w:t>）</w:t>
      </w:r>
      <w:r>
        <w:rPr>
          <w:rFonts w:hint="eastAsia" w:ascii="宋体" w:hAnsi="宋体" w:eastAsia="宋体" w:cs="宋体"/>
          <w:color w:val="000000" w:themeColor="text1"/>
          <w14:textFill>
            <w14:solidFill>
              <w14:schemeClr w14:val="tx1"/>
            </w14:solidFill>
          </w14:textFill>
        </w:rPr>
        <w:t>表示很严格，非这样做不可的：</w:t>
      </w:r>
    </w:p>
    <w:p>
      <w:pPr>
        <w:pStyle w:val="14"/>
        <w:spacing w:before="0" w:beforeAutospacing="0" w:after="0" w:afterAutospacing="0" w:line="360" w:lineRule="auto"/>
        <w:ind w:firstLine="720" w:firstLineChars="3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正面词采用“必须”，反面词采用“严禁”；</w:t>
      </w:r>
    </w:p>
    <w:p>
      <w:pPr>
        <w:pStyle w:val="14"/>
        <w:spacing w:before="0" w:beforeAutospacing="0" w:after="0" w:afterAutospacing="0" w:line="360" w:lineRule="auto"/>
        <w:ind w:firstLine="482" w:firstLineChars="200"/>
        <w:rPr>
          <w:rFonts w:hint="eastAsia" w:ascii="宋体" w:hAnsi="宋体" w:eastAsia="宋体" w:cs="宋体"/>
          <w:color w:val="000000" w:themeColor="text1"/>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2</w:t>
      </w:r>
      <w:r>
        <w:rPr>
          <w:rFonts w:hint="eastAsia" w:ascii="Times New Roman" w:hAnsi="Times New Roman" w:cs="Times New Roman"/>
          <w:b w:val="0"/>
          <w:bCs w:val="0"/>
          <w:color w:val="000000"/>
          <w:kern w:val="0"/>
          <w:sz w:val="24"/>
          <w:szCs w:val="24"/>
          <w:lang w:val="en-US" w:eastAsia="zh-CN" w:bidi="ar-SA"/>
        </w:rPr>
        <w:t>）</w:t>
      </w:r>
      <w:r>
        <w:rPr>
          <w:rFonts w:hint="eastAsia" w:ascii="宋体" w:hAnsi="宋体" w:eastAsia="宋体" w:cs="宋体"/>
          <w:color w:val="000000" w:themeColor="text1"/>
          <w14:textFill>
            <w14:solidFill>
              <w14:schemeClr w14:val="tx1"/>
            </w14:solidFill>
          </w14:textFill>
        </w:rPr>
        <w:t>表示严格，在正常情况下均应这样做的：</w:t>
      </w:r>
    </w:p>
    <w:p>
      <w:pPr>
        <w:pStyle w:val="14"/>
        <w:spacing w:before="0" w:beforeAutospacing="0" w:after="0" w:afterAutospacing="0" w:line="360" w:lineRule="auto"/>
        <w:ind w:firstLine="720" w:firstLineChars="300"/>
        <w:rPr>
          <w:rFonts w:hint="eastAsia" w:ascii="宋体" w:hAnsi="宋体" w:eastAsia="宋体" w:cs="宋体"/>
          <w:color w:val="000000" w:themeColor="text1"/>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正面词采用“应”，反面词采用“不应”或“不得”；</w:t>
      </w:r>
    </w:p>
    <w:p>
      <w:pPr>
        <w:pStyle w:val="14"/>
        <w:spacing w:before="0" w:beforeAutospacing="0" w:after="0" w:afterAutospacing="0" w:line="360" w:lineRule="auto"/>
        <w:ind w:firstLine="482" w:firstLineChars="200"/>
        <w:rPr>
          <w:rFonts w:hint="eastAsia" w:ascii="宋体" w:hAnsi="宋体" w:eastAsia="宋体" w:cs="宋体"/>
          <w:color w:val="000000" w:themeColor="text1"/>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3</w:t>
      </w:r>
      <w:r>
        <w:rPr>
          <w:rFonts w:hint="eastAsia" w:ascii="Times New Roman" w:hAnsi="Times New Roman" w:cs="Times New Roman"/>
          <w:b w:val="0"/>
          <w:bCs w:val="0"/>
          <w:color w:val="000000"/>
          <w:kern w:val="0"/>
          <w:sz w:val="24"/>
          <w:szCs w:val="24"/>
          <w:lang w:val="en-US" w:eastAsia="zh-CN" w:bidi="ar-SA"/>
        </w:rPr>
        <w:t>）</w:t>
      </w:r>
      <w:r>
        <w:rPr>
          <w:rFonts w:hint="eastAsia" w:ascii="宋体" w:hAnsi="宋体" w:eastAsia="宋体" w:cs="宋体"/>
          <w:color w:val="000000" w:themeColor="text1"/>
          <w14:textFill>
            <w14:solidFill>
              <w14:schemeClr w14:val="tx1"/>
            </w14:solidFill>
          </w14:textFill>
        </w:rPr>
        <w:t>表示允许稍有选择，在条件许可时首先应这样做的：</w:t>
      </w:r>
      <w:r>
        <w:rPr>
          <w:rFonts w:hint="eastAsia" w:ascii="宋体" w:hAnsi="宋体" w:eastAsia="宋体" w:cs="宋体"/>
          <w:color w:val="000000" w:themeColor="text1"/>
          <w14:textFill>
            <w14:solidFill>
              <w14:schemeClr w14:val="tx1"/>
            </w14:solidFill>
          </w14:textFill>
        </w:rPr>
        <w:br w:type="textWrapping"/>
      </w:r>
      <w:r>
        <w:rPr>
          <w:rFonts w:hint="eastAsia" w:ascii="宋体" w:hAnsi="宋体" w:eastAsia="宋体" w:cs="宋体"/>
          <w:color w:val="000000" w:themeColor="text1"/>
          <w14:textFill>
            <w14:solidFill>
              <w14:schemeClr w14:val="tx1"/>
            </w14:solidFill>
          </w14:textFill>
        </w:rPr>
        <w:t xml:space="preserve">      正面词采用“宜”，反面词采用“不宜”；</w:t>
      </w:r>
    </w:p>
    <w:p>
      <w:pPr>
        <w:pStyle w:val="14"/>
        <w:spacing w:before="0" w:beforeAutospacing="0" w:after="0" w:afterAutospacing="0" w:line="360" w:lineRule="auto"/>
        <w:ind w:firstLine="482" w:firstLineChars="200"/>
        <w:rPr>
          <w:rFonts w:hint="eastAsia" w:ascii="宋体" w:hAnsi="宋体" w:eastAsia="宋体" w:cs="宋体"/>
          <w:color w:val="000000" w:themeColor="text1"/>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4</w:t>
      </w:r>
      <w:r>
        <w:rPr>
          <w:rFonts w:hint="eastAsia" w:ascii="Times New Roman" w:hAnsi="Times New Roman" w:cs="Times New Roman"/>
          <w:b w:val="0"/>
          <w:bCs w:val="0"/>
          <w:color w:val="000000"/>
          <w:kern w:val="0"/>
          <w:sz w:val="24"/>
          <w:szCs w:val="24"/>
          <w:lang w:val="en-US" w:eastAsia="zh-CN" w:bidi="ar-SA"/>
        </w:rPr>
        <w:t>）</w:t>
      </w:r>
      <w:r>
        <w:rPr>
          <w:rFonts w:hint="eastAsia" w:ascii="宋体" w:hAnsi="宋体" w:eastAsia="宋体" w:cs="宋体"/>
          <w:color w:val="000000" w:themeColor="text1"/>
          <w14:textFill>
            <w14:solidFill>
              <w14:schemeClr w14:val="tx1"/>
            </w14:solidFill>
          </w14:textFill>
        </w:rPr>
        <w:t>表示有选择，在一定条件下可以这样做的，采用“可”。</w:t>
      </w:r>
    </w:p>
    <w:p>
      <w:pPr>
        <w:pStyle w:val="14"/>
        <w:spacing w:before="0" w:beforeAutospacing="0" w:after="0" w:afterAutospacing="0" w:line="360" w:lineRule="auto"/>
        <w:rPr>
          <w:rFonts w:hint="eastAsia" w:ascii="宋体" w:hAnsi="宋体" w:eastAsia="宋体" w:cs="宋体"/>
          <w:color w:val="000000" w:themeColor="text1"/>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2</w:t>
      </w:r>
      <w:r>
        <w:rPr>
          <w:rFonts w:hint="eastAsia" w:ascii="宋体" w:hAnsi="宋体" w:eastAsia="宋体" w:cs="宋体"/>
          <w:color w:val="000000" w:themeColor="text1"/>
          <w14:textFill>
            <w14:solidFill>
              <w14:schemeClr w14:val="tx1"/>
            </w14:solidFill>
          </w14:textFill>
        </w:rPr>
        <w:t xml:space="preserve"> 条文中指明应按其他有关标准执行的写法为：“应符合……的规定”或“应按……执行”。</w:t>
      </w:r>
    </w:p>
    <w:p>
      <w:pPr>
        <w:pStyle w:val="14"/>
        <w:jc w:val="center"/>
        <w:rPr>
          <w:rFonts w:hint="eastAsia"/>
          <w:b/>
          <w:bCs/>
          <w:color w:val="000000" w:themeColor="text1"/>
          <w14:textFill>
            <w14:solidFill>
              <w14:schemeClr w14:val="tx1"/>
            </w14:solidFill>
          </w14:textFill>
        </w:rPr>
      </w:pPr>
      <w:r>
        <w:rPr>
          <w:b/>
          <w:bCs/>
          <w:color w:val="000000" w:themeColor="text1"/>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66" w:name="_Toc192872063"/>
      <w:bookmarkStart w:id="67" w:name="_Toc89867354"/>
      <w:bookmarkStart w:id="68" w:name="_Toc90114538"/>
      <w:bookmarkStart w:id="69" w:name="_Toc187409889"/>
      <w:bookmarkStart w:id="70" w:name="_Toc193987814"/>
      <w:r>
        <w:rPr>
          <w:rFonts w:hint="eastAsia" w:ascii="Times New Roman" w:hAnsi="Times New Roman" w:eastAsia="宋体" w:cs="Times New Roman"/>
          <w:b/>
          <w:bCs/>
          <w:color w:val="000000" w:themeColor="text1"/>
          <w:sz w:val="30"/>
          <w:szCs w:val="30"/>
          <w14:textFill>
            <w14:solidFill>
              <w14:schemeClr w14:val="tx1"/>
            </w14:solidFill>
          </w14:textFill>
        </w:rPr>
        <w:t>引用标准名录</w:t>
      </w:r>
      <w:bookmarkEnd w:id="66"/>
      <w:bookmarkEnd w:id="67"/>
      <w:bookmarkEnd w:id="68"/>
      <w:bookmarkEnd w:id="69"/>
      <w:bookmarkEnd w:id="70"/>
    </w:p>
    <w:p>
      <w:pPr>
        <w:spacing w:line="360" w:lineRule="auto"/>
        <w:ind w:firstLine="420"/>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《建筑物防雷设计规范》GB 50057</w:t>
      </w:r>
    </w:p>
    <w:p>
      <w:pPr>
        <w:spacing w:line="360" w:lineRule="auto"/>
        <w:ind w:firstLine="420"/>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《石油化工装置防雷设计规范》GB 50650</w:t>
      </w:r>
    </w:p>
    <w:p>
      <w:pPr>
        <w:spacing w:line="360" w:lineRule="auto"/>
        <w:ind w:firstLine="420"/>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《危险化学品重大危险源安全监控技术规范》GB 17681</w:t>
      </w:r>
    </w:p>
    <w:p>
      <w:pPr>
        <w:spacing w:line="360" w:lineRule="auto"/>
        <w:ind w:firstLine="420"/>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《接地系统的土壤电阻率、接地阻抗和地面电位测量导则 第1部分：常规测量》GB/T 17949.1</w:t>
      </w:r>
    </w:p>
    <w:p>
      <w:pPr>
        <w:spacing w:line="360" w:lineRule="auto"/>
        <w:ind w:firstLine="420"/>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《信息系统雷电防护术语》GB/T 19663</w:t>
      </w:r>
    </w:p>
    <w:p>
      <w:pPr>
        <w:spacing w:line="360" w:lineRule="auto"/>
        <w:ind w:firstLine="420"/>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《建筑物雷电防护装置检测技术规范》GB/T 21431</w:t>
      </w:r>
    </w:p>
    <w:p>
      <w:pPr>
        <w:spacing w:line="360" w:lineRule="auto"/>
        <w:ind w:firstLine="420"/>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lang w:val="en-US" w:eastAsia="zh-CN" w:bidi="ar-SA"/>
          <w14:textFill>
            <w14:solidFill>
              <w14:schemeClr w14:val="tx1"/>
            </w14:solidFill>
          </w14:textFill>
        </w:rPr>
        <w:t>《防雷接地电阻在线监测技术要求》QX/T 577</w:t>
      </w:r>
    </w:p>
    <w:p>
      <w:pPr>
        <w:adjustRightInd w:val="0"/>
        <w:snapToGrid w:val="0"/>
        <w:spacing w:line="312" w:lineRule="auto"/>
        <w:jc w:val="center"/>
        <w:rPr>
          <w:rFonts w:hint="eastAsia" w:ascii="黑体" w:hAnsi="黑体" w:eastAsia="黑体"/>
          <w:color w:val="000000" w:themeColor="text1"/>
          <w:sz w:val="24"/>
          <w:szCs w:val="24"/>
          <w14:textFill>
            <w14:solidFill>
              <w14:schemeClr w14:val="tx1"/>
            </w14:solidFill>
          </w14:textFill>
        </w:rPr>
      </w:pPr>
      <w:r>
        <w:rPr>
          <w:rFonts w:ascii="黑体" w:hAnsi="黑体" w:eastAsia="黑体"/>
          <w:color w:val="000000" w:themeColor="text1"/>
          <w:sz w:val="24"/>
          <w:szCs w:val="24"/>
          <w14:textFill>
            <w14:solidFill>
              <w14:schemeClr w14:val="tx1"/>
            </w14:solidFill>
          </w14:textFill>
        </w:rPr>
        <w:br w:type="page"/>
      </w:r>
    </w:p>
    <w:p>
      <w:pPr>
        <w:rPr>
          <w:color w:val="auto"/>
        </w:rPr>
      </w:pPr>
    </w:p>
    <w:p>
      <w:pPr>
        <w:rPr>
          <w:color w:val="auto"/>
        </w:rPr>
      </w:pPr>
    </w:p>
    <w:p>
      <w:pPr>
        <w:rPr>
          <w:color w:val="auto"/>
        </w:rPr>
      </w:pPr>
    </w:p>
    <w:p>
      <w:pPr>
        <w:jc w:val="center"/>
        <w:rPr>
          <w:color w:val="auto"/>
          <w:sz w:val="36"/>
          <w:szCs w:val="36"/>
        </w:rPr>
      </w:pPr>
      <w:r>
        <w:rPr>
          <w:rFonts w:hint="eastAsia"/>
          <w:color w:val="auto"/>
          <w:sz w:val="36"/>
          <w:szCs w:val="36"/>
        </w:rPr>
        <w:t>中国石油和化工勘察设计协会团体标准</w:t>
      </w:r>
    </w:p>
    <w:p>
      <w:pPr>
        <w:rPr>
          <w:color w:val="auto"/>
        </w:rPr>
      </w:pPr>
    </w:p>
    <w:p>
      <w:pPr>
        <w:rPr>
          <w:color w:val="auto"/>
        </w:rPr>
      </w:pPr>
    </w:p>
    <w:p>
      <w:pPr>
        <w:keepNext w:val="0"/>
        <w:keepLines w:val="0"/>
        <w:pageBreakBefore w:val="0"/>
        <w:widowControl w:val="0"/>
        <w:kinsoku/>
        <w:wordWrap/>
        <w:overflowPunct/>
        <w:topLinePunct w:val="0"/>
        <w:autoSpaceDE/>
        <w:autoSpaceDN/>
        <w:bidi w:val="0"/>
        <w:adjustRightInd/>
        <w:snapToGrid/>
        <w:spacing w:before="240"/>
        <w:jc w:val="center"/>
        <w:textAlignment w:val="auto"/>
        <w:rPr>
          <w:rFonts w:hint="eastAsia" w:ascii="宋体" w:hAnsi="宋体"/>
          <w:b/>
          <w:bCs/>
          <w:color w:val="000000" w:themeColor="text1"/>
          <w:sz w:val="44"/>
          <w:szCs w:val="44"/>
          <w14:textFill>
            <w14:solidFill>
              <w14:schemeClr w14:val="tx1"/>
            </w14:solidFill>
          </w14:textFill>
        </w:rPr>
      </w:pPr>
      <w:r>
        <w:rPr>
          <w:rFonts w:hint="eastAsia" w:ascii="宋体" w:hAnsi="宋体"/>
          <w:b/>
          <w:bCs/>
          <w:color w:val="000000" w:themeColor="text1"/>
          <w:sz w:val="44"/>
          <w:szCs w:val="44"/>
          <w14:textFill>
            <w14:solidFill>
              <w14:schemeClr w14:val="tx1"/>
            </w14:solidFill>
          </w14:textFill>
        </w:rPr>
        <w:t>石油化工企业接地电阻在线监测系统</w:t>
      </w:r>
    </w:p>
    <w:p>
      <w:pPr>
        <w:keepNext w:val="0"/>
        <w:keepLines w:val="0"/>
        <w:pageBreakBefore w:val="0"/>
        <w:widowControl w:val="0"/>
        <w:kinsoku/>
        <w:wordWrap/>
        <w:overflowPunct/>
        <w:topLinePunct w:val="0"/>
        <w:autoSpaceDE/>
        <w:autoSpaceDN/>
        <w:bidi w:val="0"/>
        <w:adjustRightInd/>
        <w:snapToGrid/>
        <w:spacing w:before="120" w:after="240"/>
        <w:jc w:val="center"/>
        <w:textAlignment w:val="auto"/>
        <w:rPr>
          <w:rFonts w:hint="eastAsia" w:ascii="宋体" w:hAnsi="宋体"/>
          <w:b/>
          <w:bCs/>
          <w:color w:val="000000" w:themeColor="text1"/>
          <w:sz w:val="44"/>
          <w:szCs w:val="44"/>
          <w14:textFill>
            <w14:solidFill>
              <w14:schemeClr w14:val="tx1"/>
            </w14:solidFill>
          </w14:textFill>
        </w:rPr>
      </w:pPr>
      <w:r>
        <w:rPr>
          <w:rFonts w:hint="eastAsia" w:ascii="宋体" w:hAnsi="宋体"/>
          <w:b/>
          <w:bCs/>
          <w:color w:val="000000" w:themeColor="text1"/>
          <w:sz w:val="44"/>
          <w:szCs w:val="44"/>
          <w14:textFill>
            <w14:solidFill>
              <w14:schemeClr w14:val="tx1"/>
            </w14:solidFill>
          </w14:textFill>
        </w:rPr>
        <w:t>设计规范</w:t>
      </w:r>
    </w:p>
    <w:p>
      <w:pPr>
        <w:keepNext w:val="0"/>
        <w:keepLines w:val="0"/>
        <w:pageBreakBefore w:val="0"/>
        <w:widowControl w:val="0"/>
        <w:kinsoku/>
        <w:wordWrap/>
        <w:overflowPunct/>
        <w:topLinePunct w:val="0"/>
        <w:autoSpaceDE/>
        <w:autoSpaceDN/>
        <w:bidi w:val="0"/>
        <w:adjustRightInd/>
        <w:snapToGrid/>
        <w:spacing w:before="120" w:after="240"/>
        <w:jc w:val="center"/>
        <w:textAlignment w:val="auto"/>
        <w:rPr>
          <w:rFonts w:hint="eastAsia" w:ascii="宋体" w:hAnsi="宋体"/>
          <w:b/>
          <w:bCs/>
          <w:color w:val="000000" w:themeColor="text1"/>
          <w:sz w:val="44"/>
          <w:szCs w:val="44"/>
          <w14:textFill>
            <w14:solidFill>
              <w14:schemeClr w14:val="tx1"/>
            </w14:solidFill>
          </w14:textFill>
        </w:rPr>
      </w:pPr>
    </w:p>
    <w:p>
      <w:pPr>
        <w:jc w:val="center"/>
        <w:rPr>
          <w:color w:val="auto"/>
          <w:sz w:val="32"/>
          <w:szCs w:val="32"/>
        </w:rPr>
      </w:pPr>
      <w:r>
        <w:rPr>
          <w:color w:val="auto"/>
          <w:sz w:val="32"/>
          <w:szCs w:val="32"/>
        </w:rPr>
        <w:t xml:space="preserve">T/HGJ </w:t>
      </w:r>
      <w:r>
        <w:rPr>
          <w:rFonts w:hint="eastAsia"/>
          <w:color w:val="auto"/>
          <w:sz w:val="32"/>
          <w:szCs w:val="32"/>
        </w:rPr>
        <w:t>14866</w:t>
      </w:r>
      <w:r>
        <w:rPr>
          <w:color w:val="auto"/>
          <w:sz w:val="32"/>
          <w:szCs w:val="32"/>
        </w:rPr>
        <w:t>-</w:t>
      </w:r>
      <w:r>
        <w:rPr>
          <w:rFonts w:hint="eastAsia"/>
          <w:color w:val="auto"/>
          <w:sz w:val="32"/>
          <w:szCs w:val="32"/>
        </w:rPr>
        <w:t>YYYY</w:t>
      </w:r>
    </w:p>
    <w:p>
      <w:pPr>
        <w:rPr>
          <w:color w:val="auto"/>
          <w:sz w:val="32"/>
          <w:szCs w:val="32"/>
        </w:rPr>
      </w:pPr>
    </w:p>
    <w:p>
      <w:pPr>
        <w:pStyle w:val="14"/>
        <w:tabs>
          <w:tab w:val="left" w:pos="709"/>
        </w:tabs>
        <w:spacing w:line="360" w:lineRule="auto"/>
        <w:jc w:val="center"/>
        <w:outlineLvl w:val="0"/>
        <w:rPr>
          <w:rFonts w:cs="Times New Roman"/>
          <w:sz w:val="32"/>
          <w:szCs w:val="32"/>
        </w:rPr>
      </w:pPr>
      <w:bookmarkStart w:id="71" w:name="_Toc202355175"/>
      <w:bookmarkStart w:id="72" w:name="_Toc171535027"/>
      <w:bookmarkStart w:id="73" w:name="条文说明"/>
      <w:r>
        <w:rPr>
          <w:rFonts w:hint="eastAsia" w:cs="Times New Roman"/>
          <w:sz w:val="32"/>
          <w:szCs w:val="32"/>
        </w:rPr>
        <w:t>条 文 说 明</w:t>
      </w:r>
      <w:bookmarkEnd w:id="71"/>
      <w:bookmarkEnd w:id="72"/>
    </w:p>
    <w:bookmarkEnd w:id="73"/>
    <w:p>
      <w:pPr>
        <w:widowControl/>
        <w:jc w:val="left"/>
        <w:rPr>
          <w:rFonts w:cs="Times New Roman" w:asciiTheme="minorEastAsia" w:hAnsiTheme="minorEastAsia" w:eastAsiaTheme="minorEastAsia"/>
          <w:color w:val="auto"/>
        </w:rPr>
      </w:pPr>
      <w:r>
        <w:rPr>
          <w:rFonts w:hint="eastAsia" w:cs="Times New Roman" w:asciiTheme="minorEastAsia" w:hAnsiTheme="minorEastAsia" w:eastAsiaTheme="minorEastAsia"/>
          <w:color w:val="auto"/>
        </w:rPr>
        <w:br w:type="page"/>
      </w:r>
    </w:p>
    <w:p>
      <w:pPr>
        <w:keepNext w:val="0"/>
        <w:keepLines w:val="0"/>
        <w:pageBreakBefore w:val="0"/>
        <w:widowControl w:val="0"/>
        <w:kinsoku/>
        <w:wordWrap/>
        <w:overflowPunct/>
        <w:topLinePunct w:val="0"/>
        <w:autoSpaceDE/>
        <w:autoSpaceDN/>
        <w:bidi w:val="0"/>
        <w:adjustRightInd w:val="0"/>
        <w:snapToGrid w:val="0"/>
        <w:spacing w:before="240" w:after="240" w:line="240" w:lineRule="auto"/>
        <w:jc w:val="center"/>
        <w:textAlignment w:val="auto"/>
        <w:outlineLvl w:val="0"/>
        <w:rPr>
          <w:rFonts w:hint="eastAsia" w:ascii="黑体" w:hAnsi="黑体" w:eastAsia="黑体" w:cs="黑体"/>
          <w:color w:val="000000" w:themeColor="text1"/>
          <w:sz w:val="32"/>
          <w:szCs w:val="32"/>
          <w14:textFill>
            <w14:solidFill>
              <w14:schemeClr w14:val="tx1"/>
            </w14:solidFill>
          </w14:textFill>
        </w:rPr>
      </w:pPr>
      <w:bookmarkStart w:id="74" w:name="_Toc83559537"/>
      <w:r>
        <w:rPr>
          <w:rFonts w:hint="eastAsia" w:ascii="黑体" w:hAnsi="黑体" w:eastAsia="黑体" w:cs="黑体"/>
          <w:color w:val="000000" w:themeColor="text1"/>
          <w:sz w:val="32"/>
          <w:szCs w:val="32"/>
          <w14:textFill>
            <w14:solidFill>
              <w14:schemeClr w14:val="tx1"/>
            </w14:solidFill>
          </w14:textFill>
        </w:rPr>
        <w:t>制 订 说 明</w:t>
      </w:r>
      <w:bookmarkEnd w:id="74"/>
    </w:p>
    <w:p>
      <w:pPr>
        <w:adjustRightInd w:val="0"/>
        <w:snapToGrid w:val="0"/>
        <w:spacing w:line="312" w:lineRule="auto"/>
        <w:jc w:val="center"/>
        <w:rPr>
          <w:rFonts w:hint="eastAsia" w:ascii="宋体" w:hAnsi="宋体"/>
          <w:color w:val="000000" w:themeColor="text1"/>
          <w:sz w:val="32"/>
          <w:szCs w:val="32"/>
          <w14:textFill>
            <w14:solidFill>
              <w14:schemeClr w14:val="tx1"/>
            </w14:solidFill>
          </w14:textFill>
        </w:rPr>
      </w:pPr>
    </w:p>
    <w:p>
      <w:pPr>
        <w:pStyle w:val="49"/>
        <w:spacing w:line="360" w:lineRule="auto"/>
        <w:ind w:firstLine="436"/>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《石油化工企业接地电阻在线监测系统设计规范》T/HGJ 14866-202Y，经中国石油和化工勘察设计协会202Y年M月D日以第XX号公告批准发布。</w:t>
      </w:r>
    </w:p>
    <w:p>
      <w:pPr>
        <w:pStyle w:val="49"/>
        <w:spacing w:line="360" w:lineRule="auto"/>
        <w:ind w:firstLine="436"/>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本规范制订过程中，编制组进行了化工企业接地电阻在线监测系统设计的调查研究，总结了我国工程建设接地电阻在线监测系统设计的实践经验，同时参考了国外先进技术法规、技术标准。</w:t>
      </w:r>
    </w:p>
    <w:p>
      <w:pPr>
        <w:pStyle w:val="49"/>
        <w:spacing w:line="360" w:lineRule="auto"/>
        <w:ind w:firstLine="428"/>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为便于广大设计、施工、科研、学校等单位有关人员在使用本规范时能正确理解和执行条文规定，团体标准《石油化工企业接地电阻在线监测系统设计规范》T/HGJ 14866-202Y编制组按章、节、条顺序编制了本规范的条文说明，对条文规定的目的、依据以及执行中需注意的有关事项进行了说明。但是，本条文说明不具备与规范正文同等的法律效力，仅供使用者作为理解和把握规范规定的参考。</w:t>
      </w:r>
    </w:p>
    <w:p>
      <w:pPr>
        <w:pStyle w:val="49"/>
        <w:spacing w:line="360" w:lineRule="auto"/>
        <w:ind w:firstLine="428"/>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本规范为首次发布。</w:t>
      </w:r>
    </w:p>
    <w:p>
      <w:pPr>
        <w:rPr>
          <w:rFonts w:hint="eastAsia" w:ascii="宋体" w:hAnsi="宋体" w:eastAsia="宋体" w:cs="Times New Roman"/>
          <w:color w:val="000000" w:themeColor="text1"/>
          <w:kern w:val="2"/>
          <w:sz w:val="24"/>
          <w:szCs w:val="24"/>
          <w:lang w:val="en-US" w:eastAsia="zh-CN" w:bidi="ar-SA"/>
          <w14:textFill>
            <w14:solidFill>
              <w14:schemeClr w14:val="tx1"/>
            </w14:solidFill>
          </w14:textFill>
        </w:rPr>
      </w:pPr>
      <w:r>
        <w:rPr>
          <w:rFonts w:hint="eastAsia" w:ascii="宋体" w:hAnsi="宋体" w:eastAsia="宋体" w:cs="Times New Roman"/>
          <w:color w:val="000000" w:themeColor="text1"/>
          <w:kern w:val="2"/>
          <w:sz w:val="24"/>
          <w:szCs w:val="24"/>
          <w:lang w:val="en-US" w:eastAsia="zh-CN" w:bidi="ar-SA"/>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val="0"/>
        <w:snapToGrid w:val="0"/>
        <w:spacing w:before="240" w:after="240" w:line="480" w:lineRule="auto"/>
        <w:jc w:val="center"/>
        <w:textAlignment w:val="auto"/>
        <w:outlineLvl w:val="0"/>
        <w:rPr>
          <w:rFonts w:hint="eastAsia" w:ascii="黑体" w:hAnsi="黑体" w:eastAsia="黑体" w:cs="黑体"/>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 xml:space="preserve">目  </w:t>
      </w:r>
      <w:r>
        <w:rPr>
          <w:rFonts w:hint="eastAsia" w:ascii="黑体" w:hAnsi="黑体" w:eastAsia="黑体" w:cs="黑体"/>
          <w:color w:val="000000" w:themeColor="text1"/>
          <w:sz w:val="32"/>
          <w:szCs w:val="32"/>
          <w:lang w:val="en-US" w:eastAsia="zh-CN"/>
          <w14:textFill>
            <w14:solidFill>
              <w14:schemeClr w14:val="tx1"/>
            </w14:solidFill>
          </w14:textFill>
        </w:rPr>
        <w:t xml:space="preserve"> </w:t>
      </w:r>
      <w:r>
        <w:rPr>
          <w:rFonts w:hint="eastAsia" w:ascii="黑体" w:hAnsi="黑体" w:eastAsia="黑体" w:cs="黑体"/>
          <w:color w:val="000000" w:themeColor="text1"/>
          <w:sz w:val="32"/>
          <w:szCs w:val="32"/>
          <w14:textFill>
            <w14:solidFill>
              <w14:schemeClr w14:val="tx1"/>
            </w14:solidFill>
          </w14:textFill>
        </w:rPr>
        <w:t>次</w:t>
      </w:r>
    </w:p>
    <w:sdt>
      <w:sdtPr>
        <w:rPr>
          <w:rFonts w:hint="default" w:ascii="Times New Roman" w:hAnsi="Times New Roman" w:cs="Times New Roman"/>
          <w:color w:val="000000" w:themeColor="text1"/>
          <w:sz w:val="24"/>
          <w:szCs w:val="24"/>
          <w:lang w:val="zh-CN"/>
          <w14:textFill>
            <w14:solidFill>
              <w14:schemeClr w14:val="tx1"/>
            </w14:solidFill>
          </w14:textFill>
        </w:rPr>
        <w:id w:val="-1334439393"/>
        <w:docPartObj>
          <w:docPartGallery w:val="Table of Contents"/>
          <w:docPartUnique/>
        </w:docPartObj>
      </w:sdtPr>
      <w:sdtEndPr>
        <w:rPr>
          <w:rFonts w:hint="default" w:ascii="Times New Roman" w:hAnsi="Times New Roman" w:cs="Times New Roman"/>
          <w:b/>
          <w:bCs/>
          <w:color w:val="000000" w:themeColor="text1"/>
          <w:sz w:val="24"/>
          <w:szCs w:val="24"/>
          <w:lang w:val="zh-CN"/>
          <w14:textFill>
            <w14:solidFill>
              <w14:schemeClr w14:val="tx1"/>
            </w14:solidFill>
          </w14:textFill>
        </w:rPr>
      </w:sdtEndPr>
      <w:sdtContent>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cs="Times New Roman"/>
              <w:color w:val="000000" w:themeColor="text1"/>
              <w:sz w:val="24"/>
              <w:szCs w:val="24"/>
              <w14:textFill>
                <w14:solidFill>
                  <w14:schemeClr w14:val="tx1"/>
                </w14:solidFill>
              </w14:textFill>
            </w:rPr>
            <w:fldChar w:fldCharType="begin"/>
          </w:r>
          <w:r>
            <w:rPr>
              <w:rFonts w:hint="default" w:ascii="Times New Roman" w:hAnsi="Times New Roman" w:cs="Times New Roman"/>
              <w:color w:val="000000" w:themeColor="text1"/>
              <w:sz w:val="24"/>
              <w:szCs w:val="24"/>
              <w14:textFill>
                <w14:solidFill>
                  <w14:schemeClr w14:val="tx1"/>
                </w14:solidFill>
              </w14:textFill>
            </w:rPr>
            <w:instrText xml:space="preserve"> TOC \o "1-3" \h \z \u </w:instrText>
          </w:r>
          <w:r>
            <w:rPr>
              <w:rFonts w:hint="default" w:ascii="Times New Roman" w:hAnsi="Times New Roman" w:cs="Times New Roman"/>
              <w:color w:val="000000" w:themeColor="text1"/>
              <w:sz w:val="24"/>
              <w:szCs w:val="24"/>
              <w14:textFill>
                <w14:solidFill>
                  <w14:schemeClr w14:val="tx1"/>
                </w14:solidFill>
              </w14:textFill>
            </w:rPr>
            <w:fldChar w:fldCharType="separate"/>
          </w: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"_Toc192872065"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1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总则</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eastAsia" w:cs="Times New Roman"/>
              <w:color w:val="000000" w:themeColor="text1"/>
              <w:sz w:val="24"/>
              <w:szCs w:val="24"/>
              <w:lang w:val="en-US" w:eastAsia="zh-CN"/>
              <w14:textFill>
                <w14:solidFill>
                  <w14:schemeClr w14:val="tx1"/>
                </w14:solidFill>
              </w14:textFill>
            </w:rPr>
            <w:t>.</w:t>
          </w: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18</w:t>
          </w:r>
          <w:r>
            <w:rPr>
              <w:rFonts w:hint="eastAsia"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"_Toc192872066"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2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术语</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19</w:t>
          </w:r>
          <w:r>
            <w:rPr>
              <w:rFonts w:hint="eastAsia"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"_Toc192872067"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3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基本规定</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20</w:t>
          </w:r>
          <w:r>
            <w:rPr>
              <w:rFonts w:hint="eastAsia"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"_Toc192872068"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4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系统组成</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21</w:t>
          </w:r>
          <w:r>
            <w:rPr>
              <w:rFonts w:hint="eastAsia"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"_Toc192872069"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5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系统功能</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22</w:t>
          </w:r>
          <w:r>
            <w:rPr>
              <w:rFonts w:hint="eastAsia"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"_Toc192872070"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6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系统设计</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24</w:t>
          </w:r>
          <w:r>
            <w:rPr>
              <w:rFonts w:hint="eastAsia"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3"/>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"_Toc193987808"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6.1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设计原则</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24</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ind w:firstLine="420" w:firstLineChars="200"/>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"_Toc193987808"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6.</w:t>
          </w:r>
          <w:r>
            <w:rPr>
              <w:rStyle w:val="23"/>
              <w:rFonts w:hint="eastAsia" w:cs="Times New Roman"/>
              <w:color w:val="000000" w:themeColor="text1"/>
              <w:sz w:val="24"/>
              <w:szCs w:val="24"/>
              <w:lang w:val="en-US" w:eastAsia="zh-CN"/>
              <w14:textFill>
                <w14:solidFill>
                  <w14:schemeClr w14:val="tx1"/>
                </w14:solidFill>
              </w14:textFill>
            </w:rPr>
            <w:t>2</w:t>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eastAsia" w:cs="Times New Roman"/>
              <w:color w:val="000000" w:themeColor="text1"/>
              <w:sz w:val="24"/>
              <w:szCs w:val="24"/>
              <w:lang w:val="en-US" w:eastAsia="zh-CN"/>
              <w14:textFill>
                <w14:solidFill>
                  <w14:schemeClr w14:val="tx1"/>
                </w14:solidFill>
              </w14:textFill>
            </w:rPr>
            <w:t>装置配置</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24</w:t>
          </w:r>
          <w:r>
            <w:rPr>
              <w:rFonts w:hint="default" w:ascii="Times New Roman" w:hAnsi="Times New Roman"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"_Toc192872071"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7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安装验收</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26</w:t>
          </w:r>
          <w:r>
            <w:rPr>
              <w:rFonts w:hint="eastAsia"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pStyle w:val="11"/>
            <w:tabs>
              <w:tab w:val="right" w:leader="dot" w:pos="8302"/>
            </w:tabs>
            <w:spacing w:line="360" w:lineRule="auto"/>
            <w:rPr>
              <w:rFonts w:hint="default" w:ascii="Times New Roman" w:hAnsi="Times New Roman" w:eastAsia="宋体" w:cs="Times New Roman"/>
              <w:color w:val="000000" w:themeColor="text1"/>
              <w:sz w:val="24"/>
              <w:szCs w:val="24"/>
              <w14:textFill>
                <w14:solidFill>
                  <w14:schemeClr w14:val="tx1"/>
                </w14:solidFill>
              </w14:textFill>
            </w:rPr>
          </w:pPr>
          <w:r>
            <w:rPr>
              <w:rFonts w:hint="default" w:ascii="Times New Roman" w:hAnsi="Times New Roman" w:eastAsia="宋体" w:cs="Times New Roman"/>
            </w:rPr>
            <w:fldChar w:fldCharType="begin"/>
          </w:r>
          <w:r>
            <w:rPr>
              <w:rFonts w:hint="default" w:ascii="Times New Roman" w:hAnsi="Times New Roman" w:eastAsia="宋体" w:cs="Times New Roman"/>
            </w:rPr>
            <w:instrText xml:space="preserve"> HYPERLINK \l "_Toc192872072" </w:instrText>
          </w:r>
          <w:r>
            <w:rPr>
              <w:rFonts w:hint="default" w:ascii="Times New Roman" w:hAnsi="Times New Roman" w:eastAsia="宋体" w:cs="Times New Roman"/>
            </w:rPr>
            <w:fldChar w:fldCharType="separate"/>
          </w:r>
          <w:r>
            <w:rPr>
              <w:rStyle w:val="23"/>
              <w:rFonts w:hint="default" w:ascii="Times New Roman" w:hAnsi="Times New Roman" w:eastAsia="宋体" w:cs="Times New Roman"/>
              <w:color w:val="000000" w:themeColor="text1"/>
              <w:sz w:val="24"/>
              <w:szCs w:val="24"/>
              <w14:textFill>
                <w14:solidFill>
                  <w14:schemeClr w14:val="tx1"/>
                </w14:solidFill>
              </w14:textFill>
            </w:rPr>
            <w:t xml:space="preserve">8 </w:t>
          </w:r>
          <w:r>
            <w:rPr>
              <w:rStyle w:val="23"/>
              <w:rFonts w:hint="default" w:ascii="Times New Roman" w:hAnsi="Times New Roman" w:cs="Times New Roman"/>
              <w:color w:val="000000" w:themeColor="text1"/>
              <w:sz w:val="24"/>
              <w:szCs w:val="24"/>
              <w:lang w:val="en-US" w:eastAsia="zh-CN"/>
              <w14:textFill>
                <w14:solidFill>
                  <w14:schemeClr w14:val="tx1"/>
                </w14:solidFill>
              </w14:textFill>
            </w:rPr>
            <w:t xml:space="preserve"> </w:t>
          </w:r>
          <w:r>
            <w:rPr>
              <w:rStyle w:val="23"/>
              <w:rFonts w:hint="default" w:ascii="Times New Roman" w:hAnsi="Times New Roman" w:eastAsia="宋体" w:cs="Times New Roman"/>
              <w:color w:val="000000" w:themeColor="text1"/>
              <w:sz w:val="24"/>
              <w:szCs w:val="24"/>
              <w14:textFill>
                <w14:solidFill>
                  <w14:schemeClr w14:val="tx1"/>
                </w14:solidFill>
              </w14:textFill>
            </w:rPr>
            <w:t>运行维护</w:t>
          </w:r>
          <w:r>
            <w:rPr>
              <w:rFonts w:hint="default" w:ascii="Times New Roman" w:hAnsi="Times New Roman" w:eastAsia="宋体" w:cs="Times New Roman"/>
              <w:color w:val="000000" w:themeColor="text1"/>
              <w:sz w:val="24"/>
              <w:szCs w:val="24"/>
              <w14:textFill>
                <w14:solidFill>
                  <w14:schemeClr w14:val="tx1"/>
                </w14:solidFill>
              </w14:textFill>
            </w:rPr>
            <w:tab/>
          </w:r>
          <w:r>
            <w:rPr>
              <w:rFonts w:hint="eastAsia" w:cs="Times New Roman"/>
              <w:color w:val="000000" w:themeColor="text1"/>
              <w:sz w:val="24"/>
              <w:szCs w:val="24"/>
              <w:lang w:eastAsia="zh-CN"/>
              <w14:textFill>
                <w14:solidFill>
                  <w14:schemeClr w14:val="tx1"/>
                </w14:solidFill>
              </w14:textFill>
            </w:rPr>
            <w:t>（</w:t>
          </w:r>
          <w:r>
            <w:rPr>
              <w:rFonts w:hint="eastAsia" w:cs="Times New Roman"/>
              <w:color w:val="000000" w:themeColor="text1"/>
              <w:sz w:val="24"/>
              <w:szCs w:val="24"/>
              <w:lang w:val="en-US" w:eastAsia="zh-CN"/>
              <w14:textFill>
                <w14:solidFill>
                  <w14:schemeClr w14:val="tx1"/>
                </w14:solidFill>
              </w14:textFill>
            </w:rPr>
            <w:t>27</w:t>
          </w:r>
          <w:r>
            <w:rPr>
              <w:rFonts w:hint="eastAsia" w:cs="Times New Roman"/>
              <w:color w:val="000000" w:themeColor="text1"/>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szCs w:val="24"/>
              <w14:textFill>
                <w14:solidFill>
                  <w14:schemeClr w14:val="tx1"/>
                </w14:solidFill>
              </w14:textFill>
            </w:rPr>
            <w:fldChar w:fldCharType="end"/>
          </w:r>
        </w:p>
        <w:p>
          <w:pPr>
            <w:adjustRightInd w:val="0"/>
            <w:snapToGrid w:val="0"/>
            <w:spacing w:line="312" w:lineRule="auto"/>
            <w:jc w:val="center"/>
            <w:rPr>
              <w:rFonts w:hint="eastAsia" w:ascii="黑体" w:hAnsi="黑体" w:eastAsia="黑体"/>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lang w:val="zh-CN"/>
              <w14:textFill>
                <w14:solidFill>
                  <w14:schemeClr w14:val="tx1"/>
                </w14:solidFill>
              </w14:textFill>
            </w:rPr>
            <w:fldChar w:fldCharType="end"/>
          </w:r>
        </w:p>
      </w:sdtContent>
    </w:sdt>
    <w:p>
      <w:pPr>
        <w:adjustRightInd w:val="0"/>
        <w:snapToGrid w:val="0"/>
        <w:spacing w:line="312" w:lineRule="auto"/>
        <w:jc w:val="center"/>
        <w:rPr>
          <w:rFonts w:hint="eastAsia" w:ascii="黑体" w:hAnsi="黑体" w:eastAsia="黑体"/>
          <w:color w:val="000000" w:themeColor="text1"/>
          <w:sz w:val="24"/>
          <w:szCs w:val="24"/>
          <w14:textFill>
            <w14:solidFill>
              <w14:schemeClr w14:val="tx1"/>
            </w14:solidFill>
          </w14:textFill>
        </w:rPr>
        <w:sectPr>
          <w:footerReference r:id="rId8" w:type="default"/>
          <w:pgSz w:w="11906" w:h="16838"/>
          <w:pgMar w:top="1440" w:right="1797" w:bottom="1440" w:left="1797" w:header="851" w:footer="584" w:gutter="0"/>
          <w:pgNumType w:start="1"/>
          <w:cols w:space="720" w:num="1"/>
          <w:docGrid w:type="lines" w:linePitch="312" w:charSpace="0"/>
        </w:sectPr>
      </w:pPr>
      <w:bookmarkStart w:id="133" w:name="_GoBack"/>
      <w:bookmarkEnd w:id="133"/>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75" w:name="_Toc193987816"/>
      <w:bookmarkStart w:id="76" w:name="_Toc89867182"/>
      <w:bookmarkStart w:id="77" w:name="_Toc89867081"/>
      <w:bookmarkStart w:id="78" w:name="_Toc192871569"/>
      <w:bookmarkStart w:id="79" w:name="_Toc187406472"/>
      <w:bookmarkStart w:id="80" w:name="_Toc192871661"/>
      <w:bookmarkStart w:id="81" w:name="_Toc89867490"/>
      <w:bookmarkStart w:id="82" w:name="_Toc192872065"/>
      <w:r>
        <w:rPr>
          <w:rFonts w:hint="eastAsia" w:ascii="Times New Roman" w:hAnsi="Times New Roman" w:eastAsia="宋体" w:cs="Times New Roman"/>
          <w:b/>
          <w:bCs/>
          <w:color w:val="000000" w:themeColor="text1"/>
          <w:sz w:val="30"/>
          <w:szCs w:val="30"/>
          <w14:textFill>
            <w14:solidFill>
              <w14:schemeClr w14:val="tx1"/>
            </w14:solidFill>
          </w14:textFill>
        </w:rPr>
        <w:t xml:space="preserve">1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总  则</w:t>
      </w:r>
      <w:bookmarkEnd w:id="75"/>
      <w:bookmarkEnd w:id="76"/>
      <w:bookmarkEnd w:id="77"/>
      <w:bookmarkEnd w:id="78"/>
      <w:bookmarkEnd w:id="79"/>
      <w:bookmarkEnd w:id="80"/>
      <w:bookmarkEnd w:id="81"/>
      <w:bookmarkEnd w:id="82"/>
    </w:p>
    <w:p>
      <w:pPr>
        <w:adjustRightInd w:val="0"/>
        <w:snapToGrid w:val="0"/>
        <w:spacing w:line="360" w:lineRule="auto"/>
        <w:jc w:val="left"/>
        <w:rPr>
          <w:rFonts w:hint="eastAsia" w:ascii="宋体" w:hAnsi="宋体"/>
          <w:color w:val="000000" w:themeColor="text1"/>
          <w:sz w:val="24"/>
          <w:szCs w:val="24"/>
          <w14:textFill>
            <w14:solidFill>
              <w14:schemeClr w14:val="tx1"/>
            </w14:solidFill>
          </w14:textFill>
        </w:rPr>
      </w:pPr>
      <w:r>
        <w:rPr>
          <w:rFonts w:hint="default" w:ascii="Times New Roman" w:hAnsi="Times New Roman" w:eastAsia="宋体" w:cs="Times New Roman"/>
          <w:b/>
          <w:bCs/>
          <w:color w:val="000000"/>
          <w:kern w:val="0"/>
          <w:sz w:val="24"/>
          <w:szCs w:val="24"/>
          <w:lang w:val="en-US" w:eastAsia="zh-CN" w:bidi="ar-SA"/>
        </w:rPr>
        <w:t>1.0.1</w:t>
      </w:r>
      <w:r>
        <w:rPr>
          <w:rFonts w:hint="eastAsia" w:cs="Times New Roman"/>
          <w:b/>
          <w:bCs/>
          <w:color w:val="000000"/>
          <w:kern w:val="0"/>
          <w:sz w:val="24"/>
          <w:szCs w:val="24"/>
          <w:lang w:val="en-US" w:eastAsia="zh-CN" w:bidi="ar-SA"/>
        </w:rPr>
        <w:t xml:space="preserve"> </w:t>
      </w:r>
      <w:r>
        <w:rPr>
          <w:rFonts w:hint="eastAsia" w:ascii="宋体" w:hAnsi="宋体" w:eastAsia="宋体" w:cs="宋体"/>
          <w:b/>
          <w:bCs/>
          <w:color w:val="000000"/>
          <w:kern w:val="0"/>
          <w:sz w:val="24"/>
          <w:szCs w:val="24"/>
          <w:lang w:val="en-US" w:eastAsia="zh-CN" w:bidi="ar-SA"/>
        </w:rPr>
        <w:t xml:space="preserve"> </w:t>
      </w:r>
      <w:r>
        <w:rPr>
          <w:rFonts w:hint="eastAsia" w:ascii="宋体" w:hAnsi="宋体"/>
          <w:color w:val="000000" w:themeColor="text1"/>
          <w:sz w:val="24"/>
          <w:szCs w:val="24"/>
          <w14:textFill>
            <w14:solidFill>
              <w14:schemeClr w14:val="tx1"/>
            </w14:solidFill>
          </w14:textFill>
        </w:rPr>
        <w:t>在石油和化工企业的生产运营过程中，接地电阻的稳定性对于保障人员安全、设备正常运行以及预防火灾、爆炸等重大事故起着至关重要的作用。由于石油和化工企业涉及大量易燃易爆物质，且生产环境复杂，接地电阻一旦出现异常，可能引发严重的安全隐患。例如，当接地电阻过大时，无法有效将雷电、静电等产生的电流引入大地，极易导致设备损坏、火灾甚至爆炸。因此，为了确保接地电阻在线监测系统的设计能够满足石油和化工企业的安全要求，特制定本规范。</w:t>
      </w:r>
    </w:p>
    <w:p>
      <w:pPr>
        <w:adjustRightInd w:val="0"/>
        <w:snapToGrid w:val="0"/>
        <w:spacing w:line="360" w:lineRule="auto"/>
        <w:jc w:val="left"/>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1.0.2</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color w:val="000000" w:themeColor="text1"/>
          <w:sz w:val="24"/>
          <w:szCs w:val="24"/>
          <w14:textFill>
            <w14:solidFill>
              <w14:schemeClr w14:val="tx1"/>
            </w14:solidFill>
          </w14:textFill>
        </w:rPr>
        <w:t>本规范从设计源头出发，全面规范接地电阻在线监测系统的设计、安装、验收、运行与维护。通过明确设计标准和要求，使系统在安全可靠性方面达到行业标准要求，同时积极引入先进的技术手段，如综合接地监测，提升监测系统的全面性和效率。在保证质量优良的前提下，促进石油和化工行业接地电阻在线监测系统整体水平的提升，从而更好地服务于石油和化工企业的安全生产。本规范规定的系统技术要求普遍适用于新建、改建和扩建项目。</w:t>
      </w:r>
    </w:p>
    <w:p>
      <w:pPr>
        <w:adjustRightInd w:val="0"/>
        <w:snapToGrid w:val="0"/>
        <w:spacing w:line="360" w:lineRule="auto"/>
        <w:jc w:val="left"/>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1.0.3</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color w:val="000000" w:themeColor="text1"/>
          <w:sz w:val="24"/>
          <w:szCs w:val="24"/>
          <w14:textFill>
            <w14:solidFill>
              <w14:schemeClr w14:val="tx1"/>
            </w14:solidFill>
          </w14:textFill>
        </w:rPr>
        <w:t>石油和化工企业接地电阻在线监测系统以满足现行国家级行业有关标准为前提，参照本标准设计，当条文发生冲突时，按要求高的条款执行。</w:t>
      </w:r>
    </w:p>
    <w:p>
      <w:pPr>
        <w:adjustRightInd w:val="0"/>
        <w:snapToGrid w:val="0"/>
        <w:spacing w:line="360" w:lineRule="auto"/>
        <w:rPr>
          <w:rFonts w:hint="eastAsia" w:ascii="黑体" w:hAnsi="黑体" w:eastAsia="黑体"/>
          <w:color w:val="000000" w:themeColor="text1"/>
          <w:sz w:val="24"/>
          <w:szCs w:val="24"/>
          <w14:textFill>
            <w14:solidFill>
              <w14:schemeClr w14:val="tx1"/>
            </w14:solidFill>
          </w14:textFill>
        </w:rPr>
      </w:pPr>
      <w:r>
        <w:rPr>
          <w:rFonts w:ascii="黑体" w:hAnsi="黑体" w:eastAsia="黑体"/>
          <w:color w:val="000000" w:themeColor="text1"/>
          <w:sz w:val="24"/>
          <w:szCs w:val="24"/>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83" w:name="_Toc193987817"/>
      <w:bookmarkStart w:id="84" w:name="_Toc192872066"/>
      <w:bookmarkStart w:id="85" w:name="_Toc89867183"/>
      <w:bookmarkStart w:id="86" w:name="_Toc187406473"/>
      <w:bookmarkStart w:id="87" w:name="_Toc192871570"/>
      <w:bookmarkStart w:id="88" w:name="_Toc192871662"/>
      <w:bookmarkStart w:id="89" w:name="_Toc89867491"/>
      <w:bookmarkStart w:id="90" w:name="_Toc89867082"/>
      <w:r>
        <w:rPr>
          <w:rFonts w:hint="eastAsia" w:ascii="Times New Roman" w:hAnsi="Times New Roman" w:eastAsia="宋体" w:cs="Times New Roman"/>
          <w:b/>
          <w:bCs/>
          <w:color w:val="000000" w:themeColor="text1"/>
          <w:sz w:val="30"/>
          <w:szCs w:val="30"/>
          <w14:textFill>
            <w14:solidFill>
              <w14:schemeClr w14:val="tx1"/>
            </w14:solidFill>
          </w14:textFill>
        </w:rPr>
        <w:t xml:space="preserve">2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术  语</w:t>
      </w:r>
      <w:bookmarkEnd w:id="83"/>
      <w:bookmarkEnd w:id="84"/>
      <w:bookmarkEnd w:id="85"/>
      <w:bookmarkEnd w:id="86"/>
      <w:bookmarkEnd w:id="87"/>
      <w:bookmarkEnd w:id="88"/>
      <w:bookmarkEnd w:id="89"/>
      <w:bookmarkEnd w:id="90"/>
    </w:p>
    <w:p>
      <w:pPr>
        <w:spacing w:line="360" w:lineRule="auto"/>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2.0.8</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color w:val="000000" w:themeColor="text1"/>
          <w:sz w:val="24"/>
          <w:szCs w:val="24"/>
          <w14:textFill>
            <w14:solidFill>
              <w14:schemeClr w14:val="tx1"/>
            </w14:solidFill>
          </w14:textFill>
        </w:rPr>
        <w:t>接地电阻在线监测系统用于实时在线监测接地状态，包含两种设备类型，其中接地电阻在线监测设备用于对接地电阻进行测量；接地综合监测设备包含多维度的接地信息监测分析。</w:t>
      </w:r>
    </w:p>
    <w:p>
      <w:pPr>
        <w:spacing w:line="360" w:lineRule="auto"/>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2.0.10</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color w:val="000000" w:themeColor="text1"/>
          <w:sz w:val="24"/>
          <w:szCs w:val="24"/>
          <w14:textFill>
            <w14:solidFill>
              <w14:schemeClr w14:val="tx1"/>
            </w14:solidFill>
          </w14:textFill>
        </w:rPr>
        <w:t>接地综合监测设备具备模块化的功能单元，可以根据现场需要灵活组合使用。包括接地电阻监测、电气完整性监测、土壤电阻率监测、地电位反击监测、杂散电流监测、智能SPD监测等，能够对多维度的信息进行检测和异常诊断，分析变化趋势，及时提供告警和预警信息。</w:t>
      </w:r>
    </w:p>
    <w:p>
      <w:pPr>
        <w:adjustRightInd w:val="0"/>
        <w:snapToGrid w:val="0"/>
        <w:spacing w:line="360" w:lineRule="auto"/>
        <w:jc w:val="center"/>
        <w:rPr>
          <w:rFonts w:hint="eastAsia" w:ascii="黑体" w:hAnsi="黑体" w:eastAsia="黑体"/>
          <w:color w:val="000000" w:themeColor="text1"/>
          <w:sz w:val="24"/>
          <w:szCs w:val="24"/>
          <w14:textFill>
            <w14:solidFill>
              <w14:schemeClr w14:val="tx1"/>
            </w14:solidFill>
          </w14:textFill>
        </w:rPr>
      </w:pPr>
      <w:r>
        <w:rPr>
          <w:rFonts w:ascii="黑体" w:hAnsi="黑体" w:eastAsia="黑体"/>
          <w:color w:val="000000" w:themeColor="text1"/>
          <w:sz w:val="24"/>
          <w:szCs w:val="24"/>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91" w:name="_Toc187406474"/>
      <w:bookmarkStart w:id="92" w:name="_Toc192872067"/>
      <w:bookmarkStart w:id="93" w:name="_Toc193987818"/>
      <w:bookmarkStart w:id="94" w:name="_Toc89867492"/>
      <w:bookmarkStart w:id="95" w:name="_Toc89867083"/>
      <w:bookmarkStart w:id="96" w:name="_Toc192871571"/>
      <w:bookmarkStart w:id="97" w:name="_Toc89867184"/>
      <w:bookmarkStart w:id="98" w:name="_Toc192871663"/>
      <w:r>
        <w:rPr>
          <w:rFonts w:hint="eastAsia" w:ascii="Times New Roman" w:hAnsi="Times New Roman" w:eastAsia="宋体" w:cs="Times New Roman"/>
          <w:b/>
          <w:bCs/>
          <w:color w:val="000000" w:themeColor="text1"/>
          <w:sz w:val="30"/>
          <w:szCs w:val="30"/>
          <w14:textFill>
            <w14:solidFill>
              <w14:schemeClr w14:val="tx1"/>
            </w14:solidFill>
          </w14:textFill>
        </w:rPr>
        <w:t xml:space="preserve">3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基本规定</w:t>
      </w:r>
      <w:bookmarkEnd w:id="91"/>
      <w:bookmarkEnd w:id="92"/>
      <w:bookmarkEnd w:id="93"/>
      <w:bookmarkEnd w:id="94"/>
      <w:bookmarkEnd w:id="95"/>
      <w:bookmarkEnd w:id="96"/>
      <w:bookmarkEnd w:id="97"/>
      <w:bookmarkEnd w:id="98"/>
    </w:p>
    <w:p>
      <w:pPr>
        <w:adjustRightInd w:val="0"/>
        <w:snapToGrid w:val="0"/>
        <w:spacing w:line="360" w:lineRule="auto"/>
        <w:rPr>
          <w:rFonts w:hint="eastAsia" w:ascii="黑体" w:hAnsi="黑体" w:eastAsia="黑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3.0.1</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color w:val="000000" w:themeColor="text1"/>
          <w:sz w:val="24"/>
          <w:szCs w:val="24"/>
          <w14:textFill>
            <w14:solidFill>
              <w14:schemeClr w14:val="tx1"/>
            </w14:solidFill>
          </w14:textFill>
        </w:rPr>
        <w:t>通过持续监测，能及时发现接地电阻异常波动，如因土壤湿度变化、接地体腐蚀等因素导致电阻值超出安全范围，系统可立即触发异常报警机制，提醒运维人员迅速排查处理，避免因接地不良引发静电积聚、雷击事故等安全隐患，从而实现对接地良好性的动态、有效管控。</w:t>
      </w:r>
    </w:p>
    <w:p>
      <w:pPr>
        <w:adjustRightInd w:val="0"/>
        <w:snapToGrid w:val="0"/>
        <w:spacing w:line="360" w:lineRule="auto"/>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3.0.2</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color w:val="000000" w:themeColor="text1"/>
          <w:sz w:val="24"/>
          <w:szCs w:val="24"/>
          <w14:textFill>
            <w14:solidFill>
              <w14:schemeClr w14:val="tx1"/>
            </w14:solidFill>
          </w14:textFill>
        </w:rPr>
        <w:t>石油和化工企业接地系统通常由多个接地极和接地网组成，需监测多点接地情况。电气完整性反映了接地系统各部件间电气连接的可靠性，若连接部位因外力破坏、老化等原因出现接触不良，将影响接地系统正常功能，石油和化工企业的设备地、安全地等都应进行电气完整性的监测。</w:t>
      </w:r>
    </w:p>
    <w:p>
      <w:pPr>
        <w:adjustRightInd w:val="0"/>
        <w:snapToGrid w:val="0"/>
        <w:spacing w:line="360" w:lineRule="auto"/>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3.0.3</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color w:val="000000" w:themeColor="text1"/>
          <w:sz w:val="24"/>
          <w:szCs w:val="24"/>
          <w14:textFill>
            <w14:solidFill>
              <w14:schemeClr w14:val="tx1"/>
            </w14:solidFill>
          </w14:textFill>
        </w:rPr>
        <w:t>防雷接地是石油和化工企业安全防护体系的重要组成部分，防雷接地一体化监测平台负责对整个企业防雷接地系统的统一管理与监控，接地电阻在线监测系统需与该平台的数据交互，将实时监测到的接地电阻数据、异常报警信息等上传至一体化监测平台。</w:t>
      </w:r>
    </w:p>
    <w:p>
      <w:pPr>
        <w:adjustRightInd w:val="0"/>
        <w:snapToGrid w:val="0"/>
        <w:spacing w:line="360" w:lineRule="auto"/>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3.0.4</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color w:val="000000" w:themeColor="text1"/>
          <w:sz w:val="24"/>
          <w:szCs w:val="24"/>
          <w14:textFill>
            <w14:solidFill>
              <w14:schemeClr w14:val="tx1"/>
            </w14:solidFill>
          </w14:textFill>
        </w:rPr>
        <w:t>石油和化工企业内电磁环境复杂，如电机运行、变频器工作、高频设备使用等，会产生强烈的电磁干扰。因此，要求系统具备抗干扰能力，通过采用屏蔽技术、滤波电路、隔离措施等手段，抑制外界电磁干扰，确保监测数据的准确性和可靠性。</w:t>
      </w:r>
    </w:p>
    <w:p>
      <w:pPr>
        <w:adjustRightInd w:val="0"/>
        <w:snapToGrid w:val="0"/>
        <w:spacing w:line="360" w:lineRule="auto"/>
        <w:rPr>
          <w:rFonts w:hint="eastAsia" w:ascii="黑体" w:hAnsi="黑体" w:eastAsia="黑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3.0.5</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color w:val="000000" w:themeColor="text1"/>
          <w:sz w:val="24"/>
          <w:szCs w:val="24"/>
          <w14:textFill>
            <w14:solidFill>
              <w14:schemeClr w14:val="tx1"/>
            </w14:solidFill>
          </w14:textFill>
        </w:rPr>
        <w:t>接地电阻在线监测系统的测量精度直接决定了对接地系统运行状态判断的准确性。监测系统在工作过程中，不应影响被监测接地系统的正常工作状态，如不能因接入监测设备导致接地系统电气参数改变、接地性能下降等。</w:t>
      </w:r>
    </w:p>
    <w:p>
      <w:pPr>
        <w:adjustRightInd w:val="0"/>
        <w:snapToGrid w:val="0"/>
        <w:spacing w:line="360" w:lineRule="auto"/>
        <w:rPr>
          <w:rFonts w:hint="eastAsia" w:ascii="黑体" w:hAnsi="黑体" w:eastAsia="黑体"/>
          <w:color w:val="000000" w:themeColor="text1"/>
          <w:sz w:val="24"/>
          <w:szCs w:val="24"/>
          <w14:textFill>
            <w14:solidFill>
              <w14:schemeClr w14:val="tx1"/>
            </w14:solidFill>
          </w14:textFill>
        </w:rPr>
      </w:pPr>
      <w:r>
        <w:rPr>
          <w:rFonts w:ascii="黑体" w:hAnsi="黑体" w:eastAsia="黑体"/>
          <w:color w:val="000000" w:themeColor="text1"/>
          <w:sz w:val="24"/>
          <w:szCs w:val="24"/>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99" w:name="_Toc89867185"/>
      <w:bookmarkStart w:id="100" w:name="_Toc89867084"/>
      <w:bookmarkStart w:id="101" w:name="_Toc187406475"/>
      <w:bookmarkStart w:id="102" w:name="_Toc89867493"/>
      <w:bookmarkStart w:id="103" w:name="_Toc192872068"/>
      <w:bookmarkStart w:id="104" w:name="_Toc192871572"/>
      <w:bookmarkStart w:id="105" w:name="_Toc192871664"/>
      <w:bookmarkStart w:id="106" w:name="_Toc193987819"/>
      <w:r>
        <w:rPr>
          <w:rFonts w:hint="eastAsia" w:ascii="Times New Roman" w:hAnsi="Times New Roman" w:eastAsia="宋体" w:cs="Times New Roman"/>
          <w:b/>
          <w:bCs/>
          <w:color w:val="000000" w:themeColor="text1"/>
          <w:sz w:val="30"/>
          <w:szCs w:val="30"/>
          <w14:textFill>
            <w14:solidFill>
              <w14:schemeClr w14:val="tx1"/>
            </w14:solidFill>
          </w14:textFill>
        </w:rPr>
        <w:t xml:space="preserve">4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系统</w:t>
      </w:r>
      <w:bookmarkEnd w:id="99"/>
      <w:bookmarkEnd w:id="100"/>
      <w:bookmarkEnd w:id="101"/>
      <w:bookmarkEnd w:id="102"/>
      <w:r>
        <w:rPr>
          <w:rFonts w:hint="eastAsia" w:ascii="Times New Roman" w:hAnsi="Times New Roman" w:eastAsia="宋体" w:cs="Times New Roman"/>
          <w:b/>
          <w:bCs/>
          <w:color w:val="000000" w:themeColor="text1"/>
          <w:sz w:val="30"/>
          <w:szCs w:val="30"/>
          <w14:textFill>
            <w14:solidFill>
              <w14:schemeClr w14:val="tx1"/>
            </w14:solidFill>
          </w14:textFill>
        </w:rPr>
        <w:t>组成</w:t>
      </w:r>
      <w:bookmarkEnd w:id="103"/>
      <w:bookmarkEnd w:id="104"/>
      <w:bookmarkEnd w:id="105"/>
      <w:bookmarkEnd w:id="106"/>
    </w:p>
    <w:p>
      <w:pPr>
        <w:adjustRightInd w:val="0"/>
        <w:snapToGrid w:val="0"/>
        <w:spacing w:line="360" w:lineRule="auto"/>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4.0.1</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接地监测设备是系统的前端感知单元，直接负责采集和测量相关数据，也具有本地计算和存储能力。网络通信设备将接地监测设备获取的数据或计算的结果传输至监控平台。监控平台用于数据处理、存储、分析以及展示。</w:t>
      </w:r>
    </w:p>
    <w:p>
      <w:pPr>
        <w:adjustRightInd w:val="0"/>
        <w:snapToGrid w:val="0"/>
        <w:spacing w:line="360" w:lineRule="auto"/>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4.0.2</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接地电阻在线监测设备专注于实时测量接地电阻值，为判断接地系统是否正常工作提供核心数据。接地综合监测设备功能更为多元，除接地电阻监测外，还具有</w:t>
      </w:r>
      <w:r>
        <w:rPr>
          <w:rFonts w:hint="eastAsia" w:ascii="宋体" w:hAnsi="宋体"/>
          <w:color w:val="000000" w:themeColor="text1"/>
          <w:sz w:val="24"/>
          <w:szCs w:val="24"/>
          <w14:textFill>
            <w14:solidFill>
              <w14:schemeClr w14:val="tx1"/>
            </w14:solidFill>
          </w14:textFill>
        </w:rPr>
        <w:t>电气完整性监测、土壤电阻率监测、地电位反击监测、杂散电流监测、智能SPD监测等功能，既兼容接地电阻监测，又能为石油和化工企业提供更多方面的接地安全监测，无需重复投入其它设备。</w:t>
      </w:r>
    </w:p>
    <w:p>
      <w:pPr>
        <w:adjustRightInd w:val="0"/>
        <w:snapToGrid w:val="0"/>
        <w:spacing w:line="360" w:lineRule="auto"/>
        <w:ind w:firstLine="480" w:firstLineChars="200"/>
        <w:rPr>
          <w:rFonts w:hint="eastAsia" w:ascii="宋体" w:hAnsi="宋体"/>
          <w:bCs/>
          <w:color w:val="000000" w:themeColor="text1"/>
          <w:sz w:val="24"/>
          <w:szCs w:val="24"/>
          <w14:textFill>
            <w14:solidFill>
              <w14:schemeClr w14:val="tx1"/>
            </w14:solidFill>
          </w14:textFill>
        </w:rPr>
      </w:pPr>
      <w:r>
        <w:rPr>
          <w:rFonts w:hint="eastAsia" w:ascii="宋体" w:hAnsi="宋体"/>
          <w:color w:val="000000" w:themeColor="text1"/>
          <w:sz w:val="24"/>
          <w:szCs w:val="24"/>
          <w14:textFill>
            <w14:solidFill>
              <w14:schemeClr w14:val="tx1"/>
            </w14:solidFill>
          </w14:textFill>
        </w:rPr>
        <w:t>用于测试的线路和辅助测试极应包含在接地监测设备中。</w:t>
      </w:r>
    </w:p>
    <w:p>
      <w:pPr>
        <w:adjustRightInd w:val="0"/>
        <w:snapToGrid w:val="0"/>
        <w:spacing w:line="360" w:lineRule="auto"/>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4.0.4</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监控平台集数据处理、展示、报警等多种功能于一体，其硬件部分是功能实现的物理载体，可根据系统规模和计算、存储等功能需求进行选择；系统软件是平台的核心，除满足具体功能要求外，还应具有兼容性、扩展性、良好的交互性和安全性等。</w:t>
      </w:r>
    </w:p>
    <w:p>
      <w:pPr>
        <w:adjustRightInd w:val="0"/>
        <w:snapToGrid w:val="0"/>
        <w:spacing w:line="360" w:lineRule="auto"/>
        <w:rPr>
          <w:rFonts w:hint="eastAsia" w:ascii="宋体" w:hAnsi="宋体"/>
          <w:bCs/>
          <w:color w:val="000000" w:themeColor="text1"/>
          <w:sz w:val="24"/>
          <w:szCs w:val="24"/>
          <w14:textFill>
            <w14:solidFill>
              <w14:schemeClr w14:val="tx1"/>
            </w14:solidFill>
          </w14:textFill>
        </w:rPr>
      </w:pPr>
      <w:r>
        <w:rPr>
          <w:rFonts w:ascii="宋体" w:hAnsi="宋体"/>
          <w:bCs/>
          <w:color w:val="000000" w:themeColor="text1"/>
          <w:sz w:val="24"/>
          <w:szCs w:val="24"/>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107" w:name="_Toc193987820"/>
      <w:bookmarkStart w:id="108" w:name="_Toc192871573"/>
      <w:bookmarkStart w:id="109" w:name="_Toc192872069"/>
      <w:bookmarkStart w:id="110" w:name="_Toc192871665"/>
      <w:r>
        <w:rPr>
          <w:rFonts w:hint="eastAsia" w:ascii="Times New Roman" w:hAnsi="Times New Roman" w:eastAsia="宋体" w:cs="Times New Roman"/>
          <w:b/>
          <w:bCs/>
          <w:color w:val="000000" w:themeColor="text1"/>
          <w:sz w:val="30"/>
          <w:szCs w:val="30"/>
          <w14:textFill>
            <w14:solidFill>
              <w14:schemeClr w14:val="tx1"/>
            </w14:solidFill>
          </w14:textFill>
        </w:rPr>
        <w:t xml:space="preserve">5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系统功能</w:t>
      </w:r>
      <w:bookmarkEnd w:id="107"/>
      <w:bookmarkEnd w:id="108"/>
      <w:bookmarkEnd w:id="109"/>
      <w:bookmarkEnd w:id="110"/>
    </w:p>
    <w:p>
      <w:pPr>
        <w:adjustRightInd w:val="0"/>
        <w:snapToGrid w:val="0"/>
        <w:spacing w:line="360" w:lineRule="auto"/>
        <w:jc w:val="left"/>
        <w:rPr>
          <w:rFonts w:hint="eastAsia" w:ascii="黑体" w:hAnsi="黑体" w:eastAsia="黑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5.0.1</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本条提出了接地电阻在线监测系统应具备的基本功能。</w:t>
      </w:r>
    </w:p>
    <w:p>
      <w:pPr>
        <w:adjustRightInd w:val="0"/>
        <w:snapToGrid w:val="0"/>
        <w:spacing w:line="360" w:lineRule="auto"/>
        <w:jc w:val="left"/>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5.0.2</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阈值设定指允许使用方依据企业实际生产环境与安全标准，为接地电阻等关键参数设置合理的报警或预警限值。时间设定用于设置测量周期或次数。</w:t>
      </w:r>
    </w:p>
    <w:p>
      <w:pPr>
        <w:adjustRightInd w:val="0"/>
        <w:snapToGrid w:val="0"/>
        <w:spacing w:line="360" w:lineRule="auto"/>
        <w:jc w:val="left"/>
        <w:rPr>
          <w:rFonts w:hint="eastAsia" w:ascii="黑体" w:hAnsi="黑体" w:eastAsia="黑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5.0.3</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系统应告知使用方异常报警监测点的位置，可通过报表的形式或图形化形式展现。这也要求在系统安装调试环节，需要正确配置设备信息并在系统重正确录入设备档案，同时确保系统通信正常。</w:t>
      </w:r>
    </w:p>
    <w:p>
      <w:pPr>
        <w:adjustRightInd w:val="0"/>
        <w:snapToGrid w:val="0"/>
        <w:spacing w:line="360" w:lineRule="auto"/>
        <w:jc w:val="left"/>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5.0.4</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石油和化工企业生产区域广阔，接地监测设备分布范围较大，远程状态监测和管理控制可无需亲临现场，快速处理，提升运维效率，降低人力成本。对于设置于有人值守场所的接地监测设备也可具有本地交互窗口，在符合操作权限要求的前提下进行本地监测和控制。</w:t>
      </w:r>
    </w:p>
    <w:p>
      <w:pPr>
        <w:adjustRightInd w:val="0"/>
        <w:snapToGrid w:val="0"/>
        <w:spacing w:line="360" w:lineRule="auto"/>
        <w:jc w:val="left"/>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5.0.5</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多点监测组网功能使系统能够将分布在不同区域的多个接地监测设备和分布在不同位置的多个监测点连接成一个整体，实现数据的集中采集、综合分析与统一管理。基于地图的图形化展示方式能够清晰地展现系统状态和监测信息，便于高效管理。</w:t>
      </w:r>
    </w:p>
    <w:p>
      <w:pPr>
        <w:adjustRightInd w:val="0"/>
        <w:snapToGrid w:val="0"/>
        <w:spacing w:line="360" w:lineRule="auto"/>
        <w:jc w:val="left"/>
        <w:rPr>
          <w:rFonts w:hint="eastAsia" w:ascii="黑体" w:hAnsi="黑体" w:eastAsia="黑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5.0.6</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 xml:space="preserve">本规范以提高石油和化工企业的接地安全性为目标，除了给出基本的接地电阻监测技术要求外，还提出了更多的监测功能，建议石油和化工企业结合厂区地理位置、环境情况、设备情况等进行综合选择和使用。其中土壤温湿度变化会改变土壤导电性能，进而影响接地电阻；土壤电阻率是计算接地电阻的关键参数，其变化反映土壤特性改变；电气完整性监测可发现接地系统中连接部位的松动、腐蚀等问题，保障接地电气通路畅通；地电位反击监测能预防因雷电等强电流引发的地电位升高对设备造成的反击破坏；接地杂散电流监测可对线缆桥架、接地扁钢等位置进行监测和报警，提高安全性；智能型 </w:t>
      </w:r>
      <w:r>
        <w:rPr>
          <w:rFonts w:hint="default" w:ascii="Times New Roman" w:hAnsi="Times New Roman" w:cs="Times New Roman"/>
          <w:bCs/>
          <w:color w:val="000000" w:themeColor="text1"/>
          <w:sz w:val="24"/>
          <w:szCs w:val="24"/>
          <w14:textFill>
            <w14:solidFill>
              <w14:schemeClr w14:val="tx1"/>
            </w14:solidFill>
          </w14:textFill>
        </w:rPr>
        <w:t>SPD</w:t>
      </w:r>
      <w:r>
        <w:rPr>
          <w:rFonts w:hint="eastAsia" w:ascii="宋体" w:hAnsi="宋体"/>
          <w:bCs/>
          <w:color w:val="000000" w:themeColor="text1"/>
          <w:sz w:val="24"/>
          <w:szCs w:val="24"/>
          <w14:textFill>
            <w14:solidFill>
              <w14:schemeClr w14:val="tx1"/>
            </w14:solidFill>
          </w14:textFill>
        </w:rPr>
        <w:t xml:space="preserve"> 监测用于监测</w:t>
      </w:r>
      <w:r>
        <w:rPr>
          <w:rFonts w:hint="default" w:ascii="Times New Roman" w:hAnsi="Times New Roman" w:cs="Times New Roman"/>
          <w:bCs/>
          <w:color w:val="000000" w:themeColor="text1"/>
          <w:sz w:val="24"/>
          <w:szCs w:val="24"/>
          <w14:textFill>
            <w14:solidFill>
              <w14:schemeClr w14:val="tx1"/>
            </w14:solidFill>
          </w14:textFill>
        </w:rPr>
        <w:t>SPD</w:t>
      </w:r>
      <w:r>
        <w:rPr>
          <w:rFonts w:hint="eastAsia" w:ascii="宋体" w:hAnsi="宋体"/>
          <w:bCs/>
          <w:color w:val="000000" w:themeColor="text1"/>
          <w:sz w:val="24"/>
          <w:szCs w:val="24"/>
          <w14:textFill>
            <w14:solidFill>
              <w14:schemeClr w14:val="tx1"/>
            </w14:solidFill>
          </w14:textFill>
        </w:rPr>
        <w:t>状态进行预维护。</w:t>
      </w:r>
    </w:p>
    <w:p>
      <w:pPr>
        <w:adjustRightInd w:val="0"/>
        <w:snapToGrid w:val="0"/>
        <w:spacing w:line="360" w:lineRule="auto"/>
        <w:jc w:val="left"/>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5.0.7</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接地监测设备作为系统前端感知单元，不仅需具备本地数据采集、分析、存储、显示交互能力，还需具备与后台监控系统的通信和交互能力。</w:t>
      </w:r>
    </w:p>
    <w:p>
      <w:pPr>
        <w:adjustRightInd w:val="0"/>
        <w:snapToGrid w:val="0"/>
        <w:spacing w:line="360" w:lineRule="auto"/>
        <w:ind w:firstLine="480" w:firstLineChars="200"/>
        <w:jc w:val="left"/>
        <w:rPr>
          <w:rFonts w:hint="eastAsia" w:ascii="宋体" w:hAnsi="宋体"/>
          <w:bCs/>
          <w:color w:val="000000" w:themeColor="text1"/>
          <w:sz w:val="24"/>
          <w:szCs w:val="24"/>
          <w14:textFill>
            <w14:solidFill>
              <w14:schemeClr w14:val="tx1"/>
            </w14:solidFill>
          </w14:textFill>
        </w:rPr>
      </w:pPr>
      <w:r>
        <w:rPr>
          <w:rFonts w:hint="eastAsia" w:ascii="宋体" w:hAnsi="宋体"/>
          <w:bCs/>
          <w:color w:val="000000" w:themeColor="text1"/>
          <w:sz w:val="24"/>
          <w:szCs w:val="24"/>
          <w14:textFill>
            <w14:solidFill>
              <w14:schemeClr w14:val="tx1"/>
            </w14:solidFill>
          </w14:textFill>
        </w:rPr>
        <w:t>本条的功能要求包含了两种接地监测设备，其中第</w:t>
      </w:r>
      <w:r>
        <w:rPr>
          <w:rFonts w:hint="default" w:ascii="Times New Roman" w:hAnsi="Times New Roman" w:cs="Times New Roman"/>
          <w:bCs/>
          <w:color w:val="000000" w:themeColor="text1"/>
          <w:sz w:val="24"/>
          <w:szCs w:val="24"/>
          <w14:textFill>
            <w14:solidFill>
              <w14:schemeClr w14:val="tx1"/>
            </w14:solidFill>
          </w14:textFill>
        </w:rPr>
        <w:t>9</w:t>
      </w:r>
      <w:r>
        <w:rPr>
          <w:rFonts w:hint="eastAsia" w:ascii="宋体" w:hAnsi="宋体"/>
          <w:bCs/>
          <w:color w:val="000000" w:themeColor="text1"/>
          <w:sz w:val="24"/>
          <w:szCs w:val="24"/>
          <w14:textFill>
            <w14:solidFill>
              <w14:schemeClr w14:val="tx1"/>
            </w14:solidFill>
          </w14:textFill>
        </w:rPr>
        <w:t>款仅适用于接地综合监测设备。</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eastAsia="宋体" w:cs="宋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4</w:t>
      </w:r>
      <w:r>
        <w:rPr>
          <w:rFonts w:hint="eastAsia" w:ascii="宋体" w:hAnsi="宋体" w:eastAsia="宋体" w:cs="宋体"/>
          <w:bCs/>
          <w:color w:val="000000" w:themeColor="text1"/>
          <w:sz w:val="24"/>
          <w:szCs w:val="24"/>
          <w14:textFill>
            <w14:solidFill>
              <w14:schemeClr w14:val="tx1"/>
            </w14:solidFill>
          </w14:textFill>
        </w:rPr>
        <w:t xml:space="preserve"> </w:t>
      </w:r>
      <w:r>
        <w:rPr>
          <w:rFonts w:hint="eastAsia" w:ascii="宋体" w:hAnsi="宋体" w:cs="宋体"/>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自动定时测量功能可根据企业实际需求，由人工灵活设置测量时间间隔。</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w:t>
      </w:r>
      <w:r>
        <w:rPr>
          <w:rFonts w:hint="eastAsia" w:ascii="宋体" w:hAnsi="宋体" w:eastAsia="宋体" w:cs="宋体"/>
          <w:bCs/>
          <w:color w:val="000000" w:themeColor="text1"/>
          <w:sz w:val="24"/>
          <w:szCs w:val="24"/>
          <w14:textFill>
            <w14:solidFill>
              <w14:schemeClr w14:val="tx1"/>
            </w14:solidFill>
          </w14:textFill>
        </w:rPr>
        <w:t xml:space="preserve"> </w:t>
      </w:r>
      <w:r>
        <w:rPr>
          <w:rFonts w:hint="eastAsia" w:ascii="宋体" w:hAnsi="宋体" w:cs="宋体"/>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一台接地监测设备能够同时对多个接地点进行监测，减少设备数量与布线成</w:t>
      </w:r>
      <w:r>
        <w:rPr>
          <w:rFonts w:hint="eastAsia" w:ascii="宋体" w:hAnsi="宋体"/>
          <w:bCs/>
          <w:color w:val="000000" w:themeColor="text1"/>
          <w:sz w:val="24"/>
          <w:szCs w:val="24"/>
          <w14:textFill>
            <w14:solidFill>
              <w14:schemeClr w14:val="tx1"/>
            </w14:solidFill>
          </w14:textFill>
        </w:rPr>
        <w:t>本，提高监测效率。设备通过多路测量通道，分时或并行测量多个接地点接地电阻等参数，并将数据分别传输至监控平台，满足石油和化工企业大面积、多接地点的监测需求。</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eastAsia="宋体" w:cs="宋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9</w:t>
      </w:r>
      <w:r>
        <w:rPr>
          <w:rFonts w:hint="eastAsia" w:ascii="宋体" w:hAnsi="宋体" w:eastAsia="宋体" w:cs="宋体"/>
          <w:bCs/>
          <w:color w:val="000000" w:themeColor="text1"/>
          <w:sz w:val="24"/>
          <w:szCs w:val="24"/>
          <w14:textFill>
            <w14:solidFill>
              <w14:schemeClr w14:val="tx1"/>
            </w14:solidFill>
          </w14:textFill>
        </w:rPr>
        <w:t xml:space="preserve"> </w:t>
      </w:r>
      <w:r>
        <w:rPr>
          <w:rFonts w:hint="eastAsia" w:ascii="宋体" w:hAnsi="宋体" w:cs="宋体"/>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本款所列功能可以按需选用。</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eastAsia="宋体" w:cs="宋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10</w:t>
      </w:r>
      <w:r>
        <w:rPr>
          <w:rFonts w:hint="eastAsia" w:ascii="宋体" w:hAnsi="宋体" w:eastAsia="宋体" w:cs="宋体"/>
          <w:bCs/>
          <w:color w:val="000000" w:themeColor="text1"/>
          <w:sz w:val="24"/>
          <w:szCs w:val="24"/>
          <w14:textFill>
            <w14:solidFill>
              <w14:schemeClr w14:val="tx1"/>
            </w14:solidFill>
          </w14:textFill>
        </w:rPr>
        <w:t xml:space="preserve"> </w:t>
      </w:r>
      <w:r>
        <w:rPr>
          <w:rFonts w:hint="eastAsia" w:ascii="宋体" w:hAnsi="宋体" w:cs="宋体"/>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雷电预警系统可提前预测雷电发生时间与区域，接地监测设备接入并实时显示雷电预警系统数据，能使企业将接地监测与防雷预警有机结合。当雷电预警信息发布时，企业可依据接地系统运行状态，提前采取相应防护措施，如暂停部分高危作业、加强设备巡检等，实现防雷防静电综合管理平台功能，提升企业整体防雷安全水平。</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eastAsia="宋体" w:cs="宋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11</w:t>
      </w:r>
      <w:r>
        <w:rPr>
          <w:rFonts w:hint="eastAsia" w:ascii="宋体" w:hAnsi="宋体" w:eastAsia="宋体" w:cs="宋体"/>
          <w:bCs/>
          <w:color w:val="000000" w:themeColor="text1"/>
          <w:sz w:val="24"/>
          <w:szCs w:val="24"/>
          <w14:textFill>
            <w14:solidFill>
              <w14:schemeClr w14:val="tx1"/>
            </w14:solidFill>
          </w14:textFill>
        </w:rPr>
        <w:t xml:space="preserve"> </w:t>
      </w:r>
      <w:r>
        <w:rPr>
          <w:rFonts w:hint="eastAsia" w:ascii="宋体" w:hAnsi="宋体" w:cs="宋体"/>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对于布线困难或临时监测的区域，可选用无线通信方式，但应注意网络安全管控，采取相应信息安全保护措施。</w:t>
      </w:r>
    </w:p>
    <w:p>
      <w:pPr>
        <w:adjustRightInd w:val="0"/>
        <w:snapToGrid w:val="0"/>
        <w:spacing w:line="360" w:lineRule="auto"/>
        <w:jc w:val="left"/>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5.0.8</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石油和化工企业通常已构建多个安全管理系统或平台，接地电阻在线监测系统具备与其他安全管理系统或平台的开放接口，可实现数据共享与系统联动。例如，当接地电阻监测系统检测到异常，可能引发电气火灾风险时，可将报警信息推送至火灾报警系统，联动启动相关区域消防设备；同时，从其他安全管理系统获取设备运行状态、人员分布等信息，为接地系统故障分析与处理提供更多参考，提升企业整体安全管理效能，构建全方位、一体化的安全防护体系。</w:t>
      </w:r>
    </w:p>
    <w:p>
      <w:pPr>
        <w:adjustRightInd w:val="0"/>
        <w:snapToGrid w:val="0"/>
        <w:spacing w:line="360" w:lineRule="auto"/>
        <w:jc w:val="left"/>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5.0.9</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需确保各节点在同一时间基准下进行数据采集、传输与处理，保障监测数据的时间一致性，为后续数据分析、故障诊断提供可靠时间依据。</w:t>
      </w:r>
    </w:p>
    <w:p>
      <w:pPr>
        <w:adjustRightInd w:val="0"/>
        <w:snapToGrid w:val="0"/>
        <w:spacing w:line="360" w:lineRule="auto"/>
        <w:jc w:val="left"/>
        <w:rPr>
          <w:rFonts w:hint="eastAsia" w:ascii="黑体" w:hAnsi="黑体" w:eastAsia="黑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5.0.10</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本规范附录A</w:t>
      </w:r>
      <w:r>
        <w:rPr>
          <w:rFonts w:hint="eastAsia" w:ascii="宋体" w:hAnsi="宋体"/>
          <w:bCs/>
          <w:color w:val="000000" w:themeColor="text1"/>
          <w:sz w:val="24"/>
          <w:szCs w:val="24"/>
          <w14:textFill>
            <w14:solidFill>
              <w14:schemeClr w14:val="tx1"/>
            </w14:solidFill>
          </w14:textFill>
        </w:rPr>
        <w:t>给出了系统的功能清单，可根据使用情况进行选择。</w:t>
      </w:r>
    </w:p>
    <w:p>
      <w:pPr>
        <w:adjustRightInd w:val="0"/>
        <w:snapToGrid w:val="0"/>
        <w:spacing w:line="360" w:lineRule="auto"/>
        <w:jc w:val="left"/>
        <w:rPr>
          <w:rFonts w:hint="eastAsia" w:ascii="黑体" w:hAnsi="黑体" w:eastAsia="黑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5.0.11</w:t>
      </w:r>
      <w:r>
        <w:rPr>
          <w:rFonts w:hint="eastAsia" w:ascii="宋体" w:hAnsi="宋体"/>
          <w:bCs/>
          <w:color w:val="000000" w:themeColor="text1"/>
          <w:sz w:val="24"/>
          <w:szCs w:val="24"/>
          <w14:textFill>
            <w14:solidFill>
              <w14:schemeClr w14:val="tx1"/>
            </w14:solidFill>
          </w14:textFill>
        </w:rPr>
        <w:t xml:space="preserve"> </w:t>
      </w:r>
      <w:r>
        <w:rPr>
          <w:rFonts w:hint="eastAsia" w:ascii="宋体" w:hAnsi="宋体"/>
          <w:bCs/>
          <w:color w:val="000000" w:themeColor="text1"/>
          <w:sz w:val="24"/>
          <w:szCs w:val="24"/>
          <w:lang w:val="en-US" w:eastAsia="zh-CN"/>
          <w14:textFill>
            <w14:solidFill>
              <w14:schemeClr w14:val="tx1"/>
            </w14:solidFill>
          </w14:textFill>
        </w:rPr>
        <w:t xml:space="preserve"> </w:t>
      </w:r>
      <w:r>
        <w:rPr>
          <w:rFonts w:hint="eastAsia" w:ascii="宋体" w:hAnsi="宋体"/>
          <w:bCs/>
          <w:color w:val="000000" w:themeColor="text1"/>
          <w:sz w:val="24"/>
          <w:szCs w:val="24"/>
          <w14:textFill>
            <w14:solidFill>
              <w14:schemeClr w14:val="tx1"/>
            </w14:solidFill>
          </w14:textFill>
        </w:rPr>
        <w:t>尽管本规范所规定的主体是接地电阻在线监测系统，但出于对石油和化工企业能够有效地运用本系统，能够与管理大平台一同更好地进行防雷接地监测，本条给出了防雷接地一体化监测平台的基本功能要求。一体化监测平台需支持多种数据和设备接入，能够</w:t>
      </w:r>
      <w:r>
        <w:rPr>
          <w:rFonts w:hint="eastAsia" w:ascii="宋体" w:hAnsi="宋体"/>
          <w:color w:val="000000" w:themeColor="text1"/>
          <w:sz w:val="24"/>
          <w:szCs w:val="24"/>
          <w14:textFill>
            <w14:solidFill>
              <w14:schemeClr w14:val="tx1"/>
            </w14:solidFill>
          </w14:textFill>
        </w:rPr>
        <w:t>整合分析多源数据，能更全面、宏观地掌握企业防雷接地系统运行状况，实现对防雷接地系统的集中调度与优化管理，提升企业整体防雷接地安全管理水平。</w:t>
      </w:r>
    </w:p>
    <w:p>
      <w:pPr>
        <w:widowControl/>
        <w:jc w:val="left"/>
        <w:rPr>
          <w:rFonts w:hint="eastAsia" w:ascii="黑体" w:hAnsi="黑体" w:eastAsia="黑体"/>
          <w:bCs/>
          <w:color w:val="000000" w:themeColor="text1"/>
          <w:sz w:val="24"/>
          <w:szCs w:val="24"/>
          <w14:textFill>
            <w14:solidFill>
              <w14:schemeClr w14:val="tx1"/>
            </w14:solidFill>
          </w14:textFill>
        </w:rPr>
      </w:pPr>
      <w:r>
        <w:rPr>
          <w:rFonts w:ascii="黑体" w:hAnsi="黑体" w:eastAsia="黑体"/>
          <w:bCs/>
          <w:color w:val="000000" w:themeColor="text1"/>
          <w:sz w:val="24"/>
          <w:szCs w:val="24"/>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111" w:name="_Toc192871666"/>
      <w:bookmarkStart w:id="112" w:name="_Toc192871574"/>
      <w:bookmarkStart w:id="113" w:name="_Toc193987821"/>
      <w:bookmarkStart w:id="114" w:name="_Toc192872070"/>
      <w:r>
        <w:rPr>
          <w:rFonts w:hint="eastAsia" w:ascii="Times New Roman" w:hAnsi="Times New Roman" w:eastAsia="宋体" w:cs="Times New Roman"/>
          <w:b/>
          <w:bCs/>
          <w:color w:val="000000" w:themeColor="text1"/>
          <w:sz w:val="30"/>
          <w:szCs w:val="30"/>
          <w14:textFill>
            <w14:solidFill>
              <w14:schemeClr w14:val="tx1"/>
            </w14:solidFill>
          </w14:textFill>
        </w:rPr>
        <w:t xml:space="preserve">6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系统设计</w:t>
      </w:r>
      <w:bookmarkEnd w:id="111"/>
      <w:bookmarkEnd w:id="112"/>
      <w:bookmarkEnd w:id="113"/>
      <w:bookmarkEnd w:id="114"/>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28"/>
          <w:szCs w:val="28"/>
          <w14:textFill>
            <w14:solidFill>
              <w14:schemeClr w14:val="tx1"/>
            </w14:solidFill>
          </w14:textFill>
        </w:rPr>
      </w:pPr>
      <w:bookmarkStart w:id="115" w:name="_Toc193987822"/>
      <w:r>
        <w:rPr>
          <w:rFonts w:hint="eastAsia" w:ascii="Times New Roman" w:hAnsi="Times New Roman" w:eastAsia="宋体" w:cs="Times New Roman"/>
          <w:b/>
          <w:bCs/>
          <w:color w:val="000000" w:themeColor="text1"/>
          <w:sz w:val="28"/>
          <w:szCs w:val="28"/>
          <w14:textFill>
            <w14:solidFill>
              <w14:schemeClr w14:val="tx1"/>
            </w14:solidFill>
          </w14:textFill>
        </w:rPr>
        <w:t>6.1 设计原则</w:t>
      </w:r>
      <w:bookmarkEnd w:id="115"/>
    </w:p>
    <w:p>
      <w:pPr>
        <w:adjustRightInd w:val="0"/>
        <w:snapToGrid w:val="0"/>
        <w:spacing w:line="360" w:lineRule="auto"/>
        <w:jc w:val="left"/>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6.1.1-6.1.4</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根据现行国家标准</w:t>
      </w:r>
      <w:r>
        <w:rPr>
          <w:rFonts w:hint="eastAsia" w:ascii="宋体" w:hAnsi="宋体"/>
          <w:color w:val="000000" w:themeColor="text1"/>
          <w:sz w:val="24"/>
          <w:szCs w:val="24"/>
          <w14:textFill>
            <w14:solidFill>
              <w14:schemeClr w14:val="tx1"/>
            </w14:solidFill>
          </w14:textFill>
        </w:rPr>
        <w:t>《危险化学品重大危险源安全监</w:t>
      </w:r>
      <w:r>
        <w:rPr>
          <w:rFonts w:hint="default" w:ascii="Times New Roman" w:hAnsi="Times New Roman" w:cs="Times New Roman"/>
          <w:color w:val="000000" w:themeColor="text1"/>
          <w:sz w:val="24"/>
          <w:szCs w:val="24"/>
          <w14:textFill>
            <w14:solidFill>
              <w14:schemeClr w14:val="tx1"/>
            </w14:solidFill>
          </w14:textFill>
        </w:rPr>
        <w:t>控技术规范》GB 17681</w:t>
      </w:r>
      <w:r>
        <w:rPr>
          <w:rFonts w:hint="default" w:ascii="Times New Roman" w:hAnsi="Times New Roman" w:cs="Times New Roman"/>
          <w:color w:val="000000" w:themeColor="text1"/>
          <w:sz w:val="24"/>
          <w:szCs w:val="24"/>
          <w:lang w:val="en-US" w:eastAsia="zh-CN"/>
          <w14:textFill>
            <w14:solidFill>
              <w14:schemeClr w14:val="tx1"/>
            </w14:solidFill>
          </w14:textFill>
        </w:rPr>
        <w:t>的有关</w:t>
      </w:r>
      <w:r>
        <w:rPr>
          <w:rFonts w:hint="default" w:ascii="Times New Roman" w:hAnsi="Times New Roman" w:cs="Times New Roman"/>
          <w:color w:val="000000" w:themeColor="text1"/>
          <w:sz w:val="24"/>
          <w:szCs w:val="24"/>
          <w14:textFill>
            <w14:solidFill>
              <w14:schemeClr w14:val="tx1"/>
            </w14:solidFill>
          </w14:textFill>
        </w:rPr>
        <w:t>规定</w:t>
      </w:r>
      <w:r>
        <w:rPr>
          <w:rFonts w:hint="eastAsia" w:ascii="宋体" w:hAnsi="宋体"/>
          <w:color w:val="000000" w:themeColor="text1"/>
          <w:sz w:val="24"/>
          <w:szCs w:val="24"/>
          <w14:textFill>
            <w14:solidFill>
              <w14:schemeClr w14:val="tx1"/>
            </w14:solidFill>
          </w14:textFill>
        </w:rPr>
        <w:t>“土壤腐蚀严重地区或强雷区储存单元的易燃易爆介质地上储罐，应设置接地电阻在线监测系统，实时监测每座储罐的接地点接地电阻值”。本条是结合该条规定而制定的，相比该条规定提出了更为严格的要求。将大型的企业、处于强雷区或多雷区的户外单位、易燃易爆介质地上储罐均列为应安装接地电阻在线监测系统的地区，将处于中雷区的户外单位规定为宜安装接地电阻在线监测系统的地区。</w:t>
      </w:r>
    </w:p>
    <w:p>
      <w:pPr>
        <w:adjustRightInd w:val="0"/>
        <w:snapToGrid w:val="0"/>
        <w:spacing w:line="360" w:lineRule="auto"/>
        <w:jc w:val="left"/>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6.1.5</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ascii="宋体" w:hAnsi="宋体"/>
          <w:color w:val="000000" w:themeColor="text1"/>
          <w:sz w:val="24"/>
          <w:szCs w:val="24"/>
          <w14:textFill>
            <w14:solidFill>
              <w14:schemeClr w14:val="tx1"/>
            </w14:solidFill>
          </w14:textFill>
        </w:rPr>
        <w:t>厂区内不同区域的功能、环境条件以及对接地监测的需求存在差异</w:t>
      </w:r>
      <w:r>
        <w:rPr>
          <w:rFonts w:hint="eastAsia" w:ascii="宋体" w:hAnsi="宋体"/>
          <w:color w:val="000000" w:themeColor="text1"/>
          <w:sz w:val="24"/>
          <w:szCs w:val="24"/>
          <w14:textFill>
            <w14:solidFill>
              <w14:schemeClr w14:val="tx1"/>
            </w14:solidFill>
          </w14:textFill>
        </w:rPr>
        <w:t>，</w:t>
      </w:r>
      <w:r>
        <w:rPr>
          <w:rFonts w:ascii="宋体" w:hAnsi="宋体"/>
          <w:color w:val="000000" w:themeColor="text1"/>
          <w:sz w:val="24"/>
          <w:szCs w:val="24"/>
          <w14:textFill>
            <w14:solidFill>
              <w14:schemeClr w14:val="tx1"/>
            </w14:solidFill>
          </w14:textFill>
        </w:rPr>
        <w:t>根据实际需求设置接地电阻在线监测系统和接地监测设备，可使监测系统布局更合理，既能满足各区域对接地监测的不同要求，又能避免过度配置造成资源浪费，提高监测系统的整体效能。</w:t>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28"/>
          <w:szCs w:val="28"/>
          <w14:textFill>
            <w14:solidFill>
              <w14:schemeClr w14:val="tx1"/>
            </w14:solidFill>
          </w14:textFill>
        </w:rPr>
      </w:pPr>
      <w:bookmarkStart w:id="116" w:name="_Toc193987823"/>
      <w:r>
        <w:rPr>
          <w:rFonts w:hint="eastAsia" w:ascii="Times New Roman" w:hAnsi="Times New Roman" w:eastAsia="宋体" w:cs="Times New Roman"/>
          <w:b/>
          <w:bCs/>
          <w:color w:val="000000" w:themeColor="text1"/>
          <w:sz w:val="28"/>
          <w:szCs w:val="28"/>
          <w14:textFill>
            <w14:solidFill>
              <w14:schemeClr w14:val="tx1"/>
            </w14:solidFill>
          </w14:textFill>
        </w:rPr>
        <w:t>6.2 系统配置</w:t>
      </w:r>
      <w:bookmarkEnd w:id="116"/>
    </w:p>
    <w:p>
      <w:pPr>
        <w:adjustRightInd w:val="0"/>
        <w:snapToGrid w:val="0"/>
        <w:spacing w:line="360" w:lineRule="auto"/>
        <w:jc w:val="left"/>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6.2.1</w:t>
      </w:r>
      <w:r>
        <w:rPr>
          <w:rFonts w:hint="eastAsia" w:cs="Times New Roman"/>
          <w:b/>
          <w:bCs/>
          <w:color w:val="000000"/>
          <w:kern w:val="0"/>
          <w:sz w:val="24"/>
          <w:szCs w:val="24"/>
          <w:lang w:val="en-US" w:eastAsia="zh-CN" w:bidi="ar-SA"/>
        </w:rPr>
        <w:t xml:space="preserve">  </w:t>
      </w:r>
      <w:r>
        <w:rPr>
          <w:rFonts w:ascii="宋体" w:hAnsi="宋体"/>
          <w:color w:val="000000" w:themeColor="text1"/>
          <w:sz w:val="24"/>
          <w:szCs w:val="24"/>
          <w14:textFill>
            <w14:solidFill>
              <w14:schemeClr w14:val="tx1"/>
            </w14:solidFill>
          </w14:textFill>
        </w:rPr>
        <w:t>当用户仅关注接地电阻值这一关键参数，对其他接地相关因素无监测需求时，接地电阻在线监测设备可</w:t>
      </w:r>
      <w:r>
        <w:rPr>
          <w:rFonts w:hint="eastAsia" w:ascii="宋体" w:hAnsi="宋体"/>
          <w:color w:val="000000" w:themeColor="text1"/>
          <w:sz w:val="24"/>
          <w:szCs w:val="24"/>
          <w14:textFill>
            <w14:solidFill>
              <w14:schemeClr w14:val="tx1"/>
            </w14:solidFill>
          </w14:textFill>
        </w:rPr>
        <w:t>实现</w:t>
      </w:r>
      <w:r>
        <w:rPr>
          <w:rFonts w:ascii="宋体" w:hAnsi="宋体"/>
          <w:color w:val="000000" w:themeColor="text1"/>
          <w:sz w:val="24"/>
          <w:szCs w:val="24"/>
          <w14:textFill>
            <w14:solidFill>
              <w14:schemeClr w14:val="tx1"/>
            </w14:solidFill>
          </w14:textFill>
        </w:rPr>
        <w:t>实时、精准测量接地电阻，满足基本监测要求。接地综合监测设备集成了多种监测功能模块，能够同时获取这些综合接地信息，为企业提供全方位、深层次的接地系统监测数据，准确评估接地系统健康状态，</w:t>
      </w:r>
      <w:r>
        <w:rPr>
          <w:rFonts w:hint="eastAsia" w:ascii="宋体" w:hAnsi="宋体"/>
          <w:color w:val="000000" w:themeColor="text1"/>
          <w:sz w:val="24"/>
          <w:szCs w:val="24"/>
          <w14:textFill>
            <w14:solidFill>
              <w14:schemeClr w14:val="tx1"/>
            </w14:solidFill>
          </w14:textFill>
        </w:rPr>
        <w:t>并可根据需要进行组合配置使用</w:t>
      </w:r>
      <w:r>
        <w:rPr>
          <w:rFonts w:ascii="宋体" w:hAnsi="宋体"/>
          <w:color w:val="000000" w:themeColor="text1"/>
          <w:sz w:val="24"/>
          <w:szCs w:val="24"/>
          <w14:textFill>
            <w14:solidFill>
              <w14:schemeClr w14:val="tx1"/>
            </w14:solidFill>
          </w14:textFill>
        </w:rPr>
        <w:t>。</w:t>
      </w:r>
      <w:r>
        <w:rPr>
          <w:rFonts w:hint="eastAsia" w:ascii="宋体" w:hAnsi="宋体"/>
          <w:color w:val="000000" w:themeColor="text1"/>
          <w:sz w:val="24"/>
          <w:szCs w:val="24"/>
          <w14:textFill>
            <w14:solidFill>
              <w14:schemeClr w14:val="tx1"/>
            </w14:solidFill>
          </w14:textFill>
        </w:rPr>
        <w:t>建议在机房、控制室、设备间、仪表间、高低压变配电室等地采用接地综合监测设备，全面监测设备和各类设施的接地安全性。</w:t>
      </w:r>
    </w:p>
    <w:p>
      <w:pPr>
        <w:adjustRightInd w:val="0"/>
        <w:snapToGrid w:val="0"/>
        <w:spacing w:line="360" w:lineRule="auto"/>
        <w:jc w:val="left"/>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6.2.2</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color w:val="000000" w:themeColor="text1"/>
          <w:sz w:val="24"/>
          <w:szCs w:val="24"/>
          <w14:textFill>
            <w14:solidFill>
              <w14:schemeClr w14:val="tx1"/>
            </w14:solidFill>
          </w14:textFill>
        </w:rPr>
        <w:t>确定系统功能后，建议在设计文件中明确要求，以保障后期落地实施。</w:t>
      </w:r>
    </w:p>
    <w:p>
      <w:pPr>
        <w:adjustRightInd w:val="0"/>
        <w:snapToGrid w:val="0"/>
        <w:spacing w:line="360" w:lineRule="auto"/>
        <w:jc w:val="left"/>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6.2.3</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ascii="宋体" w:hAnsi="宋体"/>
          <w:color w:val="000000" w:themeColor="text1"/>
          <w:sz w:val="24"/>
          <w:szCs w:val="24"/>
          <w14:textFill>
            <w14:solidFill>
              <w14:schemeClr w14:val="tx1"/>
            </w14:solidFill>
          </w14:textFill>
        </w:rPr>
        <w:t>自动测量方式可按照预设的时间间隔自动启动测量任务，无需人工干预，适用于对数据实时性要求较高、需要长期连续监测接地电阻变化趋势的场景。手动测量方式</w:t>
      </w:r>
      <w:r>
        <w:rPr>
          <w:rFonts w:hint="eastAsia" w:ascii="宋体" w:hAnsi="宋体"/>
          <w:color w:val="000000" w:themeColor="text1"/>
          <w:sz w:val="24"/>
          <w:szCs w:val="24"/>
          <w14:textFill>
            <w14:solidFill>
              <w14:schemeClr w14:val="tx1"/>
            </w14:solidFill>
          </w14:textFill>
        </w:rPr>
        <w:t>可</w:t>
      </w:r>
      <w:r>
        <w:rPr>
          <w:rFonts w:ascii="宋体" w:hAnsi="宋体"/>
          <w:color w:val="000000" w:themeColor="text1"/>
          <w:sz w:val="24"/>
          <w:szCs w:val="24"/>
          <w14:textFill>
            <w14:solidFill>
              <w14:schemeClr w14:val="tx1"/>
            </w14:solidFill>
          </w14:textFill>
        </w:rPr>
        <w:t>在特定情况下</w:t>
      </w:r>
      <w:r>
        <w:rPr>
          <w:rFonts w:hint="eastAsia" w:ascii="宋体" w:hAnsi="宋体"/>
          <w:color w:val="000000" w:themeColor="text1"/>
          <w:sz w:val="24"/>
          <w:szCs w:val="24"/>
          <w14:textFill>
            <w14:solidFill>
              <w14:schemeClr w14:val="tx1"/>
            </w14:solidFill>
          </w14:textFill>
        </w:rPr>
        <w:t>由现场维护人员进行操作</w:t>
      </w:r>
      <w:r>
        <w:rPr>
          <w:rFonts w:ascii="宋体" w:hAnsi="宋体"/>
          <w:color w:val="000000" w:themeColor="text1"/>
          <w:sz w:val="24"/>
          <w:szCs w:val="24"/>
          <w14:textFill>
            <w14:solidFill>
              <w14:schemeClr w14:val="tx1"/>
            </w14:solidFill>
          </w14:textFill>
        </w:rPr>
        <w:t>，如设备检修后、怀疑接地异常时，手动触发测量，便于及时获取当前数据进行现场判断。</w:t>
      </w:r>
      <w:r>
        <w:rPr>
          <w:rFonts w:hint="eastAsia" w:ascii="宋体" w:hAnsi="宋体"/>
          <w:color w:val="000000" w:themeColor="text1"/>
          <w:sz w:val="24"/>
          <w:szCs w:val="24"/>
          <w14:textFill>
            <w14:solidFill>
              <w14:schemeClr w14:val="tx1"/>
            </w14:solidFill>
          </w14:textFill>
        </w:rPr>
        <w:t>两种测量方式</w:t>
      </w:r>
      <w:r>
        <w:rPr>
          <w:rFonts w:ascii="宋体" w:hAnsi="宋体"/>
          <w:color w:val="000000" w:themeColor="text1"/>
          <w:sz w:val="24"/>
          <w:szCs w:val="24"/>
          <w14:textFill>
            <w14:solidFill>
              <w14:schemeClr w14:val="tx1"/>
            </w14:solidFill>
          </w14:textFill>
        </w:rPr>
        <w:t>可满足不同场景下</w:t>
      </w:r>
      <w:r>
        <w:rPr>
          <w:rFonts w:hint="eastAsia" w:ascii="宋体" w:hAnsi="宋体"/>
          <w:color w:val="000000" w:themeColor="text1"/>
          <w:sz w:val="24"/>
          <w:szCs w:val="24"/>
          <w14:textFill>
            <w14:solidFill>
              <w14:schemeClr w14:val="tx1"/>
            </w14:solidFill>
          </w14:textFill>
        </w:rPr>
        <w:t>的</w:t>
      </w:r>
      <w:r>
        <w:rPr>
          <w:rFonts w:ascii="宋体" w:hAnsi="宋体"/>
          <w:color w:val="000000" w:themeColor="text1"/>
          <w:sz w:val="24"/>
          <w:szCs w:val="24"/>
          <w14:textFill>
            <w14:solidFill>
              <w14:schemeClr w14:val="tx1"/>
            </w14:solidFill>
          </w14:textFill>
        </w:rPr>
        <w:t>监测需求。</w:t>
      </w:r>
    </w:p>
    <w:p>
      <w:pPr>
        <w:adjustRightInd w:val="0"/>
        <w:snapToGrid w:val="0"/>
        <w:spacing w:line="360" w:lineRule="auto"/>
        <w:jc w:val="left"/>
        <w:rPr>
          <w:rFonts w:hint="default"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6.2.5</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val="0"/>
          <w:bCs w:val="0"/>
          <w:color w:val="000000"/>
          <w:kern w:val="0"/>
          <w:sz w:val="24"/>
          <w:szCs w:val="24"/>
          <w:lang w:val="en-US" w:eastAsia="zh-CN" w:bidi="ar-SA"/>
        </w:rPr>
        <w:t xml:space="preserve"> </w:t>
      </w:r>
      <w:r>
        <w:rPr>
          <w:rFonts w:hint="default" w:ascii="Times New Roman" w:hAnsi="Times New Roman" w:cs="Times New Roman"/>
          <w:b w:val="0"/>
          <w:bCs w:val="0"/>
          <w:color w:val="000000"/>
          <w:kern w:val="0"/>
          <w:sz w:val="24"/>
          <w:szCs w:val="24"/>
          <w:lang w:val="en-US" w:eastAsia="zh-CN" w:bidi="ar-SA"/>
        </w:rPr>
        <w:t>根据现行国家标准</w:t>
      </w:r>
      <w:r>
        <w:rPr>
          <w:rFonts w:hint="default" w:ascii="Times New Roman" w:hAnsi="Times New Roman" w:cs="Times New Roman"/>
          <w:b w:val="0"/>
          <w:bCs w:val="0"/>
          <w:color w:val="000000" w:themeColor="text1"/>
          <w:sz w:val="24"/>
          <w:szCs w:val="24"/>
          <w14:textFill>
            <w14:solidFill>
              <w14:schemeClr w14:val="tx1"/>
            </w14:solidFill>
          </w14:textFill>
        </w:rPr>
        <w:t>《</w:t>
      </w:r>
      <w:r>
        <w:rPr>
          <w:rFonts w:hint="default" w:ascii="Times New Roman" w:hAnsi="Times New Roman" w:cs="Times New Roman"/>
          <w:color w:val="000000" w:themeColor="text1"/>
          <w:sz w:val="24"/>
          <w:szCs w:val="24"/>
          <w14:textFill>
            <w14:solidFill>
              <w14:schemeClr w14:val="tx1"/>
            </w14:solidFill>
          </w14:textFill>
        </w:rPr>
        <w:t>建筑物防雷设计规范》GB 50057、《危险化学品重大危险源安全监控技术规范》GB 17681和《建筑物防雷装置检测技术规范》GB/T 21431等标准对各类场所的接地电阻安全值做出了明确规定，在设定接地电阻在线监测系统报警阈值时，需参考这些标准，设定科学合理的阈值。若考虑一定的冗余，可根据需要将报警阈值设置为略小于标准要求的值。</w:t>
      </w:r>
    </w:p>
    <w:p>
      <w:pPr>
        <w:adjustRightInd w:val="0"/>
        <w:snapToGrid w:val="0"/>
        <w:spacing w:line="360" w:lineRule="auto"/>
        <w:ind w:firstLine="480" w:firstLineChars="200"/>
        <w:jc w:val="left"/>
        <w:rPr>
          <w:rFonts w:hint="eastAsia" w:ascii="宋体" w:hAnsi="宋体"/>
          <w:bCs/>
          <w:color w:val="000000" w:themeColor="text1"/>
          <w:sz w:val="24"/>
          <w:szCs w:val="24"/>
          <w14:textFill>
            <w14:solidFill>
              <w14:schemeClr w14:val="tx1"/>
            </w14:solidFill>
          </w14:textFill>
        </w:rPr>
      </w:pPr>
      <w:r>
        <w:rPr>
          <w:rFonts w:hint="eastAsia" w:ascii="宋体" w:hAnsi="宋体"/>
          <w:bCs/>
          <w:color w:val="000000" w:themeColor="text1"/>
          <w:sz w:val="24"/>
          <w:szCs w:val="24"/>
          <w14:textFill>
            <w14:solidFill>
              <w14:schemeClr w14:val="tx1"/>
            </w14:solidFill>
          </w14:textFill>
        </w:rPr>
        <w:t>对于设计要求为冲击接地电阻的情况，应按照</w:t>
      </w:r>
      <w:r>
        <w:rPr>
          <w:rFonts w:hint="default" w:ascii="Times New Roman" w:hAnsi="Times New Roman" w:cs="Times New Roman"/>
          <w:bCs/>
          <w:color w:val="000000" w:themeColor="text1"/>
          <w:sz w:val="24"/>
          <w:szCs w:val="24"/>
          <w14:textFill>
            <w14:solidFill>
              <w14:schemeClr w14:val="tx1"/>
            </w14:solidFill>
          </w14:textFill>
        </w:rPr>
        <w:t>GB 50057附录C规定</w:t>
      </w:r>
      <w:r>
        <w:rPr>
          <w:rFonts w:hint="eastAsia" w:ascii="宋体" w:hAnsi="宋体"/>
          <w:bCs/>
          <w:color w:val="000000" w:themeColor="text1"/>
          <w:sz w:val="24"/>
          <w:szCs w:val="24"/>
          <w14:textFill>
            <w14:solidFill>
              <w14:schemeClr w14:val="tx1"/>
            </w14:solidFill>
          </w14:textFill>
        </w:rPr>
        <w:t>的冲击极低电阻与工频接地电阻的换算方法进行计算，参照计算后的工频接地电阻值设置系统报警阈值。</w:t>
      </w:r>
    </w:p>
    <w:p>
      <w:pPr>
        <w:adjustRightInd w:val="0"/>
        <w:snapToGrid w:val="0"/>
        <w:spacing w:line="360" w:lineRule="auto"/>
        <w:jc w:val="left"/>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6.2.6</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color w:val="000000" w:themeColor="text1"/>
          <w:sz w:val="24"/>
          <w:szCs w:val="24"/>
          <w14:textFill>
            <w14:solidFill>
              <w14:schemeClr w14:val="tx1"/>
            </w14:solidFill>
          </w14:textFill>
        </w:rPr>
        <w:t xml:space="preserve">石油和化工企业作为国家经济发展的重要支柱产业，其关键基础设施的安全性与自主性不容有失，需要从底层硬件到上层软件形成统一协调的国产化架构。接地电阻在线监测系统作为保障企业安全生产的核心设施之一，要求其设备和软件采用国产化产品具有极其重要的意义，能够保障信息安全、技术可控，能够灵活定制功能，实现技术改进需求的快速响应。软件运行环境支持国产 </w:t>
      </w:r>
      <w:r>
        <w:rPr>
          <w:rFonts w:hint="default" w:ascii="Times New Roman" w:hAnsi="Times New Roman" w:cs="Times New Roman"/>
          <w:color w:val="000000" w:themeColor="text1"/>
          <w:sz w:val="24"/>
          <w:szCs w:val="24"/>
          <w14:textFill>
            <w14:solidFill>
              <w14:schemeClr w14:val="tx1"/>
            </w14:solidFill>
          </w14:textFill>
        </w:rPr>
        <w:t>CPU</w:t>
      </w:r>
      <w:r>
        <w:rPr>
          <w:rFonts w:hint="eastAsia" w:ascii="宋体" w:hAnsi="宋体"/>
          <w:color w:val="000000" w:themeColor="text1"/>
          <w:sz w:val="24"/>
          <w:szCs w:val="24"/>
          <w14:textFill>
            <w14:solidFill>
              <w14:schemeClr w14:val="tx1"/>
            </w14:solidFill>
          </w14:textFill>
        </w:rPr>
        <w:t xml:space="preserve"> 和国产操作系统，也是实现国产化全产业链贯通的关键环节。</w:t>
      </w:r>
    </w:p>
    <w:p>
      <w:pPr>
        <w:adjustRightInd w:val="0"/>
        <w:snapToGrid w:val="0"/>
        <w:spacing w:line="360" w:lineRule="auto"/>
        <w:jc w:val="left"/>
        <w:rPr>
          <w:rFonts w:hint="eastAsia" w:ascii="宋体" w:hAnsi="宋体"/>
          <w:bCs/>
          <w:color w:val="000000" w:themeColor="text1"/>
          <w:sz w:val="24"/>
          <w:szCs w:val="24"/>
          <w14:textFill>
            <w14:solidFill>
              <w14:schemeClr w14:val="tx1"/>
            </w14:solidFill>
          </w14:textFill>
        </w:rPr>
      </w:pPr>
    </w:p>
    <w:p>
      <w:pPr>
        <w:adjustRightInd w:val="0"/>
        <w:snapToGrid w:val="0"/>
        <w:spacing w:line="360" w:lineRule="auto"/>
        <w:jc w:val="left"/>
        <w:rPr>
          <w:rFonts w:hint="eastAsia" w:ascii="黑体" w:hAnsi="黑体" w:eastAsia="黑体"/>
          <w:bCs/>
          <w:color w:val="000000" w:themeColor="text1"/>
          <w:sz w:val="24"/>
          <w:szCs w:val="24"/>
          <w14:textFill>
            <w14:solidFill>
              <w14:schemeClr w14:val="tx1"/>
            </w14:solidFill>
          </w14:textFill>
        </w:rPr>
        <w:sectPr>
          <w:pgSz w:w="11906" w:h="16838"/>
          <w:pgMar w:top="1440" w:right="1797" w:bottom="1440" w:left="1797" w:header="851" w:footer="584" w:gutter="0"/>
          <w:cols w:space="720"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117" w:name="_Toc192871667"/>
      <w:bookmarkStart w:id="118" w:name="_Toc192872071"/>
      <w:bookmarkStart w:id="119" w:name="_Toc192871575"/>
      <w:bookmarkStart w:id="120" w:name="_Toc193987824"/>
      <w:r>
        <w:rPr>
          <w:rFonts w:hint="eastAsia" w:ascii="Times New Roman" w:hAnsi="Times New Roman" w:eastAsia="宋体" w:cs="Times New Roman"/>
          <w:b/>
          <w:bCs/>
          <w:color w:val="000000" w:themeColor="text1"/>
          <w:sz w:val="30"/>
          <w:szCs w:val="30"/>
          <w14:textFill>
            <w14:solidFill>
              <w14:schemeClr w14:val="tx1"/>
            </w14:solidFill>
          </w14:textFill>
        </w:rPr>
        <w:t xml:space="preserve">7 </w:t>
      </w:r>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安装验收</w:t>
      </w:r>
      <w:bookmarkEnd w:id="117"/>
      <w:bookmarkEnd w:id="118"/>
      <w:bookmarkEnd w:id="119"/>
      <w:bookmarkEnd w:id="120"/>
    </w:p>
    <w:p>
      <w:pPr>
        <w:adjustRightInd w:val="0"/>
        <w:snapToGrid w:val="0"/>
        <w:spacing w:line="360" w:lineRule="auto"/>
        <w:rPr>
          <w:rFonts w:hint="eastAsia" w:ascii="黑体" w:hAnsi="黑体" w:eastAsia="黑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7.0.1</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设计图纸需规划接地电阻在线监测系统的整体布局，包括各设备的安装位置、布线走向等，还需说明各监测点的功能要求；清单需明确所需设备、材料的种类与数量；产品手册需提供设备的技术参数、安装方法及注意事项等关键信息。</w:t>
      </w:r>
    </w:p>
    <w:p>
      <w:pPr>
        <w:adjustRightInd w:val="0"/>
        <w:snapToGrid w:val="0"/>
        <w:spacing w:line="360" w:lineRule="auto"/>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7.0.2</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硬件安装涵盖接地监测设备、网络通信设备、测试电极、测试线等实体设备的安装。软件安装涉及监控平台软件、设备驱动程序等的安装和配置。软件安装后需进行初始化设置、参数校准、系统构建、综合调试等操作，使软件与硬件设备协同工作，实现系统功能。</w:t>
      </w:r>
    </w:p>
    <w:p>
      <w:pPr>
        <w:adjustRightInd w:val="0"/>
        <w:snapToGrid w:val="0"/>
        <w:spacing w:line="360" w:lineRule="auto"/>
        <w:rPr>
          <w:rFonts w:hint="eastAsia" w:ascii="黑体" w:hAnsi="黑体" w:eastAsia="黑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7.0.3</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系统设备需选用防爆产品，如采用防爆外壳设计、本质安全型电路等技术，安装过程严格遵循相关防爆标准，确保系统在危险环境下安全、稳定运行，有效降低事故风险。</w:t>
      </w:r>
    </w:p>
    <w:p>
      <w:pPr>
        <w:adjustRightInd w:val="0"/>
        <w:snapToGrid w:val="0"/>
        <w:spacing w:line="360" w:lineRule="auto"/>
        <w:rPr>
          <w:rFonts w:hint="eastAsia" w:ascii="黑体" w:hAnsi="黑体" w:eastAsia="黑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7.0.4</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接地电阻在线监测系统的现场设备，多用于户外环境中，易发生腐蚀，导致设备损坏、性能下降，影响系统正常监测功能，需采取额外的防腐蚀措施，如对设备表面进行镀锌、涂覆防腐漆处理，选用耐腐蚀的材料制作设备部件等。</w:t>
      </w:r>
    </w:p>
    <w:p>
      <w:pPr>
        <w:adjustRightInd w:val="0"/>
        <w:snapToGrid w:val="0"/>
        <w:spacing w:line="360" w:lineRule="auto"/>
        <w:rPr>
          <w:rFonts w:hint="eastAsia" w:ascii="黑体" w:hAnsi="黑体" w:eastAsia="黑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7.0.6</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不能避免时应设立警示牌。</w:t>
      </w:r>
    </w:p>
    <w:p>
      <w:pPr>
        <w:adjustRightInd w:val="0"/>
        <w:snapToGrid w:val="0"/>
        <w:spacing w:line="360" w:lineRule="auto"/>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7.0.12</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功能测试验证软件各项功能，如数据采集、分析处理、报警等是否正常运行；性能测试评估软件运行效率、响应时间等指标是否达标；安全测试检查软件是否存在漏洞，防止数据泄露、非法访问等安全风险。在测试环境稳定运行 5 天，能暴露软件潜在问题，经过调试优化后正式上线运行，可确保软件在实际生产环境中稳定、可靠运行，保障接地电阻在线监测系统正常工作。</w:t>
      </w:r>
    </w:p>
    <w:p>
      <w:pPr>
        <w:adjustRightInd w:val="0"/>
        <w:snapToGrid w:val="0"/>
        <w:spacing w:line="360" w:lineRule="auto"/>
        <w:rPr>
          <w:rFonts w:hint="eastAsia" w:ascii="宋体" w:hAnsi="宋体"/>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7.0.14</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hint="eastAsia" w:ascii="宋体" w:hAnsi="宋体"/>
          <w:bCs/>
          <w:color w:val="000000" w:themeColor="text1"/>
          <w:sz w:val="24"/>
          <w:szCs w:val="24"/>
          <w14:textFill>
            <w14:solidFill>
              <w14:schemeClr w14:val="tx1"/>
            </w14:solidFill>
          </w14:textFill>
        </w:rPr>
        <w:t>系统功能准确性与完整性是衡量接地电阻在线监测系统是否达标的关键指标，若功能存在缺陷，如报警不准确、数据丢失等，需及时整改，保证系统投入使用后，能有效监测接地系统运行状态。整改后需重复验收，直至合格。</w:t>
      </w:r>
    </w:p>
    <w:p>
      <w:pPr>
        <w:adjustRightInd w:val="0"/>
        <w:snapToGrid w:val="0"/>
        <w:spacing w:line="360" w:lineRule="auto"/>
        <w:rPr>
          <w:rFonts w:hint="eastAsia" w:ascii="宋体" w:hAnsi="宋体"/>
          <w:bCs/>
          <w:color w:val="000000" w:themeColor="text1"/>
          <w:sz w:val="24"/>
          <w:szCs w:val="24"/>
          <w14:textFill>
            <w14:solidFill>
              <w14:schemeClr w14:val="tx1"/>
            </w14:solidFill>
          </w14:textFill>
        </w:rPr>
      </w:pPr>
      <w:r>
        <w:rPr>
          <w:rFonts w:ascii="宋体" w:hAnsi="宋体"/>
          <w:bCs/>
          <w:color w:val="000000" w:themeColor="text1"/>
          <w:sz w:val="24"/>
          <w:szCs w:val="24"/>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val="0"/>
        <w:snapToGrid w:val="0"/>
        <w:spacing w:before="240" w:after="240" w:line="360" w:lineRule="auto"/>
        <w:jc w:val="center"/>
        <w:textAlignment w:val="auto"/>
        <w:outlineLvl w:val="0"/>
        <w:rPr>
          <w:rFonts w:hint="eastAsia" w:ascii="Times New Roman" w:hAnsi="Times New Roman" w:eastAsia="宋体" w:cs="Times New Roman"/>
          <w:b/>
          <w:bCs/>
          <w:color w:val="000000" w:themeColor="text1"/>
          <w:sz w:val="30"/>
          <w:szCs w:val="30"/>
          <w14:textFill>
            <w14:solidFill>
              <w14:schemeClr w14:val="tx1"/>
            </w14:solidFill>
          </w14:textFill>
        </w:rPr>
      </w:pPr>
      <w:bookmarkStart w:id="121" w:name="_Toc89867510"/>
      <w:bookmarkStart w:id="122" w:name="_Toc89867202"/>
      <w:bookmarkStart w:id="123" w:name="_Toc89867101"/>
      <w:bookmarkStart w:id="124" w:name="_Toc187406486"/>
      <w:bookmarkStart w:id="125" w:name="_Toc192871578"/>
      <w:bookmarkStart w:id="126" w:name="_Toc193987825"/>
      <w:bookmarkStart w:id="127" w:name="_Toc192872072"/>
      <w:bookmarkStart w:id="128" w:name="_Toc192871670"/>
      <w:r>
        <w:rPr>
          <w:rFonts w:hint="eastAsia" w:ascii="Times New Roman" w:hAnsi="Times New Roman" w:eastAsia="宋体" w:cs="Times New Roman"/>
          <w:b/>
          <w:bCs/>
          <w:color w:val="000000" w:themeColor="text1"/>
          <w:sz w:val="30"/>
          <w:szCs w:val="30"/>
          <w14:textFill>
            <w14:solidFill>
              <w14:schemeClr w14:val="tx1"/>
            </w14:solidFill>
          </w14:textFill>
        </w:rPr>
        <w:t xml:space="preserve">8 </w:t>
      </w:r>
      <w:bookmarkEnd w:id="121"/>
      <w:bookmarkEnd w:id="122"/>
      <w:bookmarkEnd w:id="123"/>
      <w:bookmarkEnd w:id="124"/>
      <w:r>
        <w:rPr>
          <w:rFonts w:hint="eastAsia" w:cs="Times New Roman"/>
          <w:b/>
          <w:bCs/>
          <w:color w:val="000000" w:themeColor="text1"/>
          <w:sz w:val="30"/>
          <w:szCs w:val="30"/>
          <w:lang w:val="en-US" w:eastAsia="zh-CN"/>
          <w14:textFill>
            <w14:solidFill>
              <w14:schemeClr w14:val="tx1"/>
            </w14:solidFill>
          </w14:textFill>
        </w:rPr>
        <w:t xml:space="preserve">  </w:t>
      </w:r>
      <w:r>
        <w:rPr>
          <w:rFonts w:hint="eastAsia" w:ascii="Times New Roman" w:hAnsi="Times New Roman" w:eastAsia="宋体" w:cs="Times New Roman"/>
          <w:b/>
          <w:bCs/>
          <w:color w:val="000000" w:themeColor="text1"/>
          <w:sz w:val="30"/>
          <w:szCs w:val="30"/>
          <w14:textFill>
            <w14:solidFill>
              <w14:schemeClr w14:val="tx1"/>
            </w14:solidFill>
          </w14:textFill>
        </w:rPr>
        <w:t>运行维护</w:t>
      </w:r>
      <w:bookmarkEnd w:id="125"/>
      <w:bookmarkEnd w:id="126"/>
      <w:bookmarkEnd w:id="127"/>
      <w:bookmarkEnd w:id="128"/>
      <w:bookmarkStart w:id="129" w:name="_Toc89867102"/>
      <w:bookmarkStart w:id="130" w:name="_Toc89867511"/>
      <w:bookmarkStart w:id="131" w:name="_Toc187406487"/>
      <w:bookmarkStart w:id="132" w:name="_Toc89867203"/>
    </w:p>
    <w:p>
      <w:pPr>
        <w:adjustRightInd w:val="0"/>
        <w:snapToGrid w:val="0"/>
        <w:spacing w:line="360" w:lineRule="auto"/>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8.0.1</w:t>
      </w:r>
      <w:r>
        <w:rPr>
          <w:rFonts w:hint="eastAsia" w:cs="Times New Roman"/>
          <w:b/>
          <w:bCs/>
          <w:color w:val="000000"/>
          <w:kern w:val="0"/>
          <w:sz w:val="24"/>
          <w:szCs w:val="24"/>
          <w:lang w:val="en-US" w:eastAsia="zh-CN" w:bidi="ar-SA"/>
        </w:rPr>
        <w:t xml:space="preserve">  </w:t>
      </w:r>
      <w:r>
        <w:rPr>
          <w:rFonts w:ascii="宋体" w:hAnsi="宋体"/>
          <w:color w:val="000000" w:themeColor="text1"/>
          <w:sz w:val="24"/>
          <w:szCs w:val="24"/>
          <w14:textFill>
            <w14:solidFill>
              <w14:schemeClr w14:val="tx1"/>
            </w14:solidFill>
          </w14:textFill>
        </w:rPr>
        <w:t>定期检查硬件设备，可及时发现设备硬件损坏、老化、接触不良等问题，例如接地监测设备显示屏是否正常显示数据、测试电极是否因土壤侵蚀而损坏等。对软件接口进行检查，能确保数据在不同软件模块间传输顺畅，如监测设备与后台监控软件的数据通信接口是否稳定，避免因接口故障造成数据丢失或错误。通过定期检查，可保障系统各组成部分稳定运行，为企业提供可靠的接地电阻监测数据，及时发现接地异常情况，预防因接地问题引发的安全事故。</w:t>
      </w:r>
    </w:p>
    <w:bookmarkEnd w:id="129"/>
    <w:bookmarkEnd w:id="130"/>
    <w:bookmarkEnd w:id="131"/>
    <w:bookmarkEnd w:id="132"/>
    <w:p>
      <w:pPr>
        <w:adjustRightInd w:val="0"/>
        <w:snapToGrid w:val="0"/>
        <w:spacing w:line="360" w:lineRule="auto"/>
        <w:rPr>
          <w:rFonts w:hint="eastAsia" w:ascii="黑体" w:hAnsi="黑体" w:eastAsia="黑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8.0.2</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ascii="宋体" w:hAnsi="宋体"/>
          <w:color w:val="000000" w:themeColor="text1"/>
          <w:sz w:val="24"/>
          <w:szCs w:val="24"/>
          <w14:textFill>
            <w14:solidFill>
              <w14:schemeClr w14:val="tx1"/>
            </w14:solidFill>
          </w14:textFill>
        </w:rPr>
        <w:t>运行数据完整记录了接地电阻在线监测系统运行期间的各项监测数据，如接地电阻值、土壤温湿度、电气完整性参数等；事件记录涵盖系统报警事件、设备故障事件、参数调整事件等重要信息；运维记录</w:t>
      </w:r>
      <w:r>
        <w:rPr>
          <w:rFonts w:hint="eastAsia" w:ascii="宋体" w:hAnsi="宋体"/>
          <w:color w:val="000000" w:themeColor="text1"/>
          <w:sz w:val="24"/>
          <w:szCs w:val="24"/>
          <w14:textFill>
            <w14:solidFill>
              <w14:schemeClr w14:val="tx1"/>
            </w14:solidFill>
          </w14:textFill>
        </w:rPr>
        <w:t>包括</w:t>
      </w:r>
      <w:r>
        <w:rPr>
          <w:rFonts w:ascii="宋体" w:hAnsi="宋体"/>
          <w:color w:val="000000" w:themeColor="text1"/>
          <w:sz w:val="24"/>
          <w:szCs w:val="24"/>
          <w14:textFill>
            <w14:solidFill>
              <w14:schemeClr w14:val="tx1"/>
            </w14:solidFill>
          </w14:textFill>
        </w:rPr>
        <w:t>对系统进行维护、检修、升级等操作的情况。</w:t>
      </w:r>
      <w:r>
        <w:rPr>
          <w:rFonts w:hint="eastAsia" w:ascii="宋体" w:hAnsi="宋体"/>
          <w:color w:val="000000" w:themeColor="text1"/>
          <w:sz w:val="24"/>
          <w:szCs w:val="24"/>
          <w14:textFill>
            <w14:solidFill>
              <w14:schemeClr w14:val="tx1"/>
            </w14:solidFill>
          </w14:textFill>
        </w:rPr>
        <w:t>建议</w:t>
      </w:r>
      <w:r>
        <w:rPr>
          <w:rFonts w:ascii="宋体" w:hAnsi="宋体"/>
          <w:color w:val="000000" w:themeColor="text1"/>
          <w:sz w:val="24"/>
          <w:szCs w:val="24"/>
          <w14:textFill>
            <w14:solidFill>
              <w14:schemeClr w14:val="tx1"/>
            </w14:solidFill>
          </w14:textFill>
        </w:rPr>
        <w:t>定期打印存档</w:t>
      </w:r>
      <w:r>
        <w:rPr>
          <w:rFonts w:hint="eastAsia" w:ascii="宋体" w:hAnsi="宋体"/>
          <w:color w:val="000000" w:themeColor="text1"/>
          <w:sz w:val="24"/>
          <w:szCs w:val="24"/>
          <w14:textFill>
            <w14:solidFill>
              <w14:schemeClr w14:val="tx1"/>
            </w14:solidFill>
          </w14:textFill>
        </w:rPr>
        <w:t>，防止电子数据丢失。</w:t>
      </w:r>
    </w:p>
    <w:p>
      <w:pPr>
        <w:adjustRightInd w:val="0"/>
        <w:snapToGrid w:val="0"/>
        <w:spacing w:line="360" w:lineRule="auto"/>
        <w:rPr>
          <w:rFonts w:hint="eastAsia" w:ascii="宋体" w:hAnsi="宋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8.0.4</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ascii="宋体" w:hAnsi="宋体"/>
          <w:color w:val="000000" w:themeColor="text1"/>
          <w:sz w:val="24"/>
          <w:szCs w:val="24"/>
          <w14:textFill>
            <w14:solidFill>
              <w14:schemeClr w14:val="tx1"/>
            </w14:solidFill>
          </w14:textFill>
        </w:rPr>
        <w:t>系统在运行过程中，会受到多种因素影响，如环境变化、设备老化、企业生产工艺调整等，导致系统性能</w:t>
      </w:r>
      <w:r>
        <w:rPr>
          <w:rFonts w:hint="eastAsia" w:ascii="宋体" w:hAnsi="宋体"/>
          <w:color w:val="000000" w:themeColor="text1"/>
          <w:sz w:val="24"/>
          <w:szCs w:val="24"/>
          <w14:textFill>
            <w14:solidFill>
              <w14:schemeClr w14:val="tx1"/>
            </w14:solidFill>
          </w14:textFill>
        </w:rPr>
        <w:t>变化</w:t>
      </w:r>
      <w:r>
        <w:rPr>
          <w:rFonts w:ascii="宋体" w:hAnsi="宋体"/>
          <w:color w:val="000000" w:themeColor="text1"/>
          <w:sz w:val="24"/>
          <w:szCs w:val="24"/>
          <w14:textFill>
            <w14:solidFill>
              <w14:schemeClr w14:val="tx1"/>
            </w14:solidFill>
          </w14:textFill>
        </w:rPr>
        <w:t>或出现不适应新需求的情况。以半年为周期进行运行优化调整，可定期对系统进行全面评估</w:t>
      </w:r>
      <w:r>
        <w:rPr>
          <w:rFonts w:hint="eastAsia" w:ascii="宋体" w:hAnsi="宋体"/>
          <w:color w:val="000000" w:themeColor="text1"/>
          <w:sz w:val="24"/>
          <w:szCs w:val="24"/>
          <w14:textFill>
            <w14:solidFill>
              <w14:schemeClr w14:val="tx1"/>
            </w14:solidFill>
          </w14:textFill>
        </w:rPr>
        <w:t>，调整阈值，以适应实际情况</w:t>
      </w:r>
      <w:r>
        <w:rPr>
          <w:rFonts w:ascii="宋体" w:hAnsi="宋体"/>
          <w:color w:val="000000" w:themeColor="text1"/>
          <w:sz w:val="24"/>
          <w:szCs w:val="24"/>
          <w14:textFill>
            <w14:solidFill>
              <w14:schemeClr w14:val="tx1"/>
            </w14:solidFill>
          </w14:textFill>
        </w:rPr>
        <w:t>。例如，根据上半年监测数据，优化数据采集频率与分析算法，提高监测精度；针对新出现的生产场景对接地监测的需求，拓展系统功能模块；检查系统硬件设备，对老化设备进行更换或升级，确保系统始终处于最佳运行状态</w:t>
      </w:r>
      <w:r>
        <w:rPr>
          <w:rFonts w:hint="eastAsia" w:ascii="宋体" w:hAnsi="宋体"/>
          <w:color w:val="000000" w:themeColor="text1"/>
          <w:sz w:val="24"/>
          <w:szCs w:val="24"/>
          <w14:textFill>
            <w14:solidFill>
              <w14:schemeClr w14:val="tx1"/>
            </w14:solidFill>
          </w14:textFill>
        </w:rPr>
        <w:t>；根据环境、设备、设施的变化情况设置新的报警阈值，以提高监测的准确性</w:t>
      </w:r>
      <w:r>
        <w:rPr>
          <w:rFonts w:ascii="宋体" w:hAnsi="宋体"/>
          <w:color w:val="000000" w:themeColor="text1"/>
          <w:sz w:val="24"/>
          <w:szCs w:val="24"/>
          <w14:textFill>
            <w14:solidFill>
              <w14:schemeClr w14:val="tx1"/>
            </w14:solidFill>
          </w14:textFill>
        </w:rPr>
        <w:t>。</w:t>
      </w:r>
    </w:p>
    <w:p>
      <w:pPr>
        <w:adjustRightInd w:val="0"/>
        <w:snapToGrid w:val="0"/>
        <w:spacing w:line="360" w:lineRule="auto"/>
        <w:rPr>
          <w:rFonts w:hint="eastAsia" w:ascii="黑体" w:hAnsi="黑体" w:eastAsia="黑体"/>
          <w:color w:val="000000" w:themeColor="text1"/>
          <w:sz w:val="24"/>
          <w:szCs w:val="24"/>
          <w14:textFill>
            <w14:solidFill>
              <w14:schemeClr w14:val="tx1"/>
            </w14:solidFill>
          </w14:textFill>
        </w:rPr>
      </w:pPr>
      <w:r>
        <w:rPr>
          <w:rFonts w:hint="eastAsia" w:ascii="Times New Roman" w:hAnsi="Times New Roman" w:eastAsia="宋体" w:cs="Times New Roman"/>
          <w:b/>
          <w:bCs/>
          <w:color w:val="000000"/>
          <w:kern w:val="0"/>
          <w:sz w:val="24"/>
          <w:szCs w:val="24"/>
          <w:lang w:val="en-US" w:eastAsia="zh-CN" w:bidi="ar-SA"/>
        </w:rPr>
        <w:t>8.0.5</w:t>
      </w:r>
      <w:r>
        <w:rPr>
          <w:rFonts w:hint="eastAsia" w:ascii="宋体" w:hAnsi="宋体" w:eastAsia="宋体" w:cs="宋体"/>
          <w:b/>
          <w:bCs/>
          <w:color w:val="000000"/>
          <w:kern w:val="0"/>
          <w:sz w:val="24"/>
          <w:szCs w:val="24"/>
          <w:lang w:val="en-US" w:eastAsia="zh-CN" w:bidi="ar-SA"/>
        </w:rPr>
        <w:t xml:space="preserve"> </w:t>
      </w:r>
      <w:r>
        <w:rPr>
          <w:rFonts w:hint="eastAsia" w:ascii="宋体" w:hAnsi="宋体" w:cs="宋体"/>
          <w:b/>
          <w:bCs/>
          <w:color w:val="000000"/>
          <w:kern w:val="0"/>
          <w:sz w:val="24"/>
          <w:szCs w:val="24"/>
          <w:lang w:val="en-US" w:eastAsia="zh-CN" w:bidi="ar-SA"/>
        </w:rPr>
        <w:t xml:space="preserve"> </w:t>
      </w:r>
      <w:r>
        <w:rPr>
          <w:rFonts w:ascii="宋体" w:hAnsi="宋体"/>
          <w:color w:val="000000" w:themeColor="text1"/>
          <w:sz w:val="24"/>
          <w:szCs w:val="24"/>
          <w14:textFill>
            <w14:solidFill>
              <w14:schemeClr w14:val="tx1"/>
            </w14:solidFill>
          </w14:textFill>
        </w:rPr>
        <w:t>海边、高盐雾或腐蚀性严重的环境，对设备的腐蚀作用极强。接地电阻在线监测系统长期处于此类环境中，设备外壳、测试电极、测试线等部件易被腐蚀，导致设备损坏、测量精度下降、数据传输异常等问题</w:t>
      </w:r>
      <w:r>
        <w:rPr>
          <w:rFonts w:hint="eastAsia" w:ascii="宋体" w:hAnsi="宋体"/>
          <w:color w:val="000000" w:themeColor="text1"/>
          <w:sz w:val="24"/>
          <w:szCs w:val="24"/>
          <w14:textFill>
            <w14:solidFill>
              <w14:schemeClr w14:val="tx1"/>
            </w14:solidFill>
          </w14:textFill>
        </w:rPr>
        <w:t>，因此需提高检测维护的频率</w:t>
      </w:r>
      <w:r>
        <w:rPr>
          <w:rFonts w:ascii="宋体" w:hAnsi="宋体"/>
          <w:color w:val="000000" w:themeColor="text1"/>
          <w:sz w:val="24"/>
          <w:szCs w:val="24"/>
          <w14:textFill>
            <w14:solidFill>
              <w14:schemeClr w14:val="tx1"/>
            </w14:solidFill>
          </w14:textFill>
        </w:rPr>
        <w:t>。</w:t>
      </w:r>
    </w:p>
    <w:sectPr>
      <w:pgSz w:w="11906" w:h="16838"/>
      <w:pgMar w:top="1440" w:right="1797" w:bottom="1440" w:left="1797" w:header="851" w:footer="58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书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Elephant">
    <w:panose1 w:val="02020904090505020303"/>
    <w:charset w:val="00"/>
    <w:family w:val="roman"/>
    <w:pitch w:val="default"/>
    <w:sig w:usb0="00000003" w:usb1="00000000" w:usb2="00000000" w:usb3="00000000" w:csb0="20000001" w:csb1="00000000"/>
  </w:font>
  <w:font w:name="等线">
    <w:panose1 w:val="02010600030101010101"/>
    <w:charset w:val="86"/>
    <w:family w:val="auto"/>
    <w:pitch w:val="default"/>
    <w:sig w:usb0="A00002BF" w:usb1="38CF7CFA" w:usb2="00000016" w:usb3="00000000" w:csb0="0004000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2518316"/>
    </w:sdtPr>
    <w:sdtContent>
      <w:p>
        <w:pPr>
          <w:pStyle w:val="9"/>
          <w:jc w:val="right"/>
        </w:pPr>
        <w:r>
          <w:fldChar w:fldCharType="begin"/>
        </w:r>
        <w:r>
          <w:instrText xml:space="preserve">PAGE   \* MERGEFORMAT</w:instrText>
        </w:r>
        <w:r>
          <w:fldChar w:fldCharType="separate"/>
        </w:r>
        <w:r>
          <w:rPr>
            <w:lang w:val="zh-CN"/>
          </w:rPr>
          <w:t>31</w:t>
        </w:r>
        <w:r>
          <w:rPr>
            <w:lang w:val="zh-CN"/>
          </w:rPr>
          <w:fldChar w:fldCharType="end"/>
        </w:r>
      </w:p>
    </w:sdtContent>
  </w:sdt>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84826253"/>
    </w:sdtPr>
    <w:sdtContent>
      <w:p>
        <w:pPr>
          <w:pStyle w:val="9"/>
        </w:pPr>
        <w:r>
          <w:fldChar w:fldCharType="begin"/>
        </w:r>
        <w:r>
          <w:instrText xml:space="preserve">PAGE   \* MERGEFORMAT</w:instrText>
        </w:r>
        <w:r>
          <w:fldChar w:fldCharType="separate"/>
        </w:r>
        <w:r>
          <w:rPr>
            <w:lang w:val="zh-CN"/>
          </w:rPr>
          <w:t>28</w:t>
        </w:r>
        <w:r>
          <w:rPr>
            <w:lang w:val="zh-CN"/>
          </w:rPr>
          <w:fldChar w:fldCharType="end"/>
        </w:r>
      </w:p>
    </w:sdtContent>
  </w:sdt>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8"/>
      <w:rPr>
        <w:rStyle w:val="2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lang w:val="zh-CN"/>
      </w:rPr>
      <w:fldChar w:fldCharType="begin"/>
    </w:r>
    <w:r>
      <w:rPr>
        <w:lang w:val="zh-CN"/>
      </w:rPr>
      <w:instrText xml:space="preserve">PAGE   \* MERGEFORMAT</w:instrText>
    </w:r>
    <w:r>
      <w:rPr>
        <w:lang w:val="zh-CN"/>
      </w:rPr>
      <w:fldChar w:fldCharType="separate"/>
    </w:r>
    <w:r>
      <w:rPr>
        <w:lang w:val="zh-CN"/>
      </w:rPr>
      <w:t>7</w:t>
    </w:r>
    <w:r>
      <w:rPr>
        <w:lang w:val="zh-CN"/>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lang w:val="zh-CN"/>
      </w:rPr>
      <w:fldChar w:fldCharType="begin"/>
    </w:r>
    <w:r>
      <w:rPr>
        <w:lang w:val="zh-CN"/>
      </w:rPr>
      <w:instrText xml:space="preserve">PAGE   \* MERGEFORMAT</w:instrText>
    </w:r>
    <w:r>
      <w:rPr>
        <w:lang w:val="zh-CN"/>
      </w:rPr>
      <w:fldChar w:fldCharType="separate"/>
    </w:r>
    <w:r>
      <w:rPr>
        <w:lang w:val="zh-CN"/>
      </w:rPr>
      <w:t>7</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B033C6"/>
    <w:multiLevelType w:val="multilevel"/>
    <w:tmpl w:val="3EB033C6"/>
    <w:lvl w:ilvl="0" w:tentative="0">
      <w:start w:val="1"/>
      <w:numFmt w:val="lowerLetter"/>
      <w:pStyle w:val="50"/>
      <w:lvlText w:val="%1)"/>
      <w:lvlJc w:val="left"/>
      <w:pPr>
        <w:tabs>
          <w:tab w:val="left" w:pos="1123"/>
        </w:tabs>
        <w:ind w:left="1123" w:hanging="55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02A1"/>
    <w:rsid w:val="00000967"/>
    <w:rsid w:val="00000DC0"/>
    <w:rsid w:val="000010A5"/>
    <w:rsid w:val="00002E08"/>
    <w:rsid w:val="0000538D"/>
    <w:rsid w:val="0000609F"/>
    <w:rsid w:val="00007A40"/>
    <w:rsid w:val="00007FAF"/>
    <w:rsid w:val="000139A0"/>
    <w:rsid w:val="0001509E"/>
    <w:rsid w:val="00015AD7"/>
    <w:rsid w:val="00016055"/>
    <w:rsid w:val="000167D2"/>
    <w:rsid w:val="00016809"/>
    <w:rsid w:val="00016C84"/>
    <w:rsid w:val="00016EBE"/>
    <w:rsid w:val="00017184"/>
    <w:rsid w:val="00017EF8"/>
    <w:rsid w:val="00020253"/>
    <w:rsid w:val="00022265"/>
    <w:rsid w:val="0002485F"/>
    <w:rsid w:val="00025830"/>
    <w:rsid w:val="00025D27"/>
    <w:rsid w:val="000265F4"/>
    <w:rsid w:val="00031192"/>
    <w:rsid w:val="00031358"/>
    <w:rsid w:val="000316D6"/>
    <w:rsid w:val="00031E32"/>
    <w:rsid w:val="00033822"/>
    <w:rsid w:val="00034781"/>
    <w:rsid w:val="000348F6"/>
    <w:rsid w:val="000350A2"/>
    <w:rsid w:val="000351CE"/>
    <w:rsid w:val="00035625"/>
    <w:rsid w:val="00040688"/>
    <w:rsid w:val="000406E7"/>
    <w:rsid w:val="000407B6"/>
    <w:rsid w:val="000413D3"/>
    <w:rsid w:val="000420C5"/>
    <w:rsid w:val="00042B5E"/>
    <w:rsid w:val="0004349A"/>
    <w:rsid w:val="0004381C"/>
    <w:rsid w:val="00044B36"/>
    <w:rsid w:val="00045501"/>
    <w:rsid w:val="000460C4"/>
    <w:rsid w:val="00046EBC"/>
    <w:rsid w:val="00046F2C"/>
    <w:rsid w:val="00047D1E"/>
    <w:rsid w:val="00050D00"/>
    <w:rsid w:val="00050DAC"/>
    <w:rsid w:val="0005231E"/>
    <w:rsid w:val="000523AF"/>
    <w:rsid w:val="0005296D"/>
    <w:rsid w:val="00053547"/>
    <w:rsid w:val="00053D5D"/>
    <w:rsid w:val="00054ABB"/>
    <w:rsid w:val="000551FA"/>
    <w:rsid w:val="000565D3"/>
    <w:rsid w:val="00056884"/>
    <w:rsid w:val="000600EE"/>
    <w:rsid w:val="0006067E"/>
    <w:rsid w:val="0006142F"/>
    <w:rsid w:val="00063682"/>
    <w:rsid w:val="000639A3"/>
    <w:rsid w:val="00063FEE"/>
    <w:rsid w:val="00067302"/>
    <w:rsid w:val="000704F3"/>
    <w:rsid w:val="00070E6A"/>
    <w:rsid w:val="00070E80"/>
    <w:rsid w:val="00070F42"/>
    <w:rsid w:val="000720BD"/>
    <w:rsid w:val="00075336"/>
    <w:rsid w:val="0007588B"/>
    <w:rsid w:val="0008146B"/>
    <w:rsid w:val="00082447"/>
    <w:rsid w:val="00083828"/>
    <w:rsid w:val="00083D72"/>
    <w:rsid w:val="00085623"/>
    <w:rsid w:val="00087348"/>
    <w:rsid w:val="00090861"/>
    <w:rsid w:val="00090A81"/>
    <w:rsid w:val="00090D71"/>
    <w:rsid w:val="00091130"/>
    <w:rsid w:val="00091991"/>
    <w:rsid w:val="00091A20"/>
    <w:rsid w:val="00091E96"/>
    <w:rsid w:val="00091FD3"/>
    <w:rsid w:val="000920F7"/>
    <w:rsid w:val="000932FE"/>
    <w:rsid w:val="0009376C"/>
    <w:rsid w:val="0009490E"/>
    <w:rsid w:val="00094EF8"/>
    <w:rsid w:val="000961EE"/>
    <w:rsid w:val="0009734B"/>
    <w:rsid w:val="00097888"/>
    <w:rsid w:val="000A0405"/>
    <w:rsid w:val="000A24CA"/>
    <w:rsid w:val="000A343E"/>
    <w:rsid w:val="000A5C3F"/>
    <w:rsid w:val="000A6187"/>
    <w:rsid w:val="000A632B"/>
    <w:rsid w:val="000A7A8E"/>
    <w:rsid w:val="000A7D3F"/>
    <w:rsid w:val="000A7F86"/>
    <w:rsid w:val="000B10D9"/>
    <w:rsid w:val="000B1759"/>
    <w:rsid w:val="000B2D1D"/>
    <w:rsid w:val="000B3F17"/>
    <w:rsid w:val="000B5A8A"/>
    <w:rsid w:val="000B7767"/>
    <w:rsid w:val="000C1E75"/>
    <w:rsid w:val="000C1F28"/>
    <w:rsid w:val="000C224C"/>
    <w:rsid w:val="000C28FE"/>
    <w:rsid w:val="000C3E0B"/>
    <w:rsid w:val="000C5D00"/>
    <w:rsid w:val="000C6290"/>
    <w:rsid w:val="000C6607"/>
    <w:rsid w:val="000D0437"/>
    <w:rsid w:val="000D10EC"/>
    <w:rsid w:val="000D1293"/>
    <w:rsid w:val="000D2620"/>
    <w:rsid w:val="000D2A6E"/>
    <w:rsid w:val="000D3B8B"/>
    <w:rsid w:val="000D5293"/>
    <w:rsid w:val="000D5C07"/>
    <w:rsid w:val="000D5DDF"/>
    <w:rsid w:val="000D603C"/>
    <w:rsid w:val="000D654B"/>
    <w:rsid w:val="000D69BF"/>
    <w:rsid w:val="000D6DE3"/>
    <w:rsid w:val="000D6F8C"/>
    <w:rsid w:val="000D7F20"/>
    <w:rsid w:val="000E0839"/>
    <w:rsid w:val="000E1892"/>
    <w:rsid w:val="000E1AA8"/>
    <w:rsid w:val="000E1CC5"/>
    <w:rsid w:val="000E3886"/>
    <w:rsid w:val="000E3C80"/>
    <w:rsid w:val="000E546F"/>
    <w:rsid w:val="000E6E07"/>
    <w:rsid w:val="000F0531"/>
    <w:rsid w:val="000F0E32"/>
    <w:rsid w:val="000F2225"/>
    <w:rsid w:val="000F2855"/>
    <w:rsid w:val="000F2AA2"/>
    <w:rsid w:val="000F3430"/>
    <w:rsid w:val="000F3A2A"/>
    <w:rsid w:val="000F746E"/>
    <w:rsid w:val="000F7D3E"/>
    <w:rsid w:val="001033B9"/>
    <w:rsid w:val="0010524C"/>
    <w:rsid w:val="0010599C"/>
    <w:rsid w:val="00107383"/>
    <w:rsid w:val="001073EC"/>
    <w:rsid w:val="00114363"/>
    <w:rsid w:val="00114EBD"/>
    <w:rsid w:val="001157A3"/>
    <w:rsid w:val="00116DC4"/>
    <w:rsid w:val="00116E5A"/>
    <w:rsid w:val="00117A5F"/>
    <w:rsid w:val="00120466"/>
    <w:rsid w:val="00120A1F"/>
    <w:rsid w:val="0012110F"/>
    <w:rsid w:val="00124BC3"/>
    <w:rsid w:val="00125388"/>
    <w:rsid w:val="00126372"/>
    <w:rsid w:val="00127669"/>
    <w:rsid w:val="00130031"/>
    <w:rsid w:val="00130B84"/>
    <w:rsid w:val="001311AE"/>
    <w:rsid w:val="00131F91"/>
    <w:rsid w:val="001320CE"/>
    <w:rsid w:val="00132E71"/>
    <w:rsid w:val="0013522F"/>
    <w:rsid w:val="0013686A"/>
    <w:rsid w:val="00136906"/>
    <w:rsid w:val="001376CC"/>
    <w:rsid w:val="001401E8"/>
    <w:rsid w:val="00143F94"/>
    <w:rsid w:val="00144494"/>
    <w:rsid w:val="00144B0D"/>
    <w:rsid w:val="00145064"/>
    <w:rsid w:val="00145A92"/>
    <w:rsid w:val="00145C40"/>
    <w:rsid w:val="00146435"/>
    <w:rsid w:val="001476B7"/>
    <w:rsid w:val="00147FAB"/>
    <w:rsid w:val="00150774"/>
    <w:rsid w:val="00150A64"/>
    <w:rsid w:val="00150AD0"/>
    <w:rsid w:val="0015258E"/>
    <w:rsid w:val="001529C2"/>
    <w:rsid w:val="00153E6B"/>
    <w:rsid w:val="00154261"/>
    <w:rsid w:val="00154D7A"/>
    <w:rsid w:val="0015585F"/>
    <w:rsid w:val="00155E00"/>
    <w:rsid w:val="00157B6F"/>
    <w:rsid w:val="0016239C"/>
    <w:rsid w:val="00165985"/>
    <w:rsid w:val="00165D70"/>
    <w:rsid w:val="001664E9"/>
    <w:rsid w:val="001675B4"/>
    <w:rsid w:val="00167C6A"/>
    <w:rsid w:val="00167EAD"/>
    <w:rsid w:val="00171669"/>
    <w:rsid w:val="0017208D"/>
    <w:rsid w:val="00172A0D"/>
    <w:rsid w:val="00172A27"/>
    <w:rsid w:val="00173066"/>
    <w:rsid w:val="0017356D"/>
    <w:rsid w:val="001746C1"/>
    <w:rsid w:val="001747F4"/>
    <w:rsid w:val="00174AD3"/>
    <w:rsid w:val="0017549E"/>
    <w:rsid w:val="0017568C"/>
    <w:rsid w:val="0017579D"/>
    <w:rsid w:val="00176EA7"/>
    <w:rsid w:val="00176EEE"/>
    <w:rsid w:val="00180560"/>
    <w:rsid w:val="00181FD9"/>
    <w:rsid w:val="00182E94"/>
    <w:rsid w:val="001833D6"/>
    <w:rsid w:val="0018462E"/>
    <w:rsid w:val="00184A67"/>
    <w:rsid w:val="00185EC2"/>
    <w:rsid w:val="00186419"/>
    <w:rsid w:val="00186CC5"/>
    <w:rsid w:val="00187CDE"/>
    <w:rsid w:val="00187E50"/>
    <w:rsid w:val="00187EE2"/>
    <w:rsid w:val="00190503"/>
    <w:rsid w:val="001918CE"/>
    <w:rsid w:val="00191C4D"/>
    <w:rsid w:val="00192E0A"/>
    <w:rsid w:val="00192FD9"/>
    <w:rsid w:val="00193668"/>
    <w:rsid w:val="00193A34"/>
    <w:rsid w:val="00193E63"/>
    <w:rsid w:val="00194F2C"/>
    <w:rsid w:val="00195FA9"/>
    <w:rsid w:val="00196618"/>
    <w:rsid w:val="001977B0"/>
    <w:rsid w:val="0019794F"/>
    <w:rsid w:val="00197C7C"/>
    <w:rsid w:val="00197EB1"/>
    <w:rsid w:val="001A3A47"/>
    <w:rsid w:val="001A4C62"/>
    <w:rsid w:val="001A502C"/>
    <w:rsid w:val="001A50B5"/>
    <w:rsid w:val="001A5290"/>
    <w:rsid w:val="001B16AF"/>
    <w:rsid w:val="001B1AE5"/>
    <w:rsid w:val="001B1BF6"/>
    <w:rsid w:val="001B237C"/>
    <w:rsid w:val="001B44AC"/>
    <w:rsid w:val="001B6511"/>
    <w:rsid w:val="001C0165"/>
    <w:rsid w:val="001C21B6"/>
    <w:rsid w:val="001C32DF"/>
    <w:rsid w:val="001C4211"/>
    <w:rsid w:val="001C6363"/>
    <w:rsid w:val="001C7C95"/>
    <w:rsid w:val="001D1DD2"/>
    <w:rsid w:val="001D3CAF"/>
    <w:rsid w:val="001D7C6D"/>
    <w:rsid w:val="001E0C48"/>
    <w:rsid w:val="001E17CA"/>
    <w:rsid w:val="001E1C55"/>
    <w:rsid w:val="001E3903"/>
    <w:rsid w:val="001E4E93"/>
    <w:rsid w:val="001E52BA"/>
    <w:rsid w:val="001E53F3"/>
    <w:rsid w:val="001E567F"/>
    <w:rsid w:val="001E7623"/>
    <w:rsid w:val="001E78C6"/>
    <w:rsid w:val="001F028E"/>
    <w:rsid w:val="001F0F5B"/>
    <w:rsid w:val="001F100B"/>
    <w:rsid w:val="001F12C8"/>
    <w:rsid w:val="001F1831"/>
    <w:rsid w:val="001F1C46"/>
    <w:rsid w:val="001F2292"/>
    <w:rsid w:val="001F3407"/>
    <w:rsid w:val="001F3B84"/>
    <w:rsid w:val="001F4141"/>
    <w:rsid w:val="001F449E"/>
    <w:rsid w:val="001F5480"/>
    <w:rsid w:val="001F6B2C"/>
    <w:rsid w:val="001F6C7A"/>
    <w:rsid w:val="001F7839"/>
    <w:rsid w:val="00200873"/>
    <w:rsid w:val="0020148B"/>
    <w:rsid w:val="002018B4"/>
    <w:rsid w:val="002028D7"/>
    <w:rsid w:val="00202A23"/>
    <w:rsid w:val="00202B4C"/>
    <w:rsid w:val="0020347B"/>
    <w:rsid w:val="0020369E"/>
    <w:rsid w:val="00203CEE"/>
    <w:rsid w:val="00207ADF"/>
    <w:rsid w:val="002102EE"/>
    <w:rsid w:val="00211264"/>
    <w:rsid w:val="002118A7"/>
    <w:rsid w:val="0021259F"/>
    <w:rsid w:val="002129C8"/>
    <w:rsid w:val="00213A3D"/>
    <w:rsid w:val="00214909"/>
    <w:rsid w:val="00214E3A"/>
    <w:rsid w:val="0021551A"/>
    <w:rsid w:val="00216114"/>
    <w:rsid w:val="002171D1"/>
    <w:rsid w:val="00217418"/>
    <w:rsid w:val="002220C6"/>
    <w:rsid w:val="002234FE"/>
    <w:rsid w:val="00224379"/>
    <w:rsid w:val="002245C5"/>
    <w:rsid w:val="00224AF6"/>
    <w:rsid w:val="00226E79"/>
    <w:rsid w:val="00227722"/>
    <w:rsid w:val="00227B41"/>
    <w:rsid w:val="00227F41"/>
    <w:rsid w:val="0023024B"/>
    <w:rsid w:val="00230E7E"/>
    <w:rsid w:val="00231D41"/>
    <w:rsid w:val="00232B50"/>
    <w:rsid w:val="00233015"/>
    <w:rsid w:val="002334B9"/>
    <w:rsid w:val="00234382"/>
    <w:rsid w:val="0023481C"/>
    <w:rsid w:val="00234873"/>
    <w:rsid w:val="0023584C"/>
    <w:rsid w:val="0024002C"/>
    <w:rsid w:val="002402B7"/>
    <w:rsid w:val="00240363"/>
    <w:rsid w:val="00240CF7"/>
    <w:rsid w:val="00240DC7"/>
    <w:rsid w:val="0024154B"/>
    <w:rsid w:val="002416B7"/>
    <w:rsid w:val="00242E57"/>
    <w:rsid w:val="002441F4"/>
    <w:rsid w:val="002441F6"/>
    <w:rsid w:val="00246C1D"/>
    <w:rsid w:val="00247244"/>
    <w:rsid w:val="0024775F"/>
    <w:rsid w:val="00250D97"/>
    <w:rsid w:val="00250E79"/>
    <w:rsid w:val="002557EF"/>
    <w:rsid w:val="00256C40"/>
    <w:rsid w:val="00260898"/>
    <w:rsid w:val="00261801"/>
    <w:rsid w:val="00262037"/>
    <w:rsid w:val="00262427"/>
    <w:rsid w:val="00262B9B"/>
    <w:rsid w:val="00262F6D"/>
    <w:rsid w:val="0026519E"/>
    <w:rsid w:val="002652F0"/>
    <w:rsid w:val="0026536F"/>
    <w:rsid w:val="002662FF"/>
    <w:rsid w:val="00266343"/>
    <w:rsid w:val="00267921"/>
    <w:rsid w:val="00267E1C"/>
    <w:rsid w:val="002701C6"/>
    <w:rsid w:val="00270C86"/>
    <w:rsid w:val="00270F3B"/>
    <w:rsid w:val="00272B90"/>
    <w:rsid w:val="00272EF0"/>
    <w:rsid w:val="00273CDA"/>
    <w:rsid w:val="00274006"/>
    <w:rsid w:val="0027455C"/>
    <w:rsid w:val="002747BD"/>
    <w:rsid w:val="00274970"/>
    <w:rsid w:val="002755CE"/>
    <w:rsid w:val="00277C7B"/>
    <w:rsid w:val="00281CE3"/>
    <w:rsid w:val="0028217B"/>
    <w:rsid w:val="002824CD"/>
    <w:rsid w:val="0028332C"/>
    <w:rsid w:val="0028484F"/>
    <w:rsid w:val="00285E5F"/>
    <w:rsid w:val="00286040"/>
    <w:rsid w:val="00286C53"/>
    <w:rsid w:val="00287019"/>
    <w:rsid w:val="00290FDB"/>
    <w:rsid w:val="00291011"/>
    <w:rsid w:val="00291226"/>
    <w:rsid w:val="00292406"/>
    <w:rsid w:val="00292778"/>
    <w:rsid w:val="00292EB2"/>
    <w:rsid w:val="002936C3"/>
    <w:rsid w:val="00294A79"/>
    <w:rsid w:val="002952A2"/>
    <w:rsid w:val="00296DBD"/>
    <w:rsid w:val="002A365F"/>
    <w:rsid w:val="002A4F1D"/>
    <w:rsid w:val="002A5294"/>
    <w:rsid w:val="002A617B"/>
    <w:rsid w:val="002A7B84"/>
    <w:rsid w:val="002B2DC8"/>
    <w:rsid w:val="002B39C6"/>
    <w:rsid w:val="002B40CA"/>
    <w:rsid w:val="002B4632"/>
    <w:rsid w:val="002B478C"/>
    <w:rsid w:val="002B48BC"/>
    <w:rsid w:val="002B4946"/>
    <w:rsid w:val="002B5AAA"/>
    <w:rsid w:val="002B5AF4"/>
    <w:rsid w:val="002B5BFA"/>
    <w:rsid w:val="002B5C41"/>
    <w:rsid w:val="002B6F5F"/>
    <w:rsid w:val="002B7B73"/>
    <w:rsid w:val="002B7F21"/>
    <w:rsid w:val="002C1E3F"/>
    <w:rsid w:val="002C22FE"/>
    <w:rsid w:val="002C27C7"/>
    <w:rsid w:val="002C29EF"/>
    <w:rsid w:val="002C2C00"/>
    <w:rsid w:val="002C2C50"/>
    <w:rsid w:val="002C3607"/>
    <w:rsid w:val="002C615C"/>
    <w:rsid w:val="002C710A"/>
    <w:rsid w:val="002C79FD"/>
    <w:rsid w:val="002D173D"/>
    <w:rsid w:val="002D1815"/>
    <w:rsid w:val="002D310C"/>
    <w:rsid w:val="002D3FB6"/>
    <w:rsid w:val="002D5510"/>
    <w:rsid w:val="002D557D"/>
    <w:rsid w:val="002D601F"/>
    <w:rsid w:val="002D6B14"/>
    <w:rsid w:val="002D7574"/>
    <w:rsid w:val="002E03E3"/>
    <w:rsid w:val="002E04EE"/>
    <w:rsid w:val="002E04FB"/>
    <w:rsid w:val="002E1B32"/>
    <w:rsid w:val="002E2012"/>
    <w:rsid w:val="002E320E"/>
    <w:rsid w:val="002E3937"/>
    <w:rsid w:val="002E5995"/>
    <w:rsid w:val="002E5CB8"/>
    <w:rsid w:val="002E6002"/>
    <w:rsid w:val="002F004E"/>
    <w:rsid w:val="002F014B"/>
    <w:rsid w:val="002F0605"/>
    <w:rsid w:val="002F2DF3"/>
    <w:rsid w:val="002F2F05"/>
    <w:rsid w:val="002F3C0C"/>
    <w:rsid w:val="002F4F63"/>
    <w:rsid w:val="002F5244"/>
    <w:rsid w:val="002F5E36"/>
    <w:rsid w:val="002F7708"/>
    <w:rsid w:val="002F7BE3"/>
    <w:rsid w:val="00300DAE"/>
    <w:rsid w:val="00301124"/>
    <w:rsid w:val="00301215"/>
    <w:rsid w:val="0030157C"/>
    <w:rsid w:val="00302848"/>
    <w:rsid w:val="00302F4F"/>
    <w:rsid w:val="00303FA0"/>
    <w:rsid w:val="00304AF9"/>
    <w:rsid w:val="00304F16"/>
    <w:rsid w:val="00305740"/>
    <w:rsid w:val="00305FB1"/>
    <w:rsid w:val="0030656E"/>
    <w:rsid w:val="00306F4C"/>
    <w:rsid w:val="0031139C"/>
    <w:rsid w:val="00312076"/>
    <w:rsid w:val="00312263"/>
    <w:rsid w:val="00312386"/>
    <w:rsid w:val="003136A9"/>
    <w:rsid w:val="00314439"/>
    <w:rsid w:val="00314B27"/>
    <w:rsid w:val="00315516"/>
    <w:rsid w:val="003155EE"/>
    <w:rsid w:val="00315A35"/>
    <w:rsid w:val="0031792D"/>
    <w:rsid w:val="0032057D"/>
    <w:rsid w:val="00321B12"/>
    <w:rsid w:val="0032238A"/>
    <w:rsid w:val="00324788"/>
    <w:rsid w:val="00327063"/>
    <w:rsid w:val="00330CB4"/>
    <w:rsid w:val="00331173"/>
    <w:rsid w:val="003317DD"/>
    <w:rsid w:val="00331A8E"/>
    <w:rsid w:val="00332A00"/>
    <w:rsid w:val="003330DF"/>
    <w:rsid w:val="003330EC"/>
    <w:rsid w:val="00333EFC"/>
    <w:rsid w:val="00334A7D"/>
    <w:rsid w:val="003350EE"/>
    <w:rsid w:val="00336EC7"/>
    <w:rsid w:val="003419A2"/>
    <w:rsid w:val="00342080"/>
    <w:rsid w:val="00345F38"/>
    <w:rsid w:val="003466BB"/>
    <w:rsid w:val="003471CF"/>
    <w:rsid w:val="00347295"/>
    <w:rsid w:val="003474E1"/>
    <w:rsid w:val="003519B6"/>
    <w:rsid w:val="0035270D"/>
    <w:rsid w:val="00352E06"/>
    <w:rsid w:val="00353EFB"/>
    <w:rsid w:val="0035401D"/>
    <w:rsid w:val="00354A2F"/>
    <w:rsid w:val="003558BD"/>
    <w:rsid w:val="0035785E"/>
    <w:rsid w:val="00360D65"/>
    <w:rsid w:val="00364022"/>
    <w:rsid w:val="0036414A"/>
    <w:rsid w:val="0036459C"/>
    <w:rsid w:val="00364D1D"/>
    <w:rsid w:val="00371BAE"/>
    <w:rsid w:val="0037413D"/>
    <w:rsid w:val="00374552"/>
    <w:rsid w:val="00374622"/>
    <w:rsid w:val="003748C3"/>
    <w:rsid w:val="00374CE1"/>
    <w:rsid w:val="00375F8D"/>
    <w:rsid w:val="00376C67"/>
    <w:rsid w:val="00376EA6"/>
    <w:rsid w:val="0037718B"/>
    <w:rsid w:val="00380740"/>
    <w:rsid w:val="00380F0B"/>
    <w:rsid w:val="00381D22"/>
    <w:rsid w:val="00384EDD"/>
    <w:rsid w:val="00387D52"/>
    <w:rsid w:val="00390E54"/>
    <w:rsid w:val="00391256"/>
    <w:rsid w:val="0039623C"/>
    <w:rsid w:val="00396997"/>
    <w:rsid w:val="00397C2E"/>
    <w:rsid w:val="003A01CA"/>
    <w:rsid w:val="003A0871"/>
    <w:rsid w:val="003A18F2"/>
    <w:rsid w:val="003A38E8"/>
    <w:rsid w:val="003A490C"/>
    <w:rsid w:val="003A50ED"/>
    <w:rsid w:val="003A5A0B"/>
    <w:rsid w:val="003A5C1B"/>
    <w:rsid w:val="003A79C1"/>
    <w:rsid w:val="003B0258"/>
    <w:rsid w:val="003B093B"/>
    <w:rsid w:val="003B0E61"/>
    <w:rsid w:val="003B0FD1"/>
    <w:rsid w:val="003B1478"/>
    <w:rsid w:val="003B2477"/>
    <w:rsid w:val="003B2883"/>
    <w:rsid w:val="003B3353"/>
    <w:rsid w:val="003B3792"/>
    <w:rsid w:val="003B3EFA"/>
    <w:rsid w:val="003B4668"/>
    <w:rsid w:val="003B519F"/>
    <w:rsid w:val="003B540F"/>
    <w:rsid w:val="003B58F3"/>
    <w:rsid w:val="003B5C0F"/>
    <w:rsid w:val="003B6215"/>
    <w:rsid w:val="003C0B77"/>
    <w:rsid w:val="003C2307"/>
    <w:rsid w:val="003C259E"/>
    <w:rsid w:val="003C2A5E"/>
    <w:rsid w:val="003C2B49"/>
    <w:rsid w:val="003C2B6E"/>
    <w:rsid w:val="003C2FBB"/>
    <w:rsid w:val="003C359D"/>
    <w:rsid w:val="003C3BD3"/>
    <w:rsid w:val="003C3E65"/>
    <w:rsid w:val="003C5A27"/>
    <w:rsid w:val="003D0021"/>
    <w:rsid w:val="003D204A"/>
    <w:rsid w:val="003D3B3C"/>
    <w:rsid w:val="003D5B58"/>
    <w:rsid w:val="003D7A44"/>
    <w:rsid w:val="003D7E0E"/>
    <w:rsid w:val="003E096B"/>
    <w:rsid w:val="003E11CB"/>
    <w:rsid w:val="003E14DE"/>
    <w:rsid w:val="003E2D70"/>
    <w:rsid w:val="003E4794"/>
    <w:rsid w:val="003F0960"/>
    <w:rsid w:val="003F2963"/>
    <w:rsid w:val="003F42A1"/>
    <w:rsid w:val="003F4E89"/>
    <w:rsid w:val="003F50B6"/>
    <w:rsid w:val="003F561F"/>
    <w:rsid w:val="003F5F4A"/>
    <w:rsid w:val="003F62F3"/>
    <w:rsid w:val="003F741B"/>
    <w:rsid w:val="003F76F0"/>
    <w:rsid w:val="003F78BA"/>
    <w:rsid w:val="003F7CD2"/>
    <w:rsid w:val="003F7EE1"/>
    <w:rsid w:val="00400F2C"/>
    <w:rsid w:val="00401A53"/>
    <w:rsid w:val="00401A58"/>
    <w:rsid w:val="0040331E"/>
    <w:rsid w:val="00403C59"/>
    <w:rsid w:val="00403D2B"/>
    <w:rsid w:val="00406FD5"/>
    <w:rsid w:val="00410264"/>
    <w:rsid w:val="00410907"/>
    <w:rsid w:val="004116C3"/>
    <w:rsid w:val="004126FC"/>
    <w:rsid w:val="0041558E"/>
    <w:rsid w:val="004171C2"/>
    <w:rsid w:val="00420A87"/>
    <w:rsid w:val="0042123F"/>
    <w:rsid w:val="00421432"/>
    <w:rsid w:val="00421AF3"/>
    <w:rsid w:val="00422087"/>
    <w:rsid w:val="00422AD6"/>
    <w:rsid w:val="00423F97"/>
    <w:rsid w:val="00424133"/>
    <w:rsid w:val="00426005"/>
    <w:rsid w:val="00426DC2"/>
    <w:rsid w:val="00427207"/>
    <w:rsid w:val="00427996"/>
    <w:rsid w:val="00427DE7"/>
    <w:rsid w:val="004316EC"/>
    <w:rsid w:val="0043199A"/>
    <w:rsid w:val="00431C63"/>
    <w:rsid w:val="004322C4"/>
    <w:rsid w:val="00432F6E"/>
    <w:rsid w:val="00433053"/>
    <w:rsid w:val="0043316A"/>
    <w:rsid w:val="00433C71"/>
    <w:rsid w:val="00435306"/>
    <w:rsid w:val="0044011A"/>
    <w:rsid w:val="00441A81"/>
    <w:rsid w:val="00442106"/>
    <w:rsid w:val="004425C2"/>
    <w:rsid w:val="00442AA0"/>
    <w:rsid w:val="004441AA"/>
    <w:rsid w:val="004445C3"/>
    <w:rsid w:val="00447491"/>
    <w:rsid w:val="00447EE8"/>
    <w:rsid w:val="00451C40"/>
    <w:rsid w:val="004534F7"/>
    <w:rsid w:val="00453B53"/>
    <w:rsid w:val="004562F1"/>
    <w:rsid w:val="00456365"/>
    <w:rsid w:val="004566A4"/>
    <w:rsid w:val="00456EB2"/>
    <w:rsid w:val="00457835"/>
    <w:rsid w:val="00457EEA"/>
    <w:rsid w:val="004607F5"/>
    <w:rsid w:val="0046675C"/>
    <w:rsid w:val="00466A27"/>
    <w:rsid w:val="00466D4D"/>
    <w:rsid w:val="0046725B"/>
    <w:rsid w:val="004672A6"/>
    <w:rsid w:val="00470956"/>
    <w:rsid w:val="00470A85"/>
    <w:rsid w:val="004714DE"/>
    <w:rsid w:val="00473E35"/>
    <w:rsid w:val="00474B8E"/>
    <w:rsid w:val="004775C9"/>
    <w:rsid w:val="00477864"/>
    <w:rsid w:val="004801DE"/>
    <w:rsid w:val="004808D9"/>
    <w:rsid w:val="00480F0A"/>
    <w:rsid w:val="0048144F"/>
    <w:rsid w:val="004817DC"/>
    <w:rsid w:val="00481872"/>
    <w:rsid w:val="00482D0C"/>
    <w:rsid w:val="0048360F"/>
    <w:rsid w:val="0048435F"/>
    <w:rsid w:val="00484417"/>
    <w:rsid w:val="00485079"/>
    <w:rsid w:val="0048533B"/>
    <w:rsid w:val="004877C9"/>
    <w:rsid w:val="00487D2E"/>
    <w:rsid w:val="0049040C"/>
    <w:rsid w:val="00490887"/>
    <w:rsid w:val="0049190B"/>
    <w:rsid w:val="00491E6B"/>
    <w:rsid w:val="00494917"/>
    <w:rsid w:val="00496265"/>
    <w:rsid w:val="004965DB"/>
    <w:rsid w:val="00496A0B"/>
    <w:rsid w:val="00496C17"/>
    <w:rsid w:val="00496CF5"/>
    <w:rsid w:val="004A0603"/>
    <w:rsid w:val="004A07F0"/>
    <w:rsid w:val="004A276B"/>
    <w:rsid w:val="004A2AE6"/>
    <w:rsid w:val="004A3566"/>
    <w:rsid w:val="004A4369"/>
    <w:rsid w:val="004A6F3E"/>
    <w:rsid w:val="004A727A"/>
    <w:rsid w:val="004B0040"/>
    <w:rsid w:val="004B1421"/>
    <w:rsid w:val="004B2D1A"/>
    <w:rsid w:val="004B31CC"/>
    <w:rsid w:val="004B40DA"/>
    <w:rsid w:val="004B4EBD"/>
    <w:rsid w:val="004B66E4"/>
    <w:rsid w:val="004B7F76"/>
    <w:rsid w:val="004C0995"/>
    <w:rsid w:val="004C2637"/>
    <w:rsid w:val="004C36F8"/>
    <w:rsid w:val="004C3CC1"/>
    <w:rsid w:val="004C50E5"/>
    <w:rsid w:val="004C55F9"/>
    <w:rsid w:val="004D4BC4"/>
    <w:rsid w:val="004D55B4"/>
    <w:rsid w:val="004D6BAD"/>
    <w:rsid w:val="004E00C7"/>
    <w:rsid w:val="004E0D58"/>
    <w:rsid w:val="004E1118"/>
    <w:rsid w:val="004E26B3"/>
    <w:rsid w:val="004E314A"/>
    <w:rsid w:val="004E47B8"/>
    <w:rsid w:val="004E7142"/>
    <w:rsid w:val="004E71FA"/>
    <w:rsid w:val="004E7C26"/>
    <w:rsid w:val="004F14E6"/>
    <w:rsid w:val="004F1561"/>
    <w:rsid w:val="004F1FAB"/>
    <w:rsid w:val="004F284F"/>
    <w:rsid w:val="004F54AA"/>
    <w:rsid w:val="004F7201"/>
    <w:rsid w:val="004F7F34"/>
    <w:rsid w:val="00505A2D"/>
    <w:rsid w:val="00506DA4"/>
    <w:rsid w:val="00510191"/>
    <w:rsid w:val="00512907"/>
    <w:rsid w:val="005136E1"/>
    <w:rsid w:val="00513D7A"/>
    <w:rsid w:val="0051424C"/>
    <w:rsid w:val="0051466C"/>
    <w:rsid w:val="00514902"/>
    <w:rsid w:val="0051506B"/>
    <w:rsid w:val="00515D4B"/>
    <w:rsid w:val="0051645D"/>
    <w:rsid w:val="0051700F"/>
    <w:rsid w:val="0051708A"/>
    <w:rsid w:val="00517DEC"/>
    <w:rsid w:val="00520A1E"/>
    <w:rsid w:val="00520FC7"/>
    <w:rsid w:val="00521A9C"/>
    <w:rsid w:val="00521DBD"/>
    <w:rsid w:val="00522B43"/>
    <w:rsid w:val="00523510"/>
    <w:rsid w:val="005237EC"/>
    <w:rsid w:val="00523EDF"/>
    <w:rsid w:val="005244C9"/>
    <w:rsid w:val="00525656"/>
    <w:rsid w:val="00525EE3"/>
    <w:rsid w:val="00530513"/>
    <w:rsid w:val="00530AE7"/>
    <w:rsid w:val="00530F23"/>
    <w:rsid w:val="00531D2C"/>
    <w:rsid w:val="00532DA5"/>
    <w:rsid w:val="00534B4C"/>
    <w:rsid w:val="00535234"/>
    <w:rsid w:val="005353C8"/>
    <w:rsid w:val="00535E33"/>
    <w:rsid w:val="00535F5F"/>
    <w:rsid w:val="00536E0C"/>
    <w:rsid w:val="005374CC"/>
    <w:rsid w:val="00537D96"/>
    <w:rsid w:val="005409A0"/>
    <w:rsid w:val="00541289"/>
    <w:rsid w:val="00541B6F"/>
    <w:rsid w:val="005429A3"/>
    <w:rsid w:val="005430DA"/>
    <w:rsid w:val="005436AF"/>
    <w:rsid w:val="00544A94"/>
    <w:rsid w:val="0054577F"/>
    <w:rsid w:val="00545A18"/>
    <w:rsid w:val="0054791A"/>
    <w:rsid w:val="00547CE8"/>
    <w:rsid w:val="00551923"/>
    <w:rsid w:val="00551CD4"/>
    <w:rsid w:val="0055234D"/>
    <w:rsid w:val="00552B0E"/>
    <w:rsid w:val="00552BEA"/>
    <w:rsid w:val="00553AE7"/>
    <w:rsid w:val="00553E0D"/>
    <w:rsid w:val="005555FF"/>
    <w:rsid w:val="0055633D"/>
    <w:rsid w:val="00561CA6"/>
    <w:rsid w:val="00561F58"/>
    <w:rsid w:val="00562048"/>
    <w:rsid w:val="005656F0"/>
    <w:rsid w:val="00570020"/>
    <w:rsid w:val="00571A06"/>
    <w:rsid w:val="00571A22"/>
    <w:rsid w:val="00571DA1"/>
    <w:rsid w:val="00572888"/>
    <w:rsid w:val="00572C2E"/>
    <w:rsid w:val="005747F3"/>
    <w:rsid w:val="005756E1"/>
    <w:rsid w:val="00575A82"/>
    <w:rsid w:val="0057656A"/>
    <w:rsid w:val="00577B02"/>
    <w:rsid w:val="005803A9"/>
    <w:rsid w:val="0058063C"/>
    <w:rsid w:val="00583737"/>
    <w:rsid w:val="0058393C"/>
    <w:rsid w:val="005852E5"/>
    <w:rsid w:val="00586096"/>
    <w:rsid w:val="00586115"/>
    <w:rsid w:val="00586A23"/>
    <w:rsid w:val="00586E22"/>
    <w:rsid w:val="0059045C"/>
    <w:rsid w:val="00590832"/>
    <w:rsid w:val="005925FF"/>
    <w:rsid w:val="00592D3B"/>
    <w:rsid w:val="00593586"/>
    <w:rsid w:val="00593DA9"/>
    <w:rsid w:val="00594B1F"/>
    <w:rsid w:val="0059665D"/>
    <w:rsid w:val="00596E56"/>
    <w:rsid w:val="00597629"/>
    <w:rsid w:val="005A0ED6"/>
    <w:rsid w:val="005A10DB"/>
    <w:rsid w:val="005A19FD"/>
    <w:rsid w:val="005A2AF8"/>
    <w:rsid w:val="005A2CDF"/>
    <w:rsid w:val="005A59DC"/>
    <w:rsid w:val="005A6A1F"/>
    <w:rsid w:val="005A72F0"/>
    <w:rsid w:val="005B0B5C"/>
    <w:rsid w:val="005B194B"/>
    <w:rsid w:val="005B22F3"/>
    <w:rsid w:val="005B2E74"/>
    <w:rsid w:val="005B2EF2"/>
    <w:rsid w:val="005B2F2A"/>
    <w:rsid w:val="005B315A"/>
    <w:rsid w:val="005B33E2"/>
    <w:rsid w:val="005B4484"/>
    <w:rsid w:val="005B58B7"/>
    <w:rsid w:val="005B61A8"/>
    <w:rsid w:val="005B673A"/>
    <w:rsid w:val="005B6AEC"/>
    <w:rsid w:val="005C0AB8"/>
    <w:rsid w:val="005C0C3F"/>
    <w:rsid w:val="005C17AD"/>
    <w:rsid w:val="005C28F9"/>
    <w:rsid w:val="005C2F66"/>
    <w:rsid w:val="005C36B6"/>
    <w:rsid w:val="005C3EAA"/>
    <w:rsid w:val="005C4A42"/>
    <w:rsid w:val="005C678B"/>
    <w:rsid w:val="005C6DE8"/>
    <w:rsid w:val="005D05AF"/>
    <w:rsid w:val="005D0EC3"/>
    <w:rsid w:val="005D1417"/>
    <w:rsid w:val="005D3804"/>
    <w:rsid w:val="005D4392"/>
    <w:rsid w:val="005D513B"/>
    <w:rsid w:val="005D65D8"/>
    <w:rsid w:val="005D76AE"/>
    <w:rsid w:val="005E0280"/>
    <w:rsid w:val="005E09FD"/>
    <w:rsid w:val="005E4428"/>
    <w:rsid w:val="005E4556"/>
    <w:rsid w:val="005E55B7"/>
    <w:rsid w:val="005E5AAD"/>
    <w:rsid w:val="005E5B6D"/>
    <w:rsid w:val="005E6622"/>
    <w:rsid w:val="005E6A2D"/>
    <w:rsid w:val="005E7BFB"/>
    <w:rsid w:val="005E7D99"/>
    <w:rsid w:val="005E7DC7"/>
    <w:rsid w:val="005F0501"/>
    <w:rsid w:val="005F07C7"/>
    <w:rsid w:val="005F701B"/>
    <w:rsid w:val="005F78E3"/>
    <w:rsid w:val="006000B0"/>
    <w:rsid w:val="0060012C"/>
    <w:rsid w:val="00600EF8"/>
    <w:rsid w:val="00601B18"/>
    <w:rsid w:val="006035F8"/>
    <w:rsid w:val="006036F3"/>
    <w:rsid w:val="00604865"/>
    <w:rsid w:val="00607344"/>
    <w:rsid w:val="00607C28"/>
    <w:rsid w:val="00607ED3"/>
    <w:rsid w:val="006104AA"/>
    <w:rsid w:val="00610E07"/>
    <w:rsid w:val="00611094"/>
    <w:rsid w:val="0061141A"/>
    <w:rsid w:val="006114EE"/>
    <w:rsid w:val="006120FD"/>
    <w:rsid w:val="0061274B"/>
    <w:rsid w:val="006157FD"/>
    <w:rsid w:val="00616510"/>
    <w:rsid w:val="006168FA"/>
    <w:rsid w:val="00616C97"/>
    <w:rsid w:val="006177FA"/>
    <w:rsid w:val="00620DDC"/>
    <w:rsid w:val="00621B05"/>
    <w:rsid w:val="006225D4"/>
    <w:rsid w:val="006229CF"/>
    <w:rsid w:val="00622A62"/>
    <w:rsid w:val="00623911"/>
    <w:rsid w:val="006252EF"/>
    <w:rsid w:val="00625A8C"/>
    <w:rsid w:val="00625BB7"/>
    <w:rsid w:val="00625FC0"/>
    <w:rsid w:val="00631603"/>
    <w:rsid w:val="00631F0F"/>
    <w:rsid w:val="0063508D"/>
    <w:rsid w:val="00637156"/>
    <w:rsid w:val="0063722C"/>
    <w:rsid w:val="006413E6"/>
    <w:rsid w:val="00641406"/>
    <w:rsid w:val="00641810"/>
    <w:rsid w:val="006435D0"/>
    <w:rsid w:val="006437BB"/>
    <w:rsid w:val="0064419C"/>
    <w:rsid w:val="00645AB2"/>
    <w:rsid w:val="00646320"/>
    <w:rsid w:val="00646F99"/>
    <w:rsid w:val="00647D48"/>
    <w:rsid w:val="00647E75"/>
    <w:rsid w:val="0065028D"/>
    <w:rsid w:val="00650FA6"/>
    <w:rsid w:val="0065262A"/>
    <w:rsid w:val="00652849"/>
    <w:rsid w:val="00654E95"/>
    <w:rsid w:val="006557AF"/>
    <w:rsid w:val="006576DF"/>
    <w:rsid w:val="00661011"/>
    <w:rsid w:val="0066222A"/>
    <w:rsid w:val="006633E3"/>
    <w:rsid w:val="00663DB0"/>
    <w:rsid w:val="00665AB6"/>
    <w:rsid w:val="00665B8F"/>
    <w:rsid w:val="00666DC9"/>
    <w:rsid w:val="006671C9"/>
    <w:rsid w:val="0066791D"/>
    <w:rsid w:val="006703F7"/>
    <w:rsid w:val="00670A93"/>
    <w:rsid w:val="00672067"/>
    <w:rsid w:val="006728D9"/>
    <w:rsid w:val="0067704D"/>
    <w:rsid w:val="006774E6"/>
    <w:rsid w:val="0068007C"/>
    <w:rsid w:val="00680ADE"/>
    <w:rsid w:val="00680CDD"/>
    <w:rsid w:val="00682487"/>
    <w:rsid w:val="0068325C"/>
    <w:rsid w:val="006839D6"/>
    <w:rsid w:val="0068602F"/>
    <w:rsid w:val="00686105"/>
    <w:rsid w:val="006863FF"/>
    <w:rsid w:val="00686D86"/>
    <w:rsid w:val="00687B7A"/>
    <w:rsid w:val="00687F93"/>
    <w:rsid w:val="0069029D"/>
    <w:rsid w:val="0069036E"/>
    <w:rsid w:val="00690B79"/>
    <w:rsid w:val="00690F54"/>
    <w:rsid w:val="00691E0E"/>
    <w:rsid w:val="00696475"/>
    <w:rsid w:val="00696655"/>
    <w:rsid w:val="00696FB4"/>
    <w:rsid w:val="00697774"/>
    <w:rsid w:val="00697B9E"/>
    <w:rsid w:val="006A0457"/>
    <w:rsid w:val="006A05D0"/>
    <w:rsid w:val="006A1FEF"/>
    <w:rsid w:val="006A2243"/>
    <w:rsid w:val="006A4357"/>
    <w:rsid w:val="006A4456"/>
    <w:rsid w:val="006A4B01"/>
    <w:rsid w:val="006A5693"/>
    <w:rsid w:val="006A704A"/>
    <w:rsid w:val="006B101A"/>
    <w:rsid w:val="006B307D"/>
    <w:rsid w:val="006B4455"/>
    <w:rsid w:val="006B4BBF"/>
    <w:rsid w:val="006B5214"/>
    <w:rsid w:val="006B6624"/>
    <w:rsid w:val="006C0367"/>
    <w:rsid w:val="006C10F0"/>
    <w:rsid w:val="006C14FC"/>
    <w:rsid w:val="006C1690"/>
    <w:rsid w:val="006C1DBE"/>
    <w:rsid w:val="006C2318"/>
    <w:rsid w:val="006C39CB"/>
    <w:rsid w:val="006C3E9D"/>
    <w:rsid w:val="006C7534"/>
    <w:rsid w:val="006D0582"/>
    <w:rsid w:val="006D2A8E"/>
    <w:rsid w:val="006D320F"/>
    <w:rsid w:val="006D4306"/>
    <w:rsid w:val="006D4FDA"/>
    <w:rsid w:val="006D56F7"/>
    <w:rsid w:val="006D765B"/>
    <w:rsid w:val="006D7A00"/>
    <w:rsid w:val="006E15FE"/>
    <w:rsid w:val="006E344D"/>
    <w:rsid w:val="006E3DFA"/>
    <w:rsid w:val="006E4E76"/>
    <w:rsid w:val="006E74F8"/>
    <w:rsid w:val="006F268D"/>
    <w:rsid w:val="006F26F1"/>
    <w:rsid w:val="006F28B3"/>
    <w:rsid w:val="006F5415"/>
    <w:rsid w:val="006F5501"/>
    <w:rsid w:val="006F5986"/>
    <w:rsid w:val="006F672D"/>
    <w:rsid w:val="006F6DC2"/>
    <w:rsid w:val="006F79D9"/>
    <w:rsid w:val="00700539"/>
    <w:rsid w:val="0070106E"/>
    <w:rsid w:val="007016B7"/>
    <w:rsid w:val="00702D64"/>
    <w:rsid w:val="007031F0"/>
    <w:rsid w:val="0070435F"/>
    <w:rsid w:val="0070753A"/>
    <w:rsid w:val="00707B49"/>
    <w:rsid w:val="00707F06"/>
    <w:rsid w:val="0071360F"/>
    <w:rsid w:val="0071502E"/>
    <w:rsid w:val="007152B1"/>
    <w:rsid w:val="007221E3"/>
    <w:rsid w:val="0072292C"/>
    <w:rsid w:val="007237A2"/>
    <w:rsid w:val="00723C30"/>
    <w:rsid w:val="00724B8E"/>
    <w:rsid w:val="00726674"/>
    <w:rsid w:val="00727047"/>
    <w:rsid w:val="00727B59"/>
    <w:rsid w:val="007300B3"/>
    <w:rsid w:val="007304CE"/>
    <w:rsid w:val="0073086D"/>
    <w:rsid w:val="00731C22"/>
    <w:rsid w:val="0073223E"/>
    <w:rsid w:val="00732743"/>
    <w:rsid w:val="00734A06"/>
    <w:rsid w:val="007361AD"/>
    <w:rsid w:val="00737977"/>
    <w:rsid w:val="00740012"/>
    <w:rsid w:val="007413C7"/>
    <w:rsid w:val="00741C6E"/>
    <w:rsid w:val="00741D61"/>
    <w:rsid w:val="007442AA"/>
    <w:rsid w:val="007454CB"/>
    <w:rsid w:val="00745CD3"/>
    <w:rsid w:val="0074606D"/>
    <w:rsid w:val="00747B15"/>
    <w:rsid w:val="007505DA"/>
    <w:rsid w:val="007518DF"/>
    <w:rsid w:val="00751EE3"/>
    <w:rsid w:val="0075272E"/>
    <w:rsid w:val="00753C0B"/>
    <w:rsid w:val="00753C2E"/>
    <w:rsid w:val="0075775F"/>
    <w:rsid w:val="00757B1F"/>
    <w:rsid w:val="00757E79"/>
    <w:rsid w:val="00760870"/>
    <w:rsid w:val="00760AE1"/>
    <w:rsid w:val="0076150A"/>
    <w:rsid w:val="007620E5"/>
    <w:rsid w:val="00763363"/>
    <w:rsid w:val="007639B8"/>
    <w:rsid w:val="00764C3E"/>
    <w:rsid w:val="00765024"/>
    <w:rsid w:val="0076624C"/>
    <w:rsid w:val="00766789"/>
    <w:rsid w:val="007679A9"/>
    <w:rsid w:val="00767BD1"/>
    <w:rsid w:val="007705E9"/>
    <w:rsid w:val="007758B5"/>
    <w:rsid w:val="00777EE6"/>
    <w:rsid w:val="00780126"/>
    <w:rsid w:val="007803D4"/>
    <w:rsid w:val="00780598"/>
    <w:rsid w:val="00780DCB"/>
    <w:rsid w:val="00780E44"/>
    <w:rsid w:val="0078114C"/>
    <w:rsid w:val="0078252F"/>
    <w:rsid w:val="00782EDF"/>
    <w:rsid w:val="00784344"/>
    <w:rsid w:val="007865E4"/>
    <w:rsid w:val="0078714D"/>
    <w:rsid w:val="00787A6D"/>
    <w:rsid w:val="00787B7C"/>
    <w:rsid w:val="00787F32"/>
    <w:rsid w:val="007921E9"/>
    <w:rsid w:val="0079411D"/>
    <w:rsid w:val="00796B4B"/>
    <w:rsid w:val="007A042F"/>
    <w:rsid w:val="007A0579"/>
    <w:rsid w:val="007A08E6"/>
    <w:rsid w:val="007A2C68"/>
    <w:rsid w:val="007A3AC9"/>
    <w:rsid w:val="007A3F81"/>
    <w:rsid w:val="007A41AC"/>
    <w:rsid w:val="007A4C49"/>
    <w:rsid w:val="007A4DA4"/>
    <w:rsid w:val="007A542D"/>
    <w:rsid w:val="007A5A2B"/>
    <w:rsid w:val="007A6989"/>
    <w:rsid w:val="007B007C"/>
    <w:rsid w:val="007B18C4"/>
    <w:rsid w:val="007B2622"/>
    <w:rsid w:val="007B2F6C"/>
    <w:rsid w:val="007B48FF"/>
    <w:rsid w:val="007B4C40"/>
    <w:rsid w:val="007B4E9C"/>
    <w:rsid w:val="007B51A7"/>
    <w:rsid w:val="007B67A2"/>
    <w:rsid w:val="007B75C1"/>
    <w:rsid w:val="007B77D5"/>
    <w:rsid w:val="007B7ACF"/>
    <w:rsid w:val="007B7C34"/>
    <w:rsid w:val="007C2BCE"/>
    <w:rsid w:val="007C2E7B"/>
    <w:rsid w:val="007C3FA3"/>
    <w:rsid w:val="007C556D"/>
    <w:rsid w:val="007C5FF8"/>
    <w:rsid w:val="007C792D"/>
    <w:rsid w:val="007D0D7E"/>
    <w:rsid w:val="007D2150"/>
    <w:rsid w:val="007D2909"/>
    <w:rsid w:val="007D2FCD"/>
    <w:rsid w:val="007D314E"/>
    <w:rsid w:val="007D5ECD"/>
    <w:rsid w:val="007D6973"/>
    <w:rsid w:val="007D7C52"/>
    <w:rsid w:val="007E0687"/>
    <w:rsid w:val="007E0C28"/>
    <w:rsid w:val="007E0F82"/>
    <w:rsid w:val="007E30AA"/>
    <w:rsid w:val="007E3546"/>
    <w:rsid w:val="007E5024"/>
    <w:rsid w:val="007E61A5"/>
    <w:rsid w:val="007E6417"/>
    <w:rsid w:val="007E6E1E"/>
    <w:rsid w:val="007F0272"/>
    <w:rsid w:val="007F0CEE"/>
    <w:rsid w:val="007F11E0"/>
    <w:rsid w:val="007F35DA"/>
    <w:rsid w:val="007F3F96"/>
    <w:rsid w:val="007F5FD6"/>
    <w:rsid w:val="007F7CA6"/>
    <w:rsid w:val="00800520"/>
    <w:rsid w:val="00800DC0"/>
    <w:rsid w:val="008014FA"/>
    <w:rsid w:val="0080304E"/>
    <w:rsid w:val="00803338"/>
    <w:rsid w:val="0080478D"/>
    <w:rsid w:val="00804A1D"/>
    <w:rsid w:val="008057F4"/>
    <w:rsid w:val="00805BDA"/>
    <w:rsid w:val="00805C86"/>
    <w:rsid w:val="008066F2"/>
    <w:rsid w:val="00807085"/>
    <w:rsid w:val="0081064F"/>
    <w:rsid w:val="0081330E"/>
    <w:rsid w:val="00813AEC"/>
    <w:rsid w:val="008147A7"/>
    <w:rsid w:val="00814EB1"/>
    <w:rsid w:val="00815672"/>
    <w:rsid w:val="00816BF8"/>
    <w:rsid w:val="00817240"/>
    <w:rsid w:val="00817508"/>
    <w:rsid w:val="00822120"/>
    <w:rsid w:val="0082239A"/>
    <w:rsid w:val="00822A3C"/>
    <w:rsid w:val="008239F6"/>
    <w:rsid w:val="00823F1D"/>
    <w:rsid w:val="00824D85"/>
    <w:rsid w:val="00826541"/>
    <w:rsid w:val="00826B97"/>
    <w:rsid w:val="00827DB5"/>
    <w:rsid w:val="008328B2"/>
    <w:rsid w:val="00832FCB"/>
    <w:rsid w:val="00833548"/>
    <w:rsid w:val="0083428B"/>
    <w:rsid w:val="00834640"/>
    <w:rsid w:val="00834819"/>
    <w:rsid w:val="00834826"/>
    <w:rsid w:val="00834DEC"/>
    <w:rsid w:val="00834E28"/>
    <w:rsid w:val="00835436"/>
    <w:rsid w:val="00835A0A"/>
    <w:rsid w:val="00835A7C"/>
    <w:rsid w:val="00835FF4"/>
    <w:rsid w:val="00837D85"/>
    <w:rsid w:val="00837E7F"/>
    <w:rsid w:val="00840585"/>
    <w:rsid w:val="008418ED"/>
    <w:rsid w:val="008423D2"/>
    <w:rsid w:val="0084354B"/>
    <w:rsid w:val="008440D1"/>
    <w:rsid w:val="00845AF2"/>
    <w:rsid w:val="00845FBB"/>
    <w:rsid w:val="008475D0"/>
    <w:rsid w:val="008479D2"/>
    <w:rsid w:val="00850103"/>
    <w:rsid w:val="00850DF5"/>
    <w:rsid w:val="008515AA"/>
    <w:rsid w:val="008527E9"/>
    <w:rsid w:val="008558DC"/>
    <w:rsid w:val="00857042"/>
    <w:rsid w:val="008600B1"/>
    <w:rsid w:val="008632CA"/>
    <w:rsid w:val="00863B66"/>
    <w:rsid w:val="008644BD"/>
    <w:rsid w:val="00864B6B"/>
    <w:rsid w:val="00865506"/>
    <w:rsid w:val="0086583E"/>
    <w:rsid w:val="00866AD3"/>
    <w:rsid w:val="0086772A"/>
    <w:rsid w:val="00870882"/>
    <w:rsid w:val="008725D4"/>
    <w:rsid w:val="00872FC8"/>
    <w:rsid w:val="00873494"/>
    <w:rsid w:val="00873AFC"/>
    <w:rsid w:val="00873B8A"/>
    <w:rsid w:val="00874375"/>
    <w:rsid w:val="0087461F"/>
    <w:rsid w:val="00875604"/>
    <w:rsid w:val="00876739"/>
    <w:rsid w:val="00877471"/>
    <w:rsid w:val="00880B86"/>
    <w:rsid w:val="00880C9C"/>
    <w:rsid w:val="008811B7"/>
    <w:rsid w:val="00881360"/>
    <w:rsid w:val="0088150D"/>
    <w:rsid w:val="008823CE"/>
    <w:rsid w:val="0088240B"/>
    <w:rsid w:val="00882929"/>
    <w:rsid w:val="00882C65"/>
    <w:rsid w:val="00884266"/>
    <w:rsid w:val="00884F64"/>
    <w:rsid w:val="0088693A"/>
    <w:rsid w:val="00886C32"/>
    <w:rsid w:val="008874EC"/>
    <w:rsid w:val="0089040F"/>
    <w:rsid w:val="0089292A"/>
    <w:rsid w:val="008933EE"/>
    <w:rsid w:val="00893FFE"/>
    <w:rsid w:val="008941D5"/>
    <w:rsid w:val="008943A2"/>
    <w:rsid w:val="0089454B"/>
    <w:rsid w:val="00894662"/>
    <w:rsid w:val="0089472D"/>
    <w:rsid w:val="0089497C"/>
    <w:rsid w:val="008956C2"/>
    <w:rsid w:val="00895ED3"/>
    <w:rsid w:val="008965CA"/>
    <w:rsid w:val="00896A18"/>
    <w:rsid w:val="0089759B"/>
    <w:rsid w:val="008A0AF9"/>
    <w:rsid w:val="008A3327"/>
    <w:rsid w:val="008A33D0"/>
    <w:rsid w:val="008A344F"/>
    <w:rsid w:val="008A4C58"/>
    <w:rsid w:val="008A6825"/>
    <w:rsid w:val="008A7E3C"/>
    <w:rsid w:val="008B0CC7"/>
    <w:rsid w:val="008B19C2"/>
    <w:rsid w:val="008B2196"/>
    <w:rsid w:val="008B2379"/>
    <w:rsid w:val="008B2569"/>
    <w:rsid w:val="008B55E1"/>
    <w:rsid w:val="008B6B60"/>
    <w:rsid w:val="008B72D3"/>
    <w:rsid w:val="008B7B3E"/>
    <w:rsid w:val="008C00CC"/>
    <w:rsid w:val="008C0707"/>
    <w:rsid w:val="008C0EFD"/>
    <w:rsid w:val="008C1228"/>
    <w:rsid w:val="008C3468"/>
    <w:rsid w:val="008C3918"/>
    <w:rsid w:val="008C5818"/>
    <w:rsid w:val="008C5B78"/>
    <w:rsid w:val="008C6A76"/>
    <w:rsid w:val="008C78EA"/>
    <w:rsid w:val="008C7F7D"/>
    <w:rsid w:val="008D27E3"/>
    <w:rsid w:val="008D283B"/>
    <w:rsid w:val="008D337B"/>
    <w:rsid w:val="008D346F"/>
    <w:rsid w:val="008D386D"/>
    <w:rsid w:val="008D3AA7"/>
    <w:rsid w:val="008D3F1D"/>
    <w:rsid w:val="008D5C22"/>
    <w:rsid w:val="008D62B4"/>
    <w:rsid w:val="008D7025"/>
    <w:rsid w:val="008D75F5"/>
    <w:rsid w:val="008E1DAD"/>
    <w:rsid w:val="008E1EE1"/>
    <w:rsid w:val="008E3CE4"/>
    <w:rsid w:val="008E4BF3"/>
    <w:rsid w:val="008E51E1"/>
    <w:rsid w:val="008E736D"/>
    <w:rsid w:val="008E74BA"/>
    <w:rsid w:val="008E7850"/>
    <w:rsid w:val="008F0484"/>
    <w:rsid w:val="008F0905"/>
    <w:rsid w:val="008F1124"/>
    <w:rsid w:val="008F14B5"/>
    <w:rsid w:val="008F1DF2"/>
    <w:rsid w:val="008F2B48"/>
    <w:rsid w:val="008F3653"/>
    <w:rsid w:val="008F406C"/>
    <w:rsid w:val="008F4B02"/>
    <w:rsid w:val="008F5FD5"/>
    <w:rsid w:val="008F7C15"/>
    <w:rsid w:val="009011E0"/>
    <w:rsid w:val="009012E8"/>
    <w:rsid w:val="00901F4B"/>
    <w:rsid w:val="00901FB1"/>
    <w:rsid w:val="00902B6A"/>
    <w:rsid w:val="00903BEE"/>
    <w:rsid w:val="009040B9"/>
    <w:rsid w:val="009045EC"/>
    <w:rsid w:val="00905CD0"/>
    <w:rsid w:val="00907C16"/>
    <w:rsid w:val="00907E88"/>
    <w:rsid w:val="0091074C"/>
    <w:rsid w:val="0091132E"/>
    <w:rsid w:val="00914D35"/>
    <w:rsid w:val="00914DC0"/>
    <w:rsid w:val="00915527"/>
    <w:rsid w:val="009165D6"/>
    <w:rsid w:val="00916D36"/>
    <w:rsid w:val="00921252"/>
    <w:rsid w:val="00924090"/>
    <w:rsid w:val="00924FBF"/>
    <w:rsid w:val="0092791A"/>
    <w:rsid w:val="0093053D"/>
    <w:rsid w:val="009310D4"/>
    <w:rsid w:val="00931D93"/>
    <w:rsid w:val="00932566"/>
    <w:rsid w:val="00932B88"/>
    <w:rsid w:val="00933FED"/>
    <w:rsid w:val="00934521"/>
    <w:rsid w:val="00934F79"/>
    <w:rsid w:val="0093531B"/>
    <w:rsid w:val="009357F6"/>
    <w:rsid w:val="00937BFC"/>
    <w:rsid w:val="009406B8"/>
    <w:rsid w:val="00941088"/>
    <w:rsid w:val="00941444"/>
    <w:rsid w:val="00941669"/>
    <w:rsid w:val="00941CCD"/>
    <w:rsid w:val="00942546"/>
    <w:rsid w:val="00942C98"/>
    <w:rsid w:val="009432C2"/>
    <w:rsid w:val="00943814"/>
    <w:rsid w:val="00944A42"/>
    <w:rsid w:val="00944BA8"/>
    <w:rsid w:val="0094623B"/>
    <w:rsid w:val="009463D7"/>
    <w:rsid w:val="0095093A"/>
    <w:rsid w:val="009510D2"/>
    <w:rsid w:val="009516E2"/>
    <w:rsid w:val="00951984"/>
    <w:rsid w:val="0095285D"/>
    <w:rsid w:val="00952A65"/>
    <w:rsid w:val="00952C9A"/>
    <w:rsid w:val="00953484"/>
    <w:rsid w:val="0095468A"/>
    <w:rsid w:val="009554F1"/>
    <w:rsid w:val="00955790"/>
    <w:rsid w:val="00955C0A"/>
    <w:rsid w:val="009570CB"/>
    <w:rsid w:val="0095711E"/>
    <w:rsid w:val="009603D8"/>
    <w:rsid w:val="009608BA"/>
    <w:rsid w:val="00961134"/>
    <w:rsid w:val="009613C5"/>
    <w:rsid w:val="0096301D"/>
    <w:rsid w:val="0096324D"/>
    <w:rsid w:val="00963AC8"/>
    <w:rsid w:val="00964567"/>
    <w:rsid w:val="009649D2"/>
    <w:rsid w:val="00964D84"/>
    <w:rsid w:val="009662E4"/>
    <w:rsid w:val="00966446"/>
    <w:rsid w:val="0096798F"/>
    <w:rsid w:val="00970AC0"/>
    <w:rsid w:val="00970B2F"/>
    <w:rsid w:val="009735EA"/>
    <w:rsid w:val="00973ABD"/>
    <w:rsid w:val="00974968"/>
    <w:rsid w:val="00974D0F"/>
    <w:rsid w:val="009755EB"/>
    <w:rsid w:val="00975791"/>
    <w:rsid w:val="009764B6"/>
    <w:rsid w:val="009766E8"/>
    <w:rsid w:val="0097704B"/>
    <w:rsid w:val="00977EF8"/>
    <w:rsid w:val="00981D4E"/>
    <w:rsid w:val="00982839"/>
    <w:rsid w:val="00984026"/>
    <w:rsid w:val="0098486A"/>
    <w:rsid w:val="00985145"/>
    <w:rsid w:val="009854F0"/>
    <w:rsid w:val="00985594"/>
    <w:rsid w:val="00985C33"/>
    <w:rsid w:val="00986919"/>
    <w:rsid w:val="00986C54"/>
    <w:rsid w:val="009902B6"/>
    <w:rsid w:val="00990711"/>
    <w:rsid w:val="009939F3"/>
    <w:rsid w:val="00994366"/>
    <w:rsid w:val="0099469C"/>
    <w:rsid w:val="00994F3B"/>
    <w:rsid w:val="00995A96"/>
    <w:rsid w:val="00996CB8"/>
    <w:rsid w:val="00997007"/>
    <w:rsid w:val="009978A0"/>
    <w:rsid w:val="009A0147"/>
    <w:rsid w:val="009A1EE7"/>
    <w:rsid w:val="009A2F67"/>
    <w:rsid w:val="009A3044"/>
    <w:rsid w:val="009A49C1"/>
    <w:rsid w:val="009A4BFC"/>
    <w:rsid w:val="009A6E42"/>
    <w:rsid w:val="009A7CB5"/>
    <w:rsid w:val="009B1602"/>
    <w:rsid w:val="009B1FDD"/>
    <w:rsid w:val="009B4BB2"/>
    <w:rsid w:val="009B4F37"/>
    <w:rsid w:val="009B6032"/>
    <w:rsid w:val="009B6D8D"/>
    <w:rsid w:val="009B6FBC"/>
    <w:rsid w:val="009B790B"/>
    <w:rsid w:val="009C0E8A"/>
    <w:rsid w:val="009C444D"/>
    <w:rsid w:val="009C5320"/>
    <w:rsid w:val="009C53E6"/>
    <w:rsid w:val="009C5A0A"/>
    <w:rsid w:val="009C799F"/>
    <w:rsid w:val="009D01CD"/>
    <w:rsid w:val="009D09A0"/>
    <w:rsid w:val="009D1304"/>
    <w:rsid w:val="009D3F1F"/>
    <w:rsid w:val="009D455C"/>
    <w:rsid w:val="009D535C"/>
    <w:rsid w:val="009D7461"/>
    <w:rsid w:val="009D7940"/>
    <w:rsid w:val="009E26DA"/>
    <w:rsid w:val="009E4738"/>
    <w:rsid w:val="009E4B27"/>
    <w:rsid w:val="009E5ED8"/>
    <w:rsid w:val="009E781B"/>
    <w:rsid w:val="009E7CC4"/>
    <w:rsid w:val="009F299A"/>
    <w:rsid w:val="009F459E"/>
    <w:rsid w:val="009F5722"/>
    <w:rsid w:val="009F5E11"/>
    <w:rsid w:val="009F695E"/>
    <w:rsid w:val="00A01443"/>
    <w:rsid w:val="00A02571"/>
    <w:rsid w:val="00A025E6"/>
    <w:rsid w:val="00A06A46"/>
    <w:rsid w:val="00A10142"/>
    <w:rsid w:val="00A115A4"/>
    <w:rsid w:val="00A12173"/>
    <w:rsid w:val="00A1232C"/>
    <w:rsid w:val="00A15AF7"/>
    <w:rsid w:val="00A20321"/>
    <w:rsid w:val="00A206F4"/>
    <w:rsid w:val="00A20FDA"/>
    <w:rsid w:val="00A223D3"/>
    <w:rsid w:val="00A2245D"/>
    <w:rsid w:val="00A22CCF"/>
    <w:rsid w:val="00A23094"/>
    <w:rsid w:val="00A230F9"/>
    <w:rsid w:val="00A23488"/>
    <w:rsid w:val="00A23C7D"/>
    <w:rsid w:val="00A23F5F"/>
    <w:rsid w:val="00A24509"/>
    <w:rsid w:val="00A258E2"/>
    <w:rsid w:val="00A25CED"/>
    <w:rsid w:val="00A26B59"/>
    <w:rsid w:val="00A3005F"/>
    <w:rsid w:val="00A32062"/>
    <w:rsid w:val="00A34369"/>
    <w:rsid w:val="00A34581"/>
    <w:rsid w:val="00A35C32"/>
    <w:rsid w:val="00A36C59"/>
    <w:rsid w:val="00A36F6C"/>
    <w:rsid w:val="00A37D52"/>
    <w:rsid w:val="00A41AB8"/>
    <w:rsid w:val="00A41DA2"/>
    <w:rsid w:val="00A42AF9"/>
    <w:rsid w:val="00A43160"/>
    <w:rsid w:val="00A43CA9"/>
    <w:rsid w:val="00A43EF1"/>
    <w:rsid w:val="00A455FB"/>
    <w:rsid w:val="00A45C15"/>
    <w:rsid w:val="00A45E38"/>
    <w:rsid w:val="00A46550"/>
    <w:rsid w:val="00A46E69"/>
    <w:rsid w:val="00A47E61"/>
    <w:rsid w:val="00A50164"/>
    <w:rsid w:val="00A50616"/>
    <w:rsid w:val="00A50CDE"/>
    <w:rsid w:val="00A51D61"/>
    <w:rsid w:val="00A526C7"/>
    <w:rsid w:val="00A52F0E"/>
    <w:rsid w:val="00A5343D"/>
    <w:rsid w:val="00A546EC"/>
    <w:rsid w:val="00A54977"/>
    <w:rsid w:val="00A55CF4"/>
    <w:rsid w:val="00A56937"/>
    <w:rsid w:val="00A56F1C"/>
    <w:rsid w:val="00A57682"/>
    <w:rsid w:val="00A60322"/>
    <w:rsid w:val="00A60F68"/>
    <w:rsid w:val="00A614D4"/>
    <w:rsid w:val="00A65710"/>
    <w:rsid w:val="00A669CC"/>
    <w:rsid w:val="00A67E97"/>
    <w:rsid w:val="00A67F56"/>
    <w:rsid w:val="00A7072F"/>
    <w:rsid w:val="00A70B1F"/>
    <w:rsid w:val="00A70CE5"/>
    <w:rsid w:val="00A70D21"/>
    <w:rsid w:val="00A71284"/>
    <w:rsid w:val="00A72608"/>
    <w:rsid w:val="00A72724"/>
    <w:rsid w:val="00A72D11"/>
    <w:rsid w:val="00A743FE"/>
    <w:rsid w:val="00A74D43"/>
    <w:rsid w:val="00A75D36"/>
    <w:rsid w:val="00A76BE1"/>
    <w:rsid w:val="00A76DFC"/>
    <w:rsid w:val="00A7745E"/>
    <w:rsid w:val="00A77463"/>
    <w:rsid w:val="00A8134D"/>
    <w:rsid w:val="00A81551"/>
    <w:rsid w:val="00A819C6"/>
    <w:rsid w:val="00A81D72"/>
    <w:rsid w:val="00A8297B"/>
    <w:rsid w:val="00A83819"/>
    <w:rsid w:val="00A843EA"/>
    <w:rsid w:val="00A844BF"/>
    <w:rsid w:val="00A84ACC"/>
    <w:rsid w:val="00A85237"/>
    <w:rsid w:val="00A86190"/>
    <w:rsid w:val="00A86B47"/>
    <w:rsid w:val="00A86F53"/>
    <w:rsid w:val="00A873BA"/>
    <w:rsid w:val="00A90799"/>
    <w:rsid w:val="00A91F75"/>
    <w:rsid w:val="00A93562"/>
    <w:rsid w:val="00A9367A"/>
    <w:rsid w:val="00A9482B"/>
    <w:rsid w:val="00A94B5F"/>
    <w:rsid w:val="00A94BE6"/>
    <w:rsid w:val="00A94DD8"/>
    <w:rsid w:val="00A95F82"/>
    <w:rsid w:val="00A96D0B"/>
    <w:rsid w:val="00A96EA2"/>
    <w:rsid w:val="00A96FB2"/>
    <w:rsid w:val="00A97514"/>
    <w:rsid w:val="00A978D6"/>
    <w:rsid w:val="00A97A56"/>
    <w:rsid w:val="00A97DFC"/>
    <w:rsid w:val="00AA176F"/>
    <w:rsid w:val="00AA2013"/>
    <w:rsid w:val="00AA3275"/>
    <w:rsid w:val="00AA3981"/>
    <w:rsid w:val="00AA3A7F"/>
    <w:rsid w:val="00AA3EE0"/>
    <w:rsid w:val="00AA3FAD"/>
    <w:rsid w:val="00AA5D34"/>
    <w:rsid w:val="00AA7DA4"/>
    <w:rsid w:val="00AB09F8"/>
    <w:rsid w:val="00AB2005"/>
    <w:rsid w:val="00AB324E"/>
    <w:rsid w:val="00AB3824"/>
    <w:rsid w:val="00AB4C16"/>
    <w:rsid w:val="00AB51CC"/>
    <w:rsid w:val="00AB5F1D"/>
    <w:rsid w:val="00AB6DAD"/>
    <w:rsid w:val="00AB773F"/>
    <w:rsid w:val="00AC0102"/>
    <w:rsid w:val="00AC06C0"/>
    <w:rsid w:val="00AC2EC4"/>
    <w:rsid w:val="00AC3C49"/>
    <w:rsid w:val="00AC4935"/>
    <w:rsid w:val="00AC63F6"/>
    <w:rsid w:val="00AC6574"/>
    <w:rsid w:val="00AC6E02"/>
    <w:rsid w:val="00AD1642"/>
    <w:rsid w:val="00AD1824"/>
    <w:rsid w:val="00AD200C"/>
    <w:rsid w:val="00AD3CC1"/>
    <w:rsid w:val="00AD4EF1"/>
    <w:rsid w:val="00AD6288"/>
    <w:rsid w:val="00AD6D22"/>
    <w:rsid w:val="00AD6D46"/>
    <w:rsid w:val="00AE033E"/>
    <w:rsid w:val="00AE06F9"/>
    <w:rsid w:val="00AE208A"/>
    <w:rsid w:val="00AE26BE"/>
    <w:rsid w:val="00AE2742"/>
    <w:rsid w:val="00AE2FD9"/>
    <w:rsid w:val="00AE367F"/>
    <w:rsid w:val="00AE57D7"/>
    <w:rsid w:val="00AE5BCE"/>
    <w:rsid w:val="00AE610E"/>
    <w:rsid w:val="00AE7B73"/>
    <w:rsid w:val="00AF12E8"/>
    <w:rsid w:val="00AF2434"/>
    <w:rsid w:val="00AF3160"/>
    <w:rsid w:val="00AF31A9"/>
    <w:rsid w:val="00AF366D"/>
    <w:rsid w:val="00AF482D"/>
    <w:rsid w:val="00AF52A0"/>
    <w:rsid w:val="00AF7DF8"/>
    <w:rsid w:val="00B0083E"/>
    <w:rsid w:val="00B0121B"/>
    <w:rsid w:val="00B019E9"/>
    <w:rsid w:val="00B029E0"/>
    <w:rsid w:val="00B055FD"/>
    <w:rsid w:val="00B05C7E"/>
    <w:rsid w:val="00B1097E"/>
    <w:rsid w:val="00B11986"/>
    <w:rsid w:val="00B129EA"/>
    <w:rsid w:val="00B12CC4"/>
    <w:rsid w:val="00B135D1"/>
    <w:rsid w:val="00B13C43"/>
    <w:rsid w:val="00B154A3"/>
    <w:rsid w:val="00B17442"/>
    <w:rsid w:val="00B17C9A"/>
    <w:rsid w:val="00B20B15"/>
    <w:rsid w:val="00B21310"/>
    <w:rsid w:val="00B2233E"/>
    <w:rsid w:val="00B224A8"/>
    <w:rsid w:val="00B22607"/>
    <w:rsid w:val="00B22CE9"/>
    <w:rsid w:val="00B233BA"/>
    <w:rsid w:val="00B25DEA"/>
    <w:rsid w:val="00B25F87"/>
    <w:rsid w:val="00B26160"/>
    <w:rsid w:val="00B2620B"/>
    <w:rsid w:val="00B2692F"/>
    <w:rsid w:val="00B26D30"/>
    <w:rsid w:val="00B27085"/>
    <w:rsid w:val="00B27AAE"/>
    <w:rsid w:val="00B30DC7"/>
    <w:rsid w:val="00B354CA"/>
    <w:rsid w:val="00B4131B"/>
    <w:rsid w:val="00B41611"/>
    <w:rsid w:val="00B41ADB"/>
    <w:rsid w:val="00B4382B"/>
    <w:rsid w:val="00B444C9"/>
    <w:rsid w:val="00B44CE2"/>
    <w:rsid w:val="00B47B69"/>
    <w:rsid w:val="00B5267C"/>
    <w:rsid w:val="00B5345D"/>
    <w:rsid w:val="00B5361D"/>
    <w:rsid w:val="00B54019"/>
    <w:rsid w:val="00B563C2"/>
    <w:rsid w:val="00B57D62"/>
    <w:rsid w:val="00B60749"/>
    <w:rsid w:val="00B60A02"/>
    <w:rsid w:val="00B613AB"/>
    <w:rsid w:val="00B6147B"/>
    <w:rsid w:val="00B62151"/>
    <w:rsid w:val="00B62BFD"/>
    <w:rsid w:val="00B6460D"/>
    <w:rsid w:val="00B646E5"/>
    <w:rsid w:val="00B647B4"/>
    <w:rsid w:val="00B64A81"/>
    <w:rsid w:val="00B64D62"/>
    <w:rsid w:val="00B64ED4"/>
    <w:rsid w:val="00B657CB"/>
    <w:rsid w:val="00B66216"/>
    <w:rsid w:val="00B704F8"/>
    <w:rsid w:val="00B71935"/>
    <w:rsid w:val="00B72DA7"/>
    <w:rsid w:val="00B72E17"/>
    <w:rsid w:val="00B741C3"/>
    <w:rsid w:val="00B75810"/>
    <w:rsid w:val="00B77A6F"/>
    <w:rsid w:val="00B77BD7"/>
    <w:rsid w:val="00B80CC4"/>
    <w:rsid w:val="00B80D7A"/>
    <w:rsid w:val="00B8191C"/>
    <w:rsid w:val="00B81C1E"/>
    <w:rsid w:val="00B823D0"/>
    <w:rsid w:val="00B826A0"/>
    <w:rsid w:val="00B82D3F"/>
    <w:rsid w:val="00B8321A"/>
    <w:rsid w:val="00B83F32"/>
    <w:rsid w:val="00B84839"/>
    <w:rsid w:val="00B864B1"/>
    <w:rsid w:val="00B86561"/>
    <w:rsid w:val="00B86C4E"/>
    <w:rsid w:val="00B87446"/>
    <w:rsid w:val="00B87FBE"/>
    <w:rsid w:val="00B90155"/>
    <w:rsid w:val="00B90726"/>
    <w:rsid w:val="00B915C2"/>
    <w:rsid w:val="00B92D4A"/>
    <w:rsid w:val="00B93020"/>
    <w:rsid w:val="00B93317"/>
    <w:rsid w:val="00B93979"/>
    <w:rsid w:val="00B94A60"/>
    <w:rsid w:val="00B9633C"/>
    <w:rsid w:val="00B9656A"/>
    <w:rsid w:val="00B97859"/>
    <w:rsid w:val="00BA1C87"/>
    <w:rsid w:val="00BA1E3B"/>
    <w:rsid w:val="00BA25D3"/>
    <w:rsid w:val="00BA3891"/>
    <w:rsid w:val="00BA4705"/>
    <w:rsid w:val="00BA5813"/>
    <w:rsid w:val="00BA6DA7"/>
    <w:rsid w:val="00BA796A"/>
    <w:rsid w:val="00BB244A"/>
    <w:rsid w:val="00BB3437"/>
    <w:rsid w:val="00BB5BD1"/>
    <w:rsid w:val="00BB6059"/>
    <w:rsid w:val="00BC0683"/>
    <w:rsid w:val="00BC0A3B"/>
    <w:rsid w:val="00BC29C7"/>
    <w:rsid w:val="00BC2F22"/>
    <w:rsid w:val="00BC49A6"/>
    <w:rsid w:val="00BC5A8C"/>
    <w:rsid w:val="00BC5F5C"/>
    <w:rsid w:val="00BD15E4"/>
    <w:rsid w:val="00BD4649"/>
    <w:rsid w:val="00BD4FD5"/>
    <w:rsid w:val="00BD5D1F"/>
    <w:rsid w:val="00BE051F"/>
    <w:rsid w:val="00BE11EE"/>
    <w:rsid w:val="00BE1895"/>
    <w:rsid w:val="00BE227D"/>
    <w:rsid w:val="00BE381C"/>
    <w:rsid w:val="00BE3D53"/>
    <w:rsid w:val="00BE5183"/>
    <w:rsid w:val="00BE53D9"/>
    <w:rsid w:val="00BE5F21"/>
    <w:rsid w:val="00BE7A48"/>
    <w:rsid w:val="00BF0CF8"/>
    <w:rsid w:val="00BF2BD2"/>
    <w:rsid w:val="00BF3A61"/>
    <w:rsid w:val="00BF3E8D"/>
    <w:rsid w:val="00BF417D"/>
    <w:rsid w:val="00BF42C2"/>
    <w:rsid w:val="00BF5D51"/>
    <w:rsid w:val="00BF693B"/>
    <w:rsid w:val="00C00D9E"/>
    <w:rsid w:val="00C0159E"/>
    <w:rsid w:val="00C01E5F"/>
    <w:rsid w:val="00C0263C"/>
    <w:rsid w:val="00C028D1"/>
    <w:rsid w:val="00C02C65"/>
    <w:rsid w:val="00C033F6"/>
    <w:rsid w:val="00C060CF"/>
    <w:rsid w:val="00C07930"/>
    <w:rsid w:val="00C109B4"/>
    <w:rsid w:val="00C11DFA"/>
    <w:rsid w:val="00C12486"/>
    <w:rsid w:val="00C12C22"/>
    <w:rsid w:val="00C135A6"/>
    <w:rsid w:val="00C152F3"/>
    <w:rsid w:val="00C156C4"/>
    <w:rsid w:val="00C160ED"/>
    <w:rsid w:val="00C17579"/>
    <w:rsid w:val="00C20A2F"/>
    <w:rsid w:val="00C20DA2"/>
    <w:rsid w:val="00C22BE7"/>
    <w:rsid w:val="00C23C5C"/>
    <w:rsid w:val="00C241A9"/>
    <w:rsid w:val="00C245AE"/>
    <w:rsid w:val="00C2503F"/>
    <w:rsid w:val="00C26A09"/>
    <w:rsid w:val="00C27281"/>
    <w:rsid w:val="00C31407"/>
    <w:rsid w:val="00C318BA"/>
    <w:rsid w:val="00C322FE"/>
    <w:rsid w:val="00C34207"/>
    <w:rsid w:val="00C34598"/>
    <w:rsid w:val="00C347DF"/>
    <w:rsid w:val="00C40337"/>
    <w:rsid w:val="00C406CE"/>
    <w:rsid w:val="00C40D91"/>
    <w:rsid w:val="00C41B48"/>
    <w:rsid w:val="00C42963"/>
    <w:rsid w:val="00C432A5"/>
    <w:rsid w:val="00C4432B"/>
    <w:rsid w:val="00C444C3"/>
    <w:rsid w:val="00C44D82"/>
    <w:rsid w:val="00C4512F"/>
    <w:rsid w:val="00C4597B"/>
    <w:rsid w:val="00C46F34"/>
    <w:rsid w:val="00C474F0"/>
    <w:rsid w:val="00C51C54"/>
    <w:rsid w:val="00C51E4C"/>
    <w:rsid w:val="00C522C8"/>
    <w:rsid w:val="00C5290C"/>
    <w:rsid w:val="00C530F9"/>
    <w:rsid w:val="00C53117"/>
    <w:rsid w:val="00C56CBC"/>
    <w:rsid w:val="00C574A8"/>
    <w:rsid w:val="00C6179A"/>
    <w:rsid w:val="00C62E3D"/>
    <w:rsid w:val="00C63AE1"/>
    <w:rsid w:val="00C63C42"/>
    <w:rsid w:val="00C64C07"/>
    <w:rsid w:val="00C65E03"/>
    <w:rsid w:val="00C66578"/>
    <w:rsid w:val="00C66A9C"/>
    <w:rsid w:val="00C70025"/>
    <w:rsid w:val="00C714A7"/>
    <w:rsid w:val="00C72AA8"/>
    <w:rsid w:val="00C72FC5"/>
    <w:rsid w:val="00C73438"/>
    <w:rsid w:val="00C73E18"/>
    <w:rsid w:val="00C745B9"/>
    <w:rsid w:val="00C74C3F"/>
    <w:rsid w:val="00C7523E"/>
    <w:rsid w:val="00C75791"/>
    <w:rsid w:val="00C75CF9"/>
    <w:rsid w:val="00C75EF4"/>
    <w:rsid w:val="00C77019"/>
    <w:rsid w:val="00C77EC8"/>
    <w:rsid w:val="00C8264B"/>
    <w:rsid w:val="00C82B8B"/>
    <w:rsid w:val="00C83219"/>
    <w:rsid w:val="00C838D0"/>
    <w:rsid w:val="00C844AC"/>
    <w:rsid w:val="00C8596B"/>
    <w:rsid w:val="00C86230"/>
    <w:rsid w:val="00C871D4"/>
    <w:rsid w:val="00C87808"/>
    <w:rsid w:val="00C87D03"/>
    <w:rsid w:val="00C87F39"/>
    <w:rsid w:val="00C91999"/>
    <w:rsid w:val="00C927E4"/>
    <w:rsid w:val="00C92B6E"/>
    <w:rsid w:val="00C93453"/>
    <w:rsid w:val="00C9345F"/>
    <w:rsid w:val="00C94FAD"/>
    <w:rsid w:val="00C95DCE"/>
    <w:rsid w:val="00C968E3"/>
    <w:rsid w:val="00C96E4F"/>
    <w:rsid w:val="00CA0497"/>
    <w:rsid w:val="00CA2C75"/>
    <w:rsid w:val="00CA2E91"/>
    <w:rsid w:val="00CA48B1"/>
    <w:rsid w:val="00CA5798"/>
    <w:rsid w:val="00CA754D"/>
    <w:rsid w:val="00CA7A43"/>
    <w:rsid w:val="00CB1226"/>
    <w:rsid w:val="00CB16C3"/>
    <w:rsid w:val="00CB4EE6"/>
    <w:rsid w:val="00CB526D"/>
    <w:rsid w:val="00CB5811"/>
    <w:rsid w:val="00CB583F"/>
    <w:rsid w:val="00CB6D7F"/>
    <w:rsid w:val="00CB76B6"/>
    <w:rsid w:val="00CC052A"/>
    <w:rsid w:val="00CC1DC9"/>
    <w:rsid w:val="00CC1EAD"/>
    <w:rsid w:val="00CC5872"/>
    <w:rsid w:val="00CC6DCF"/>
    <w:rsid w:val="00CC7BB7"/>
    <w:rsid w:val="00CD108A"/>
    <w:rsid w:val="00CD1464"/>
    <w:rsid w:val="00CD3B7C"/>
    <w:rsid w:val="00CD40B4"/>
    <w:rsid w:val="00CD5007"/>
    <w:rsid w:val="00CD5972"/>
    <w:rsid w:val="00CD719C"/>
    <w:rsid w:val="00CE058C"/>
    <w:rsid w:val="00CE0B3C"/>
    <w:rsid w:val="00CE119B"/>
    <w:rsid w:val="00CE2640"/>
    <w:rsid w:val="00CE29FA"/>
    <w:rsid w:val="00CE3026"/>
    <w:rsid w:val="00CE34D3"/>
    <w:rsid w:val="00CE34D4"/>
    <w:rsid w:val="00CE3639"/>
    <w:rsid w:val="00CE4840"/>
    <w:rsid w:val="00CE5CCF"/>
    <w:rsid w:val="00CE7358"/>
    <w:rsid w:val="00CE779F"/>
    <w:rsid w:val="00CE7A93"/>
    <w:rsid w:val="00CF0468"/>
    <w:rsid w:val="00CF2AAB"/>
    <w:rsid w:val="00CF3DBA"/>
    <w:rsid w:val="00CF53CE"/>
    <w:rsid w:val="00CF7480"/>
    <w:rsid w:val="00CF76FC"/>
    <w:rsid w:val="00CF78C7"/>
    <w:rsid w:val="00D001AA"/>
    <w:rsid w:val="00D005E2"/>
    <w:rsid w:val="00D01953"/>
    <w:rsid w:val="00D02067"/>
    <w:rsid w:val="00D02ACB"/>
    <w:rsid w:val="00D03E82"/>
    <w:rsid w:val="00D04033"/>
    <w:rsid w:val="00D0602A"/>
    <w:rsid w:val="00D072EE"/>
    <w:rsid w:val="00D07AF3"/>
    <w:rsid w:val="00D158E7"/>
    <w:rsid w:val="00D15AC7"/>
    <w:rsid w:val="00D17547"/>
    <w:rsid w:val="00D17F9D"/>
    <w:rsid w:val="00D2097A"/>
    <w:rsid w:val="00D20CE3"/>
    <w:rsid w:val="00D21525"/>
    <w:rsid w:val="00D21BCA"/>
    <w:rsid w:val="00D22221"/>
    <w:rsid w:val="00D23B92"/>
    <w:rsid w:val="00D270E6"/>
    <w:rsid w:val="00D31EBB"/>
    <w:rsid w:val="00D32C19"/>
    <w:rsid w:val="00D34874"/>
    <w:rsid w:val="00D36723"/>
    <w:rsid w:val="00D37507"/>
    <w:rsid w:val="00D37B9D"/>
    <w:rsid w:val="00D40525"/>
    <w:rsid w:val="00D40A4B"/>
    <w:rsid w:val="00D40F47"/>
    <w:rsid w:val="00D416C1"/>
    <w:rsid w:val="00D41852"/>
    <w:rsid w:val="00D43CB4"/>
    <w:rsid w:val="00D453C2"/>
    <w:rsid w:val="00D45F8E"/>
    <w:rsid w:val="00D469CB"/>
    <w:rsid w:val="00D47B8D"/>
    <w:rsid w:val="00D5067D"/>
    <w:rsid w:val="00D50768"/>
    <w:rsid w:val="00D5129E"/>
    <w:rsid w:val="00D52469"/>
    <w:rsid w:val="00D53026"/>
    <w:rsid w:val="00D5595F"/>
    <w:rsid w:val="00D57415"/>
    <w:rsid w:val="00D5798C"/>
    <w:rsid w:val="00D57FB5"/>
    <w:rsid w:val="00D60EAB"/>
    <w:rsid w:val="00D60F4B"/>
    <w:rsid w:val="00D61D3A"/>
    <w:rsid w:val="00D631B6"/>
    <w:rsid w:val="00D63577"/>
    <w:rsid w:val="00D644B7"/>
    <w:rsid w:val="00D6643B"/>
    <w:rsid w:val="00D66DE9"/>
    <w:rsid w:val="00D67F11"/>
    <w:rsid w:val="00D7107C"/>
    <w:rsid w:val="00D71373"/>
    <w:rsid w:val="00D72518"/>
    <w:rsid w:val="00D729D1"/>
    <w:rsid w:val="00D736FD"/>
    <w:rsid w:val="00D74066"/>
    <w:rsid w:val="00D7509E"/>
    <w:rsid w:val="00D7649A"/>
    <w:rsid w:val="00D7787D"/>
    <w:rsid w:val="00D779AF"/>
    <w:rsid w:val="00D807CD"/>
    <w:rsid w:val="00D812B5"/>
    <w:rsid w:val="00D81A26"/>
    <w:rsid w:val="00D81F81"/>
    <w:rsid w:val="00D828DD"/>
    <w:rsid w:val="00D82CE1"/>
    <w:rsid w:val="00D8309A"/>
    <w:rsid w:val="00D86639"/>
    <w:rsid w:val="00D869D2"/>
    <w:rsid w:val="00D87224"/>
    <w:rsid w:val="00D879DA"/>
    <w:rsid w:val="00D87AEB"/>
    <w:rsid w:val="00D90156"/>
    <w:rsid w:val="00D912C4"/>
    <w:rsid w:val="00D91BA4"/>
    <w:rsid w:val="00D92671"/>
    <w:rsid w:val="00D93B40"/>
    <w:rsid w:val="00D943E8"/>
    <w:rsid w:val="00D95256"/>
    <w:rsid w:val="00D953E6"/>
    <w:rsid w:val="00D95B46"/>
    <w:rsid w:val="00D95DCD"/>
    <w:rsid w:val="00D962AD"/>
    <w:rsid w:val="00D96383"/>
    <w:rsid w:val="00D97288"/>
    <w:rsid w:val="00D975E0"/>
    <w:rsid w:val="00D97A4E"/>
    <w:rsid w:val="00DA3A46"/>
    <w:rsid w:val="00DA4458"/>
    <w:rsid w:val="00DA7138"/>
    <w:rsid w:val="00DA7145"/>
    <w:rsid w:val="00DB0CB9"/>
    <w:rsid w:val="00DB2E3E"/>
    <w:rsid w:val="00DB315E"/>
    <w:rsid w:val="00DB3924"/>
    <w:rsid w:val="00DB399F"/>
    <w:rsid w:val="00DB47CF"/>
    <w:rsid w:val="00DB4E01"/>
    <w:rsid w:val="00DB5F78"/>
    <w:rsid w:val="00DB62BA"/>
    <w:rsid w:val="00DB62EE"/>
    <w:rsid w:val="00DB6A6C"/>
    <w:rsid w:val="00DB6F6A"/>
    <w:rsid w:val="00DB7A8E"/>
    <w:rsid w:val="00DC0558"/>
    <w:rsid w:val="00DC085E"/>
    <w:rsid w:val="00DC0EB8"/>
    <w:rsid w:val="00DC2199"/>
    <w:rsid w:val="00DC438B"/>
    <w:rsid w:val="00DC4F60"/>
    <w:rsid w:val="00DC6072"/>
    <w:rsid w:val="00DC693A"/>
    <w:rsid w:val="00DC7303"/>
    <w:rsid w:val="00DC7AF1"/>
    <w:rsid w:val="00DD021B"/>
    <w:rsid w:val="00DD0DD2"/>
    <w:rsid w:val="00DD215E"/>
    <w:rsid w:val="00DD2884"/>
    <w:rsid w:val="00DD2A9A"/>
    <w:rsid w:val="00DD32A9"/>
    <w:rsid w:val="00DD3E86"/>
    <w:rsid w:val="00DD57FA"/>
    <w:rsid w:val="00DD5A16"/>
    <w:rsid w:val="00DD5E42"/>
    <w:rsid w:val="00DD62AA"/>
    <w:rsid w:val="00DD62BA"/>
    <w:rsid w:val="00DD6CCA"/>
    <w:rsid w:val="00DD6D7B"/>
    <w:rsid w:val="00DD6DE2"/>
    <w:rsid w:val="00DD6E2A"/>
    <w:rsid w:val="00DE0003"/>
    <w:rsid w:val="00DE0542"/>
    <w:rsid w:val="00DE0A51"/>
    <w:rsid w:val="00DE0A65"/>
    <w:rsid w:val="00DE0ADB"/>
    <w:rsid w:val="00DE18BF"/>
    <w:rsid w:val="00DE1ACF"/>
    <w:rsid w:val="00DE1CF1"/>
    <w:rsid w:val="00DE20C6"/>
    <w:rsid w:val="00DE217C"/>
    <w:rsid w:val="00DE3501"/>
    <w:rsid w:val="00DE389F"/>
    <w:rsid w:val="00DE3A20"/>
    <w:rsid w:val="00DE509A"/>
    <w:rsid w:val="00DE594C"/>
    <w:rsid w:val="00DE7DF9"/>
    <w:rsid w:val="00DF31D7"/>
    <w:rsid w:val="00DF4AEA"/>
    <w:rsid w:val="00DF5E9B"/>
    <w:rsid w:val="00DF5EB8"/>
    <w:rsid w:val="00DF612C"/>
    <w:rsid w:val="00DF6424"/>
    <w:rsid w:val="00DF6CCA"/>
    <w:rsid w:val="00DF7DD3"/>
    <w:rsid w:val="00E00C95"/>
    <w:rsid w:val="00E0111C"/>
    <w:rsid w:val="00E0145A"/>
    <w:rsid w:val="00E02680"/>
    <w:rsid w:val="00E02C69"/>
    <w:rsid w:val="00E02E9B"/>
    <w:rsid w:val="00E042E4"/>
    <w:rsid w:val="00E04460"/>
    <w:rsid w:val="00E04900"/>
    <w:rsid w:val="00E04D4B"/>
    <w:rsid w:val="00E0564A"/>
    <w:rsid w:val="00E05F26"/>
    <w:rsid w:val="00E1022D"/>
    <w:rsid w:val="00E128C0"/>
    <w:rsid w:val="00E1384F"/>
    <w:rsid w:val="00E13AD3"/>
    <w:rsid w:val="00E1560A"/>
    <w:rsid w:val="00E15910"/>
    <w:rsid w:val="00E160CF"/>
    <w:rsid w:val="00E16965"/>
    <w:rsid w:val="00E16E8D"/>
    <w:rsid w:val="00E17479"/>
    <w:rsid w:val="00E1799A"/>
    <w:rsid w:val="00E17FA9"/>
    <w:rsid w:val="00E2006B"/>
    <w:rsid w:val="00E201D1"/>
    <w:rsid w:val="00E2031B"/>
    <w:rsid w:val="00E203A9"/>
    <w:rsid w:val="00E20C0D"/>
    <w:rsid w:val="00E21859"/>
    <w:rsid w:val="00E22626"/>
    <w:rsid w:val="00E23EB4"/>
    <w:rsid w:val="00E24402"/>
    <w:rsid w:val="00E24897"/>
    <w:rsid w:val="00E25AFE"/>
    <w:rsid w:val="00E2662F"/>
    <w:rsid w:val="00E26A4E"/>
    <w:rsid w:val="00E3011C"/>
    <w:rsid w:val="00E3049C"/>
    <w:rsid w:val="00E31633"/>
    <w:rsid w:val="00E318A2"/>
    <w:rsid w:val="00E31F1B"/>
    <w:rsid w:val="00E327FE"/>
    <w:rsid w:val="00E33294"/>
    <w:rsid w:val="00E34A4A"/>
    <w:rsid w:val="00E35CC8"/>
    <w:rsid w:val="00E36563"/>
    <w:rsid w:val="00E377FC"/>
    <w:rsid w:val="00E37F83"/>
    <w:rsid w:val="00E419E5"/>
    <w:rsid w:val="00E430F5"/>
    <w:rsid w:val="00E434BC"/>
    <w:rsid w:val="00E44008"/>
    <w:rsid w:val="00E44BC5"/>
    <w:rsid w:val="00E44CD4"/>
    <w:rsid w:val="00E44EFC"/>
    <w:rsid w:val="00E45891"/>
    <w:rsid w:val="00E45AF7"/>
    <w:rsid w:val="00E467DB"/>
    <w:rsid w:val="00E46BFA"/>
    <w:rsid w:val="00E47857"/>
    <w:rsid w:val="00E50A05"/>
    <w:rsid w:val="00E514AD"/>
    <w:rsid w:val="00E531A8"/>
    <w:rsid w:val="00E549FC"/>
    <w:rsid w:val="00E55E45"/>
    <w:rsid w:val="00E5784A"/>
    <w:rsid w:val="00E607B3"/>
    <w:rsid w:val="00E60890"/>
    <w:rsid w:val="00E609B9"/>
    <w:rsid w:val="00E617FF"/>
    <w:rsid w:val="00E61AB7"/>
    <w:rsid w:val="00E63D7C"/>
    <w:rsid w:val="00E64E05"/>
    <w:rsid w:val="00E658FF"/>
    <w:rsid w:val="00E66272"/>
    <w:rsid w:val="00E66B2F"/>
    <w:rsid w:val="00E66BAC"/>
    <w:rsid w:val="00E70EA9"/>
    <w:rsid w:val="00E71416"/>
    <w:rsid w:val="00E7160E"/>
    <w:rsid w:val="00E73BE2"/>
    <w:rsid w:val="00E7444F"/>
    <w:rsid w:val="00E748F2"/>
    <w:rsid w:val="00E7679B"/>
    <w:rsid w:val="00E77526"/>
    <w:rsid w:val="00E806AF"/>
    <w:rsid w:val="00E816E5"/>
    <w:rsid w:val="00E81DA3"/>
    <w:rsid w:val="00E81F77"/>
    <w:rsid w:val="00E832CA"/>
    <w:rsid w:val="00E83959"/>
    <w:rsid w:val="00E8420B"/>
    <w:rsid w:val="00E84B62"/>
    <w:rsid w:val="00E867CE"/>
    <w:rsid w:val="00E86E61"/>
    <w:rsid w:val="00E87484"/>
    <w:rsid w:val="00E87F3B"/>
    <w:rsid w:val="00E90AE7"/>
    <w:rsid w:val="00E911EB"/>
    <w:rsid w:val="00E927B2"/>
    <w:rsid w:val="00E93B35"/>
    <w:rsid w:val="00E94F85"/>
    <w:rsid w:val="00E95316"/>
    <w:rsid w:val="00E95FF1"/>
    <w:rsid w:val="00E96680"/>
    <w:rsid w:val="00EA0B83"/>
    <w:rsid w:val="00EA17B5"/>
    <w:rsid w:val="00EA1CE2"/>
    <w:rsid w:val="00EA1EFE"/>
    <w:rsid w:val="00EA2523"/>
    <w:rsid w:val="00EA267E"/>
    <w:rsid w:val="00EA390C"/>
    <w:rsid w:val="00EA4567"/>
    <w:rsid w:val="00EA58CF"/>
    <w:rsid w:val="00EA765F"/>
    <w:rsid w:val="00EB02DD"/>
    <w:rsid w:val="00EB1414"/>
    <w:rsid w:val="00EB3824"/>
    <w:rsid w:val="00EB3A06"/>
    <w:rsid w:val="00EB3AAC"/>
    <w:rsid w:val="00EB4688"/>
    <w:rsid w:val="00EB4FDB"/>
    <w:rsid w:val="00EB5762"/>
    <w:rsid w:val="00EB5A3F"/>
    <w:rsid w:val="00EB5E20"/>
    <w:rsid w:val="00EB77E6"/>
    <w:rsid w:val="00EB7A39"/>
    <w:rsid w:val="00EB7B6C"/>
    <w:rsid w:val="00EB7C1A"/>
    <w:rsid w:val="00EC13D5"/>
    <w:rsid w:val="00EC1573"/>
    <w:rsid w:val="00EC24F1"/>
    <w:rsid w:val="00EC2B5D"/>
    <w:rsid w:val="00EC555D"/>
    <w:rsid w:val="00EC58BD"/>
    <w:rsid w:val="00EC620B"/>
    <w:rsid w:val="00EC6E25"/>
    <w:rsid w:val="00EC764C"/>
    <w:rsid w:val="00ED0537"/>
    <w:rsid w:val="00ED31D3"/>
    <w:rsid w:val="00ED33F3"/>
    <w:rsid w:val="00ED3D77"/>
    <w:rsid w:val="00ED62DA"/>
    <w:rsid w:val="00ED680F"/>
    <w:rsid w:val="00ED7BFE"/>
    <w:rsid w:val="00ED7DA1"/>
    <w:rsid w:val="00EE0CC7"/>
    <w:rsid w:val="00EE102F"/>
    <w:rsid w:val="00EE2BE9"/>
    <w:rsid w:val="00EE4FF5"/>
    <w:rsid w:val="00EE5E7F"/>
    <w:rsid w:val="00EE60B7"/>
    <w:rsid w:val="00EE6691"/>
    <w:rsid w:val="00EE71EF"/>
    <w:rsid w:val="00EE7C6B"/>
    <w:rsid w:val="00EF0325"/>
    <w:rsid w:val="00EF4D64"/>
    <w:rsid w:val="00EF5738"/>
    <w:rsid w:val="00EF5F4A"/>
    <w:rsid w:val="00EF6FB6"/>
    <w:rsid w:val="00EF7CF1"/>
    <w:rsid w:val="00F015C0"/>
    <w:rsid w:val="00F01692"/>
    <w:rsid w:val="00F034CC"/>
    <w:rsid w:val="00F04FBB"/>
    <w:rsid w:val="00F05491"/>
    <w:rsid w:val="00F07414"/>
    <w:rsid w:val="00F105CA"/>
    <w:rsid w:val="00F1169E"/>
    <w:rsid w:val="00F11FD9"/>
    <w:rsid w:val="00F13090"/>
    <w:rsid w:val="00F13699"/>
    <w:rsid w:val="00F13BF6"/>
    <w:rsid w:val="00F14307"/>
    <w:rsid w:val="00F14B3E"/>
    <w:rsid w:val="00F15197"/>
    <w:rsid w:val="00F15631"/>
    <w:rsid w:val="00F156E4"/>
    <w:rsid w:val="00F16678"/>
    <w:rsid w:val="00F17228"/>
    <w:rsid w:val="00F20467"/>
    <w:rsid w:val="00F2230F"/>
    <w:rsid w:val="00F22557"/>
    <w:rsid w:val="00F22879"/>
    <w:rsid w:val="00F22B80"/>
    <w:rsid w:val="00F257BD"/>
    <w:rsid w:val="00F260F4"/>
    <w:rsid w:val="00F264B5"/>
    <w:rsid w:val="00F267B6"/>
    <w:rsid w:val="00F275FD"/>
    <w:rsid w:val="00F31158"/>
    <w:rsid w:val="00F31A91"/>
    <w:rsid w:val="00F332F6"/>
    <w:rsid w:val="00F33AE4"/>
    <w:rsid w:val="00F3474B"/>
    <w:rsid w:val="00F3514A"/>
    <w:rsid w:val="00F3517C"/>
    <w:rsid w:val="00F37445"/>
    <w:rsid w:val="00F4044A"/>
    <w:rsid w:val="00F40809"/>
    <w:rsid w:val="00F40823"/>
    <w:rsid w:val="00F438AD"/>
    <w:rsid w:val="00F4464F"/>
    <w:rsid w:val="00F4521B"/>
    <w:rsid w:val="00F46745"/>
    <w:rsid w:val="00F503A4"/>
    <w:rsid w:val="00F50998"/>
    <w:rsid w:val="00F5187F"/>
    <w:rsid w:val="00F5341E"/>
    <w:rsid w:val="00F53C1A"/>
    <w:rsid w:val="00F54C22"/>
    <w:rsid w:val="00F55195"/>
    <w:rsid w:val="00F5734B"/>
    <w:rsid w:val="00F60A65"/>
    <w:rsid w:val="00F63A72"/>
    <w:rsid w:val="00F64A17"/>
    <w:rsid w:val="00F657C0"/>
    <w:rsid w:val="00F66059"/>
    <w:rsid w:val="00F67741"/>
    <w:rsid w:val="00F67887"/>
    <w:rsid w:val="00F67DA4"/>
    <w:rsid w:val="00F71BDE"/>
    <w:rsid w:val="00F7418D"/>
    <w:rsid w:val="00F75F9D"/>
    <w:rsid w:val="00F76195"/>
    <w:rsid w:val="00F76EFB"/>
    <w:rsid w:val="00F7762D"/>
    <w:rsid w:val="00F80C2B"/>
    <w:rsid w:val="00F83146"/>
    <w:rsid w:val="00F84839"/>
    <w:rsid w:val="00F8539F"/>
    <w:rsid w:val="00F85D4D"/>
    <w:rsid w:val="00F86B4A"/>
    <w:rsid w:val="00F87637"/>
    <w:rsid w:val="00F9055F"/>
    <w:rsid w:val="00F91D7D"/>
    <w:rsid w:val="00F92FA8"/>
    <w:rsid w:val="00F9491E"/>
    <w:rsid w:val="00F960F9"/>
    <w:rsid w:val="00F96558"/>
    <w:rsid w:val="00FA07C9"/>
    <w:rsid w:val="00FA086A"/>
    <w:rsid w:val="00FA0BEA"/>
    <w:rsid w:val="00FA23AB"/>
    <w:rsid w:val="00FA2CDB"/>
    <w:rsid w:val="00FA3938"/>
    <w:rsid w:val="00FA3BC3"/>
    <w:rsid w:val="00FA4276"/>
    <w:rsid w:val="00FA4F95"/>
    <w:rsid w:val="00FA643B"/>
    <w:rsid w:val="00FA6D14"/>
    <w:rsid w:val="00FA78A4"/>
    <w:rsid w:val="00FA79AD"/>
    <w:rsid w:val="00FB0444"/>
    <w:rsid w:val="00FB0511"/>
    <w:rsid w:val="00FB2742"/>
    <w:rsid w:val="00FB4999"/>
    <w:rsid w:val="00FB518A"/>
    <w:rsid w:val="00FB6297"/>
    <w:rsid w:val="00FB641D"/>
    <w:rsid w:val="00FB69F1"/>
    <w:rsid w:val="00FB73E4"/>
    <w:rsid w:val="00FB7BBF"/>
    <w:rsid w:val="00FC1000"/>
    <w:rsid w:val="00FC3166"/>
    <w:rsid w:val="00FC37FE"/>
    <w:rsid w:val="00FC3CA3"/>
    <w:rsid w:val="00FC40DA"/>
    <w:rsid w:val="00FC4208"/>
    <w:rsid w:val="00FC55F6"/>
    <w:rsid w:val="00FC7053"/>
    <w:rsid w:val="00FC793A"/>
    <w:rsid w:val="00FC79AC"/>
    <w:rsid w:val="00FC7AA3"/>
    <w:rsid w:val="00FD0DD8"/>
    <w:rsid w:val="00FD1325"/>
    <w:rsid w:val="00FD15E5"/>
    <w:rsid w:val="00FD1B68"/>
    <w:rsid w:val="00FD1BF0"/>
    <w:rsid w:val="00FD2802"/>
    <w:rsid w:val="00FD3F1A"/>
    <w:rsid w:val="00FD4774"/>
    <w:rsid w:val="00FD4FC3"/>
    <w:rsid w:val="00FD50F3"/>
    <w:rsid w:val="00FD579A"/>
    <w:rsid w:val="00FD58BA"/>
    <w:rsid w:val="00FD78ED"/>
    <w:rsid w:val="00FE0972"/>
    <w:rsid w:val="00FE1336"/>
    <w:rsid w:val="00FE3842"/>
    <w:rsid w:val="00FE4568"/>
    <w:rsid w:val="00FE49DB"/>
    <w:rsid w:val="00FE6D9F"/>
    <w:rsid w:val="00FE6DA2"/>
    <w:rsid w:val="00FE7072"/>
    <w:rsid w:val="00FF0E86"/>
    <w:rsid w:val="00FF28D6"/>
    <w:rsid w:val="00FF3FDD"/>
    <w:rsid w:val="00FF5B4F"/>
    <w:rsid w:val="00FF6E23"/>
    <w:rsid w:val="00FF79C9"/>
    <w:rsid w:val="00FF7CD8"/>
    <w:rsid w:val="01B130C2"/>
    <w:rsid w:val="03394DCC"/>
    <w:rsid w:val="03A66FDA"/>
    <w:rsid w:val="0616772D"/>
    <w:rsid w:val="067D59FE"/>
    <w:rsid w:val="0765096C"/>
    <w:rsid w:val="07AF68D1"/>
    <w:rsid w:val="08716FF5"/>
    <w:rsid w:val="099F05CE"/>
    <w:rsid w:val="09A32809"/>
    <w:rsid w:val="09A3535D"/>
    <w:rsid w:val="09F8586B"/>
    <w:rsid w:val="0A4314EA"/>
    <w:rsid w:val="0A9B12CC"/>
    <w:rsid w:val="0CF9167C"/>
    <w:rsid w:val="0D654710"/>
    <w:rsid w:val="0E533DDE"/>
    <w:rsid w:val="0EA224A6"/>
    <w:rsid w:val="0EB14FFF"/>
    <w:rsid w:val="0EE72544"/>
    <w:rsid w:val="122453F2"/>
    <w:rsid w:val="12307846"/>
    <w:rsid w:val="130A030E"/>
    <w:rsid w:val="13787F3A"/>
    <w:rsid w:val="13E52EFA"/>
    <w:rsid w:val="16177E86"/>
    <w:rsid w:val="179D5153"/>
    <w:rsid w:val="17AE3C6A"/>
    <w:rsid w:val="17EF73A9"/>
    <w:rsid w:val="18487ECD"/>
    <w:rsid w:val="18616DB1"/>
    <w:rsid w:val="1B091BAF"/>
    <w:rsid w:val="1B3E1AC9"/>
    <w:rsid w:val="1BD417C5"/>
    <w:rsid w:val="1D972C6E"/>
    <w:rsid w:val="1E5935A7"/>
    <w:rsid w:val="1FC023BE"/>
    <w:rsid w:val="1FF62A7C"/>
    <w:rsid w:val="201232E4"/>
    <w:rsid w:val="2049461B"/>
    <w:rsid w:val="20784E15"/>
    <w:rsid w:val="20907C3C"/>
    <w:rsid w:val="210C303C"/>
    <w:rsid w:val="21883668"/>
    <w:rsid w:val="21F3678E"/>
    <w:rsid w:val="22CD6F6E"/>
    <w:rsid w:val="22E32DD9"/>
    <w:rsid w:val="2407369A"/>
    <w:rsid w:val="24571840"/>
    <w:rsid w:val="253948FD"/>
    <w:rsid w:val="2558240B"/>
    <w:rsid w:val="256B2A59"/>
    <w:rsid w:val="2592042A"/>
    <w:rsid w:val="26073BD4"/>
    <w:rsid w:val="279B388A"/>
    <w:rsid w:val="2885527F"/>
    <w:rsid w:val="28EF7A6D"/>
    <w:rsid w:val="29390861"/>
    <w:rsid w:val="29894FD6"/>
    <w:rsid w:val="2A746468"/>
    <w:rsid w:val="2BC10218"/>
    <w:rsid w:val="2CB54D6C"/>
    <w:rsid w:val="2CCC693E"/>
    <w:rsid w:val="2D03111D"/>
    <w:rsid w:val="2D4A1A48"/>
    <w:rsid w:val="2D767F35"/>
    <w:rsid w:val="2DD8591F"/>
    <w:rsid w:val="2E2D512F"/>
    <w:rsid w:val="2E363352"/>
    <w:rsid w:val="2EFF2BA5"/>
    <w:rsid w:val="2F2B5748"/>
    <w:rsid w:val="2F311027"/>
    <w:rsid w:val="2F782A91"/>
    <w:rsid w:val="304C1D62"/>
    <w:rsid w:val="310F1D3F"/>
    <w:rsid w:val="312A428A"/>
    <w:rsid w:val="318C1DC4"/>
    <w:rsid w:val="31C516E4"/>
    <w:rsid w:val="32022F6F"/>
    <w:rsid w:val="32B31CDC"/>
    <w:rsid w:val="346440F6"/>
    <w:rsid w:val="34AC2F2B"/>
    <w:rsid w:val="3515593B"/>
    <w:rsid w:val="35704B13"/>
    <w:rsid w:val="357557D3"/>
    <w:rsid w:val="362B4AD1"/>
    <w:rsid w:val="36D0430D"/>
    <w:rsid w:val="379C19EC"/>
    <w:rsid w:val="3822707F"/>
    <w:rsid w:val="38292439"/>
    <w:rsid w:val="39197B26"/>
    <w:rsid w:val="398D12EA"/>
    <w:rsid w:val="399162A0"/>
    <w:rsid w:val="39D779BB"/>
    <w:rsid w:val="3C057668"/>
    <w:rsid w:val="3C677F05"/>
    <w:rsid w:val="3CE648F7"/>
    <w:rsid w:val="3CEC6507"/>
    <w:rsid w:val="3D8144F3"/>
    <w:rsid w:val="3DE74047"/>
    <w:rsid w:val="3E50034C"/>
    <w:rsid w:val="3F0D3A9A"/>
    <w:rsid w:val="3F4F6CEC"/>
    <w:rsid w:val="4095711E"/>
    <w:rsid w:val="40B14370"/>
    <w:rsid w:val="41C61EA4"/>
    <w:rsid w:val="41FA2133"/>
    <w:rsid w:val="42175829"/>
    <w:rsid w:val="437A0CBB"/>
    <w:rsid w:val="451C070D"/>
    <w:rsid w:val="454B5719"/>
    <w:rsid w:val="46541247"/>
    <w:rsid w:val="46840182"/>
    <w:rsid w:val="47AE787F"/>
    <w:rsid w:val="480C00B0"/>
    <w:rsid w:val="49022255"/>
    <w:rsid w:val="490D1122"/>
    <w:rsid w:val="496C2CCB"/>
    <w:rsid w:val="49F67C52"/>
    <w:rsid w:val="4A481858"/>
    <w:rsid w:val="4ACB65B4"/>
    <w:rsid w:val="4D8A5244"/>
    <w:rsid w:val="4E6A6DC4"/>
    <w:rsid w:val="50043D09"/>
    <w:rsid w:val="507D368C"/>
    <w:rsid w:val="516F7396"/>
    <w:rsid w:val="51CB7928"/>
    <w:rsid w:val="524D69CE"/>
    <w:rsid w:val="52BD6B91"/>
    <w:rsid w:val="53EB418D"/>
    <w:rsid w:val="54336CC9"/>
    <w:rsid w:val="5468737E"/>
    <w:rsid w:val="54E179FE"/>
    <w:rsid w:val="550F7D3E"/>
    <w:rsid w:val="55BF51B4"/>
    <w:rsid w:val="55F668A8"/>
    <w:rsid w:val="567C116A"/>
    <w:rsid w:val="56C72A1C"/>
    <w:rsid w:val="580871B3"/>
    <w:rsid w:val="592F676A"/>
    <w:rsid w:val="59A31430"/>
    <w:rsid w:val="59BF3700"/>
    <w:rsid w:val="5A6702CD"/>
    <w:rsid w:val="5B9E2EF5"/>
    <w:rsid w:val="5BA748A4"/>
    <w:rsid w:val="5BB640FA"/>
    <w:rsid w:val="5C3F37B7"/>
    <w:rsid w:val="5DC64177"/>
    <w:rsid w:val="5DCF7ED4"/>
    <w:rsid w:val="5E290B33"/>
    <w:rsid w:val="5EC60170"/>
    <w:rsid w:val="608C1600"/>
    <w:rsid w:val="6168644B"/>
    <w:rsid w:val="61E03F37"/>
    <w:rsid w:val="61FF276D"/>
    <w:rsid w:val="62536B14"/>
    <w:rsid w:val="638F7FFA"/>
    <w:rsid w:val="63D21027"/>
    <w:rsid w:val="641579BA"/>
    <w:rsid w:val="64965DD3"/>
    <w:rsid w:val="652232EC"/>
    <w:rsid w:val="652F2822"/>
    <w:rsid w:val="65C170EA"/>
    <w:rsid w:val="66B21CD0"/>
    <w:rsid w:val="670544F5"/>
    <w:rsid w:val="67C6271C"/>
    <w:rsid w:val="680543F5"/>
    <w:rsid w:val="68DA5764"/>
    <w:rsid w:val="69DF102E"/>
    <w:rsid w:val="6A8233B2"/>
    <w:rsid w:val="6A8640A2"/>
    <w:rsid w:val="6BBF199D"/>
    <w:rsid w:val="6C3D47DC"/>
    <w:rsid w:val="6C895281"/>
    <w:rsid w:val="6CC114CE"/>
    <w:rsid w:val="6CFA7836"/>
    <w:rsid w:val="6D04498E"/>
    <w:rsid w:val="6D12171A"/>
    <w:rsid w:val="6D1E6123"/>
    <w:rsid w:val="6E303946"/>
    <w:rsid w:val="6E4F1DB7"/>
    <w:rsid w:val="6E776210"/>
    <w:rsid w:val="6ECA78B7"/>
    <w:rsid w:val="6F6618A9"/>
    <w:rsid w:val="6F995E27"/>
    <w:rsid w:val="70D91201"/>
    <w:rsid w:val="734276EF"/>
    <w:rsid w:val="73465639"/>
    <w:rsid w:val="74FF7E7A"/>
    <w:rsid w:val="75786653"/>
    <w:rsid w:val="76256C60"/>
    <w:rsid w:val="76D238C9"/>
    <w:rsid w:val="76EF4613"/>
    <w:rsid w:val="78041E7F"/>
    <w:rsid w:val="7815592E"/>
    <w:rsid w:val="78ED63B3"/>
    <w:rsid w:val="79A52803"/>
    <w:rsid w:val="79A721E6"/>
    <w:rsid w:val="79A74F98"/>
    <w:rsid w:val="7BA42649"/>
    <w:rsid w:val="7C2D24A0"/>
    <w:rsid w:val="7C4E580F"/>
    <w:rsid w:val="7E2528C3"/>
    <w:rsid w:val="7E7F42FA"/>
    <w:rsid w:val="7ECA535E"/>
    <w:rsid w:val="7EE67F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qFormat="1" w:uiPriority="99"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9"/>
    <w:qFormat/>
    <w:uiPriority w:val="9"/>
    <w:pPr>
      <w:keepNext/>
      <w:keepLines/>
      <w:spacing w:before="340" w:after="330" w:line="578" w:lineRule="auto"/>
      <w:outlineLvl w:val="0"/>
    </w:pPr>
    <w:rPr>
      <w:b/>
      <w:bCs/>
      <w:kern w:val="44"/>
      <w:sz w:val="44"/>
      <w:szCs w:val="44"/>
    </w:rPr>
  </w:style>
  <w:style w:type="paragraph" w:styleId="3">
    <w:name w:val="heading 3"/>
    <w:basedOn w:val="1"/>
    <w:next w:val="1"/>
    <w:link w:val="52"/>
    <w:semiHidden/>
    <w:unhideWhenUsed/>
    <w:qFormat/>
    <w:uiPriority w:val="9"/>
    <w:pPr>
      <w:keepNext/>
      <w:keepLines/>
      <w:spacing w:before="260" w:after="260" w:line="416" w:lineRule="auto"/>
      <w:outlineLvl w:val="2"/>
    </w:pPr>
    <w:rPr>
      <w:b/>
      <w:bCs/>
      <w:sz w:val="32"/>
      <w:szCs w:val="32"/>
    </w:rPr>
  </w:style>
  <w:style w:type="paragraph" w:styleId="4">
    <w:name w:val="heading 4"/>
    <w:basedOn w:val="1"/>
    <w:next w:val="1"/>
    <w:link w:val="53"/>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30"/>
    <w:unhideWhenUsed/>
    <w:qFormat/>
    <w:uiPriority w:val="99"/>
    <w:pPr>
      <w:jc w:val="left"/>
    </w:pPr>
  </w:style>
  <w:style w:type="paragraph" w:styleId="6">
    <w:name w:val="Body Text Indent"/>
    <w:basedOn w:val="1"/>
    <w:link w:val="26"/>
    <w:qFormat/>
    <w:uiPriority w:val="0"/>
    <w:pPr>
      <w:ind w:firstLine="555"/>
    </w:pPr>
    <w:rPr>
      <w:rFonts w:eastAsia="仿宋_GB2312"/>
      <w:szCs w:val="24"/>
    </w:rPr>
  </w:style>
  <w:style w:type="paragraph" w:styleId="7">
    <w:name w:val="Date"/>
    <w:basedOn w:val="1"/>
    <w:next w:val="1"/>
    <w:link w:val="27"/>
    <w:unhideWhenUsed/>
    <w:qFormat/>
    <w:uiPriority w:val="99"/>
    <w:pPr>
      <w:ind w:left="100" w:leftChars="2500"/>
    </w:pPr>
  </w:style>
  <w:style w:type="paragraph" w:styleId="8">
    <w:name w:val="Balloon Text"/>
    <w:basedOn w:val="1"/>
    <w:link w:val="31"/>
    <w:unhideWhenUsed/>
    <w:qFormat/>
    <w:uiPriority w:val="99"/>
    <w:rPr>
      <w:sz w:val="18"/>
      <w:szCs w:val="18"/>
    </w:rPr>
  </w:style>
  <w:style w:type="paragraph" w:styleId="9">
    <w:name w:val="footer"/>
    <w:basedOn w:val="1"/>
    <w:link w:val="33"/>
    <w:unhideWhenUsed/>
    <w:qFormat/>
    <w:uiPriority w:val="99"/>
    <w:pPr>
      <w:tabs>
        <w:tab w:val="center" w:pos="4153"/>
        <w:tab w:val="right" w:pos="8306"/>
      </w:tabs>
      <w:snapToGrid w:val="0"/>
      <w:jc w:val="left"/>
    </w:pPr>
    <w:rPr>
      <w:sz w:val="18"/>
      <w:szCs w:val="18"/>
    </w:rPr>
  </w:style>
  <w:style w:type="paragraph" w:styleId="10">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Subtitle"/>
    <w:basedOn w:val="1"/>
    <w:next w:val="1"/>
    <w:link w:val="44"/>
    <w:qFormat/>
    <w:uiPriority w:val="11"/>
    <w:pPr>
      <w:adjustRightInd w:val="0"/>
      <w:snapToGrid w:val="0"/>
      <w:ind w:firstLine="200" w:firstLineChars="200"/>
    </w:pPr>
    <w:rPr>
      <w:rFonts w:asciiTheme="majorHAnsi" w:hAnsiTheme="majorHAnsi" w:cstheme="majorBidi"/>
      <w:bCs/>
      <w:kern w:val="28"/>
      <w:szCs w:val="32"/>
    </w:rPr>
  </w:style>
  <w:style w:type="paragraph" w:styleId="13">
    <w:name w:val="toc 2"/>
    <w:basedOn w:val="1"/>
    <w:next w:val="1"/>
    <w:unhideWhenUsed/>
    <w:qFormat/>
    <w:uiPriority w:val="39"/>
    <w:pPr>
      <w:ind w:left="420" w:leftChars="200"/>
    </w:pPr>
  </w:style>
  <w:style w:type="paragraph" w:styleId="14">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5">
    <w:name w:val="Title"/>
    <w:basedOn w:val="1"/>
    <w:next w:val="1"/>
    <w:link w:val="45"/>
    <w:qFormat/>
    <w:uiPriority w:val="10"/>
    <w:pPr>
      <w:outlineLvl w:val="0"/>
    </w:pPr>
    <w:rPr>
      <w:rFonts w:ascii="黑体" w:eastAsia="黑体" w:hAnsiTheme="majorHAnsi" w:cstheme="majorBidi"/>
      <w:bCs/>
      <w:szCs w:val="32"/>
    </w:rPr>
  </w:style>
  <w:style w:type="paragraph" w:styleId="16">
    <w:name w:val="annotation subject"/>
    <w:basedOn w:val="5"/>
    <w:next w:val="5"/>
    <w:link w:val="29"/>
    <w:unhideWhenUsed/>
    <w:qFormat/>
    <w:uiPriority w:val="99"/>
    <w:rPr>
      <w:b/>
      <w:bCs/>
    </w:rPr>
  </w:style>
  <w:style w:type="table" w:styleId="18">
    <w:name w:val="Table Grid"/>
    <w:basedOn w:val="17"/>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22"/>
    <w:rPr>
      <w:b/>
    </w:rPr>
  </w:style>
  <w:style w:type="character" w:styleId="21">
    <w:name w:val="page number"/>
    <w:basedOn w:val="19"/>
    <w:semiHidden/>
    <w:qFormat/>
    <w:uiPriority w:val="0"/>
    <w:rPr>
      <w:rFonts w:ascii="Times New Roman" w:hAnsi="Times New Roman" w:eastAsia="宋体"/>
      <w:sz w:val="18"/>
    </w:rPr>
  </w:style>
  <w:style w:type="character" w:styleId="22">
    <w:name w:val="Emphasis"/>
    <w:qFormat/>
    <w:uiPriority w:val="20"/>
    <w:rPr>
      <w:color w:val="CC0000"/>
    </w:rPr>
  </w:style>
  <w:style w:type="character" w:styleId="23">
    <w:name w:val="Hyperlink"/>
    <w:unhideWhenUsed/>
    <w:qFormat/>
    <w:uiPriority w:val="99"/>
    <w:rPr>
      <w:color w:val="0000FF"/>
      <w:u w:val="single"/>
    </w:rPr>
  </w:style>
  <w:style w:type="character" w:styleId="24">
    <w:name w:val="annotation reference"/>
    <w:unhideWhenUsed/>
    <w:qFormat/>
    <w:uiPriority w:val="99"/>
    <w:rPr>
      <w:sz w:val="21"/>
      <w:szCs w:val="21"/>
    </w:rPr>
  </w:style>
  <w:style w:type="character" w:styleId="25">
    <w:name w:val="HTML Cite"/>
    <w:unhideWhenUsed/>
    <w:qFormat/>
    <w:uiPriority w:val="99"/>
    <w:rPr>
      <w:color w:val="008000"/>
    </w:rPr>
  </w:style>
  <w:style w:type="character" w:customStyle="1" w:styleId="26">
    <w:name w:val="正文文本缩进 字符"/>
    <w:link w:val="6"/>
    <w:qFormat/>
    <w:uiPriority w:val="0"/>
    <w:rPr>
      <w:rFonts w:eastAsia="仿宋_GB2312"/>
      <w:kern w:val="2"/>
      <w:sz w:val="21"/>
      <w:szCs w:val="24"/>
    </w:rPr>
  </w:style>
  <w:style w:type="character" w:customStyle="1" w:styleId="27">
    <w:name w:val="日期 字符"/>
    <w:link w:val="7"/>
    <w:semiHidden/>
    <w:qFormat/>
    <w:uiPriority w:val="99"/>
    <w:rPr>
      <w:rFonts w:ascii="Times New Roman" w:hAnsi="Times New Roman"/>
      <w:kern w:val="2"/>
      <w:sz w:val="21"/>
    </w:rPr>
  </w:style>
  <w:style w:type="character" w:customStyle="1" w:styleId="28">
    <w:name w:val="页眉 字符"/>
    <w:link w:val="10"/>
    <w:qFormat/>
    <w:uiPriority w:val="99"/>
    <w:rPr>
      <w:rFonts w:ascii="Times New Roman" w:hAnsi="Times New Roman"/>
      <w:kern w:val="2"/>
      <w:sz w:val="18"/>
      <w:szCs w:val="18"/>
    </w:rPr>
  </w:style>
  <w:style w:type="character" w:customStyle="1" w:styleId="29">
    <w:name w:val="批注主题 字符"/>
    <w:link w:val="16"/>
    <w:semiHidden/>
    <w:qFormat/>
    <w:uiPriority w:val="99"/>
    <w:rPr>
      <w:rFonts w:ascii="Times New Roman" w:hAnsi="Times New Roman"/>
      <w:b/>
      <w:bCs/>
      <w:kern w:val="2"/>
      <w:sz w:val="21"/>
    </w:rPr>
  </w:style>
  <w:style w:type="character" w:customStyle="1" w:styleId="30">
    <w:name w:val="批注文字 字符"/>
    <w:link w:val="5"/>
    <w:semiHidden/>
    <w:qFormat/>
    <w:uiPriority w:val="99"/>
    <w:rPr>
      <w:rFonts w:ascii="Times New Roman" w:hAnsi="Times New Roman"/>
      <w:kern w:val="2"/>
      <w:sz w:val="21"/>
    </w:rPr>
  </w:style>
  <w:style w:type="character" w:customStyle="1" w:styleId="31">
    <w:name w:val="批注框文本 字符"/>
    <w:link w:val="8"/>
    <w:semiHidden/>
    <w:qFormat/>
    <w:uiPriority w:val="99"/>
    <w:rPr>
      <w:rFonts w:ascii="Times New Roman" w:hAnsi="Times New Roman"/>
      <w:kern w:val="2"/>
      <w:sz w:val="18"/>
      <w:szCs w:val="18"/>
    </w:rPr>
  </w:style>
  <w:style w:type="character" w:customStyle="1" w:styleId="32">
    <w:name w:val="未处理的提及1"/>
    <w:unhideWhenUsed/>
    <w:qFormat/>
    <w:uiPriority w:val="99"/>
    <w:rPr>
      <w:color w:val="808080"/>
      <w:shd w:val="clear" w:color="auto" w:fill="E6E6E6"/>
    </w:rPr>
  </w:style>
  <w:style w:type="character" w:customStyle="1" w:styleId="33">
    <w:name w:val="页脚 字符"/>
    <w:link w:val="9"/>
    <w:qFormat/>
    <w:uiPriority w:val="99"/>
    <w:rPr>
      <w:rFonts w:ascii="Times New Roman" w:hAnsi="Times New Roman"/>
      <w:kern w:val="2"/>
      <w:sz w:val="18"/>
      <w:szCs w:val="18"/>
    </w:rPr>
  </w:style>
  <w:style w:type="paragraph" w:customStyle="1" w:styleId="34">
    <w:name w:val="p0"/>
    <w:basedOn w:val="1"/>
    <w:qFormat/>
    <w:uiPriority w:val="99"/>
    <w:pPr>
      <w:widowControl/>
    </w:pPr>
    <w:rPr>
      <w:kern w:val="0"/>
      <w:szCs w:val="21"/>
    </w:rPr>
  </w:style>
  <w:style w:type="paragraph" w:customStyle="1" w:styleId="35">
    <w:name w:val="列表段落1"/>
    <w:basedOn w:val="1"/>
    <w:qFormat/>
    <w:uiPriority w:val="34"/>
    <w:pPr>
      <w:ind w:firstLine="420" w:firstLineChars="200"/>
    </w:pPr>
    <w:rPr>
      <w:rFonts w:ascii="Calibri" w:hAnsi="Calibri"/>
      <w:szCs w:val="22"/>
    </w:rPr>
  </w:style>
  <w:style w:type="paragraph" w:customStyle="1" w:styleId="36">
    <w:name w:val="正文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7">
    <w:name w:val="_Style 11"/>
    <w:basedOn w:val="1"/>
    <w:next w:val="35"/>
    <w:qFormat/>
    <w:uiPriority w:val="34"/>
    <w:pPr>
      <w:ind w:firstLine="420" w:firstLineChars="200"/>
    </w:pPr>
    <w:rPr>
      <w:rFonts w:ascii="Calibri" w:hAnsi="Calibri"/>
      <w:szCs w:val="22"/>
    </w:rPr>
  </w:style>
  <w:style w:type="paragraph" w:customStyle="1" w:styleId="38">
    <w:name w:val="1"/>
    <w:basedOn w:val="1"/>
    <w:next w:val="35"/>
    <w:qFormat/>
    <w:uiPriority w:val="34"/>
    <w:pPr>
      <w:ind w:firstLine="420" w:firstLineChars="200"/>
    </w:pPr>
    <w:rPr>
      <w:rFonts w:ascii="Calibri" w:hAnsi="Calibri"/>
      <w:szCs w:val="22"/>
    </w:rPr>
  </w:style>
  <w:style w:type="character" w:customStyle="1" w:styleId="39">
    <w:name w:val="标题 1 字符"/>
    <w:link w:val="2"/>
    <w:qFormat/>
    <w:uiPriority w:val="9"/>
    <w:rPr>
      <w:b/>
      <w:bCs/>
      <w:kern w:val="44"/>
      <w:sz w:val="44"/>
      <w:szCs w:val="44"/>
    </w:rPr>
  </w:style>
  <w:style w:type="paragraph" w:customStyle="1" w:styleId="40">
    <w:name w:val="TOC 标题1"/>
    <w:basedOn w:val="2"/>
    <w:next w:val="1"/>
    <w:unhideWhenUsed/>
    <w:qFormat/>
    <w:uiPriority w:val="39"/>
    <w:pPr>
      <w:widowControl/>
      <w:spacing w:before="240" w:after="0" w:line="259" w:lineRule="auto"/>
      <w:jc w:val="left"/>
      <w:outlineLvl w:val="9"/>
    </w:pPr>
    <w:rPr>
      <w:rFonts w:ascii="等线 Light" w:hAnsi="等线 Light" w:eastAsia="等线 Light"/>
      <w:b w:val="0"/>
      <w:bCs w:val="0"/>
      <w:color w:val="2F5496"/>
      <w:kern w:val="0"/>
      <w:sz w:val="32"/>
      <w:szCs w:val="32"/>
    </w:rPr>
  </w:style>
  <w:style w:type="paragraph" w:customStyle="1" w:styleId="41">
    <w:name w:val="修订1"/>
    <w:hidden/>
    <w:unhideWhenUsed/>
    <w:qFormat/>
    <w:uiPriority w:val="99"/>
    <w:rPr>
      <w:rFonts w:ascii="Times New Roman" w:hAnsi="Times New Roman" w:eastAsia="宋体" w:cs="Times New Roman"/>
      <w:kern w:val="2"/>
      <w:sz w:val="21"/>
      <w:lang w:val="en-US" w:eastAsia="zh-CN" w:bidi="ar-SA"/>
    </w:rPr>
  </w:style>
  <w:style w:type="paragraph" w:styleId="42">
    <w:name w:val="List Paragraph"/>
    <w:basedOn w:val="1"/>
    <w:qFormat/>
    <w:uiPriority w:val="34"/>
    <w:pPr>
      <w:ind w:firstLine="420" w:firstLineChars="200"/>
    </w:pPr>
  </w:style>
  <w:style w:type="paragraph" w:customStyle="1" w:styleId="43">
    <w:name w:val="修订2"/>
    <w:hidden/>
    <w:semiHidden/>
    <w:qFormat/>
    <w:uiPriority w:val="99"/>
    <w:rPr>
      <w:rFonts w:ascii="Times New Roman" w:hAnsi="Times New Roman" w:eastAsia="宋体" w:cs="Times New Roman"/>
      <w:kern w:val="2"/>
      <w:sz w:val="21"/>
      <w:lang w:val="en-US" w:eastAsia="zh-CN" w:bidi="ar-SA"/>
    </w:rPr>
  </w:style>
  <w:style w:type="character" w:customStyle="1" w:styleId="44">
    <w:name w:val="副标题 字符"/>
    <w:basedOn w:val="19"/>
    <w:link w:val="12"/>
    <w:qFormat/>
    <w:uiPriority w:val="11"/>
    <w:rPr>
      <w:rFonts w:asciiTheme="majorHAnsi" w:hAnsiTheme="majorHAnsi" w:cstheme="majorBidi"/>
      <w:bCs/>
      <w:kern w:val="28"/>
      <w:sz w:val="21"/>
      <w:szCs w:val="32"/>
    </w:rPr>
  </w:style>
  <w:style w:type="character" w:customStyle="1" w:styleId="45">
    <w:name w:val="标题 字符"/>
    <w:basedOn w:val="19"/>
    <w:link w:val="15"/>
    <w:qFormat/>
    <w:uiPriority w:val="10"/>
    <w:rPr>
      <w:rFonts w:ascii="黑体" w:eastAsia="黑体" w:hAnsiTheme="majorHAnsi" w:cstheme="majorBidi"/>
      <w:bCs/>
      <w:kern w:val="2"/>
      <w:sz w:val="21"/>
      <w:szCs w:val="32"/>
    </w:rPr>
  </w:style>
  <w:style w:type="paragraph" w:customStyle="1" w:styleId="46">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47">
    <w:name w:val="修订3"/>
    <w:hidden/>
    <w:semiHidden/>
    <w:qFormat/>
    <w:uiPriority w:val="99"/>
    <w:rPr>
      <w:rFonts w:ascii="Times New Roman" w:hAnsi="Times New Roman" w:eastAsia="宋体" w:cs="Times New Roman"/>
      <w:kern w:val="2"/>
      <w:sz w:val="21"/>
      <w:lang w:val="en-US" w:eastAsia="zh-CN" w:bidi="ar-SA"/>
    </w:rPr>
  </w:style>
  <w:style w:type="character" w:customStyle="1" w:styleId="48">
    <w:name w:val="apple-style-span"/>
    <w:qFormat/>
    <w:uiPriority w:val="0"/>
  </w:style>
  <w:style w:type="paragraph" w:customStyle="1" w:styleId="49">
    <w:name w:val="段"/>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50">
    <w:name w:val="标准文件_字母编号列项"/>
    <w:next w:val="1"/>
    <w:link w:val="51"/>
    <w:qFormat/>
    <w:uiPriority w:val="0"/>
    <w:pPr>
      <w:numPr>
        <w:ilvl w:val="0"/>
        <w:numId w:val="1"/>
      </w:numPr>
      <w:adjustRightInd w:val="0"/>
      <w:snapToGrid w:val="0"/>
      <w:spacing w:line="300" w:lineRule="auto"/>
      <w:jc w:val="both"/>
    </w:pPr>
    <w:rPr>
      <w:rFonts w:ascii="宋体" w:hAnsi="宋体" w:eastAsia="宋体" w:cs="Times New Roman"/>
      <w:bCs/>
      <w:snapToGrid w:val="0"/>
      <w:color w:val="000000"/>
      <w:sz w:val="28"/>
      <w:szCs w:val="28"/>
      <w:lang w:val="en-US" w:eastAsia="zh-CN" w:bidi="ar-SA"/>
    </w:rPr>
  </w:style>
  <w:style w:type="character" w:customStyle="1" w:styleId="51">
    <w:name w:val="标准文件_字母编号列项 Char"/>
    <w:link w:val="50"/>
    <w:qFormat/>
    <w:locked/>
    <w:uiPriority w:val="0"/>
    <w:rPr>
      <w:rFonts w:ascii="宋体" w:hAnsi="宋体"/>
      <w:bCs/>
      <w:snapToGrid w:val="0"/>
      <w:color w:val="000000"/>
      <w:sz w:val="28"/>
      <w:szCs w:val="28"/>
    </w:rPr>
  </w:style>
  <w:style w:type="character" w:customStyle="1" w:styleId="52">
    <w:name w:val="标题 3 字符"/>
    <w:basedOn w:val="19"/>
    <w:link w:val="3"/>
    <w:semiHidden/>
    <w:qFormat/>
    <w:uiPriority w:val="9"/>
    <w:rPr>
      <w:b/>
      <w:bCs/>
      <w:kern w:val="2"/>
      <w:sz w:val="32"/>
      <w:szCs w:val="32"/>
    </w:rPr>
  </w:style>
  <w:style w:type="character" w:customStyle="1" w:styleId="53">
    <w:name w:val="标题 4 字符"/>
    <w:basedOn w:val="19"/>
    <w:link w:val="4"/>
    <w:semiHidden/>
    <w:qFormat/>
    <w:uiPriority w:val="9"/>
    <w:rPr>
      <w:rFonts w:asciiTheme="majorHAnsi" w:hAnsiTheme="majorHAnsi" w:eastAsiaTheme="majorEastAsia" w:cstheme="majorBidi"/>
      <w:b/>
      <w:bCs/>
      <w:kern w:val="2"/>
      <w:sz w:val="28"/>
      <w:szCs w:val="28"/>
    </w:rPr>
  </w:style>
  <w:style w:type="paragraph" w:customStyle="1" w:styleId="54">
    <w:name w:val="Revision"/>
    <w:hidden/>
    <w:unhideWhenUsed/>
    <w:qFormat/>
    <w:uiPriority w:val="99"/>
    <w:rPr>
      <w:rFonts w:ascii="Times New Roman" w:hAnsi="Times New Roman" w:eastAsia="宋体" w:cs="Times New Roman"/>
      <w:kern w:val="2"/>
      <w:sz w:val="21"/>
      <w:lang w:val="en-US" w:eastAsia="zh-CN" w:bidi="ar-SA"/>
    </w:rPr>
  </w:style>
  <w:style w:type="paragraph" w:customStyle="1" w:styleId="55">
    <w:name w:val="1总则"/>
    <w:basedOn w:val="1"/>
    <w:qFormat/>
    <w:uiPriority w:val="0"/>
    <w:pPr>
      <w:widowControl/>
      <w:shd w:val="clear" w:color="FFFFFF" w:fill="FFFFFF"/>
      <w:spacing w:before="960" w:after="480" w:line="380" w:lineRule="exact"/>
      <w:jc w:val="center"/>
      <w:outlineLvl w:val="0"/>
    </w:pPr>
    <w:rPr>
      <w:rFonts w:ascii="黑体" w:hAnsi="黑体" w:eastAsia="方正书宋简体" w:cs="Times New Roman"/>
      <w:spacing w:val="4"/>
      <w:kern w:val="0"/>
      <w:sz w:val="32"/>
      <w:szCs w:val="32"/>
    </w:rPr>
  </w:style>
  <w:style w:type="paragraph" w:customStyle="1" w:styleId="56">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Arial" w:hAnsi="Arial" w:eastAsia="黑体" w:cs="Times New Roman"/>
      <w:kern w:val="2"/>
      <w:sz w:val="52"/>
      <w:szCs w:val="32"/>
      <w:lang w:val="en-US" w:eastAsia="zh-CN" w:bidi="ar-SA"/>
    </w:rPr>
  </w:style>
  <w:style w:type="paragraph" w:customStyle="1" w:styleId="57">
    <w:name w:val="封面标准英文名称"/>
    <w:qFormat/>
    <w:uiPriority w:val="0"/>
    <w:pPr>
      <w:widowControl w:val="0"/>
      <w:spacing w:before="370" w:line="400" w:lineRule="exact"/>
      <w:jc w:val="center"/>
    </w:pPr>
    <w:rPr>
      <w:rFonts w:ascii="Arial" w:hAnsi="Arial" w:eastAsia="宋体" w:cs="Times New Roman"/>
      <w:kern w:val="2"/>
      <w:sz w:val="28"/>
      <w:szCs w:val="32"/>
      <w:lang w:val="en-US" w:eastAsia="zh-CN" w:bidi="ar-SA"/>
    </w:rPr>
  </w:style>
  <w:style w:type="paragraph" w:customStyle="1" w:styleId="58">
    <w:name w:val="标准书脚_奇数页"/>
    <w:qFormat/>
    <w:uiPriority w:val="0"/>
    <w:pPr>
      <w:spacing w:before="120"/>
      <w:jc w:val="right"/>
    </w:pPr>
    <w:rPr>
      <w:rFonts w:ascii="Arial" w:hAnsi="Arial" w:eastAsia="宋体" w:cs="Times New Roman"/>
      <w:kern w:val="2"/>
      <w:sz w:val="18"/>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C51015-4E5D-4136-960C-AA5384B6AF2E}">
  <ds:schemaRefs/>
</ds:datastoreItem>
</file>

<file path=docProps/app.xml><?xml version="1.0" encoding="utf-8"?>
<Properties xmlns="http://schemas.openxmlformats.org/officeDocument/2006/extended-properties" xmlns:vt="http://schemas.openxmlformats.org/officeDocument/2006/docPropsVTypes">
  <Template>Normal.dotm</Template>
  <Company>zz</Company>
  <Pages>32</Pages>
  <Words>2340</Words>
  <Characters>13339</Characters>
  <Lines>111</Lines>
  <Paragraphs>31</Paragraphs>
  <TotalTime>11</TotalTime>
  <ScaleCrop>false</ScaleCrop>
  <LinksUpToDate>false</LinksUpToDate>
  <CharactersWithSpaces>15648</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2025-06-06T03:10:00Z</dcterms:created>
  <dc:creator>thinkpad</dc:creator>
  <cp:lastModifiedBy>h7170fyjn</cp:lastModifiedBy>
  <cp:lastPrinted>2019-11-12T00:07:00Z</cp:lastPrinted>
  <dcterms:modified xsi:type="dcterms:W3CDTF">2025-08-12T06:47:56Z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116171F2D4914D37AC55A9F4CBB79FE9</vt:lpwstr>
  </property>
</Properties>
</file>