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9"/>
        <w:tblW w:w="0" w:type="auto"/>
        <w:tblInd w:w="0" w:type="dxa"/>
        <w:tblLayout w:type="autofit"/>
        <w:tblCellMar>
          <w:top w:w="0" w:type="dxa"/>
          <w:left w:w="108" w:type="dxa"/>
          <w:bottom w:w="0" w:type="dxa"/>
          <w:right w:w="108" w:type="dxa"/>
        </w:tblCellMar>
      </w:tblPr>
      <w:tblGrid>
        <w:gridCol w:w="4643"/>
        <w:gridCol w:w="4643"/>
      </w:tblGrid>
      <w:tr w14:paraId="55337333">
        <w:tblPrEx>
          <w:tblCellMar>
            <w:top w:w="0" w:type="dxa"/>
            <w:left w:w="108" w:type="dxa"/>
            <w:bottom w:w="0" w:type="dxa"/>
            <w:right w:w="108" w:type="dxa"/>
          </w:tblCellMar>
        </w:tblPrEx>
        <w:tc>
          <w:tcPr>
            <w:tcW w:w="4643" w:type="dxa"/>
            <w:shd w:val="clear" w:color="auto" w:fill="auto"/>
            <w:noWrap w:val="0"/>
            <w:vAlign w:val="top"/>
          </w:tcPr>
          <w:p w14:paraId="0BE7BB72">
            <w:pPr>
              <w:rPr>
                <w:rFonts w:hint="default" w:ascii="Times New Roman" w:hAnsi="Times New Roman" w:cs="Times New Roman"/>
                <w:sz w:val="21"/>
                <w:szCs w:val="21"/>
              </w:rPr>
            </w:pPr>
            <w:bookmarkStart w:id="0" w:name="_Toc7904"/>
            <w:bookmarkStart w:id="42" w:name="_GoBack"/>
            <w:bookmarkEnd w:id="42"/>
            <w:r>
              <w:rPr>
                <w:rFonts w:hint="default" w:ascii="Times New Roman" w:hAnsi="Times New Roman" w:cs="Times New Roman"/>
                <w:sz w:val="21"/>
                <w:szCs w:val="21"/>
              </w:rPr>
              <w:t>备案号：xxxxx-202x</w:t>
            </w:r>
            <w:bookmarkEnd w:id="0"/>
          </w:p>
          <w:p w14:paraId="43DFB23C">
            <w:pPr>
              <w:tabs>
                <w:tab w:val="center" w:pos="4201"/>
                <w:tab w:val="right" w:leader="dot" w:pos="9298"/>
              </w:tabs>
              <w:autoSpaceDE w:val="0"/>
              <w:autoSpaceDN w:val="0"/>
              <w:ind w:firstLine="0" w:firstLineChars="0"/>
              <w:jc w:val="both"/>
              <w:rPr>
                <w:rFonts w:ascii="Times New Roman" w:hAnsi="Times New Roman" w:eastAsia="宋体" w:cs="Times New Roman"/>
                <w:sz w:val="24"/>
                <w:szCs w:val="24"/>
                <w:lang w:val="en-US" w:eastAsia="zh-CN" w:bidi="ar-SA"/>
              </w:rPr>
            </w:pPr>
          </w:p>
        </w:tc>
        <w:tc>
          <w:tcPr>
            <w:tcW w:w="4643" w:type="dxa"/>
            <w:shd w:val="clear" w:color="auto" w:fill="auto"/>
            <w:noWrap w:val="0"/>
            <w:vAlign w:val="top"/>
          </w:tcPr>
          <w:p w14:paraId="3C54B78D">
            <w:pPr>
              <w:tabs>
                <w:tab w:val="center" w:pos="4201"/>
                <w:tab w:val="right" w:leader="dot" w:pos="9298"/>
              </w:tabs>
              <w:autoSpaceDE w:val="0"/>
              <w:autoSpaceDN w:val="0"/>
              <w:ind w:firstLine="0" w:firstLineChars="0"/>
              <w:jc w:val="right"/>
              <w:rPr>
                <w:rFonts w:ascii="Times New Roman" w:hAnsi="Times New Roman" w:eastAsia="宋体" w:cs="Times New Roman"/>
                <w:sz w:val="24"/>
                <w:szCs w:val="24"/>
                <w:lang w:val="en-US" w:eastAsia="zh-CN" w:bidi="ar-SA"/>
              </w:rPr>
            </w:pPr>
            <w:r>
              <w:rPr>
                <w:rFonts w:ascii="Times New Roman" w:hAnsi="Times New Roman" w:eastAsia="宋体" w:cs="Times New Roman"/>
                <w:b/>
                <w:w w:val="150"/>
                <w:sz w:val="96"/>
                <w:szCs w:val="96"/>
                <w:lang w:val="en-US" w:eastAsia="zh-CN" w:bidi="ar-SA"/>
              </w:rPr>
              <w:t>HG</w:t>
            </w:r>
          </w:p>
        </w:tc>
      </w:tr>
    </w:tbl>
    <w:p w14:paraId="2F7AF82B">
      <w:pPr>
        <w:jc w:val="distribute"/>
        <w:rPr>
          <w:rFonts w:ascii="黑体" w:hAnsi="黑体" w:eastAsia="黑体"/>
          <w:sz w:val="48"/>
          <w:szCs w:val="48"/>
        </w:rPr>
      </w:pPr>
      <w:r>
        <w:rPr>
          <w:rFonts w:hint="eastAsia" w:ascii="黑体" w:hAnsi="黑体" w:eastAsia="黑体"/>
          <w:sz w:val="48"/>
          <w:szCs w:val="48"/>
        </w:rPr>
        <w:t>中华人民共和国化工行业标准</w:t>
      </w:r>
    </w:p>
    <w:p w14:paraId="38F9478C"/>
    <w:p w14:paraId="236040A9">
      <w:pPr>
        <w:spacing w:before="0" w:line="320" w:lineRule="exact"/>
        <w:jc w:val="right"/>
        <w:rPr>
          <w:rFonts w:ascii="黑体" w:hAnsi="Times New Roman" w:eastAsia="黑体" w:cs="Times New Roman"/>
          <w:sz w:val="28"/>
          <w:szCs w:val="28"/>
          <w:lang w:val="en-US" w:eastAsia="zh-CN" w:bidi="ar-SA"/>
        </w:rPr>
      </w:pPr>
      <w:r>
        <w:rPr>
          <w:rFonts w:ascii="Times New Roman" w:hAnsi="Times New Roman" w:eastAsia="黑体" w:cs="Times New Roman"/>
          <w:sz w:val="28"/>
          <w:szCs w:val="28"/>
          <w:lang w:val="en-US" w:eastAsia="zh-CN" w:bidi="ar-SA"/>
        </w:rPr>
        <w:t>HG/T 205</w:t>
      </w:r>
      <w:r>
        <w:rPr>
          <w:rFonts w:hint="eastAsia" w:ascii="Times New Roman" w:hAnsi="Times New Roman" w:eastAsia="黑体" w:cs="Times New Roman"/>
          <w:sz w:val="28"/>
          <w:szCs w:val="28"/>
          <w:lang w:val="en-US" w:eastAsia="zh-CN" w:bidi="ar-SA"/>
        </w:rPr>
        <w:t>86-</w:t>
      </w:r>
      <w:r>
        <w:rPr>
          <w:rFonts w:ascii="Times New Roman" w:hAnsi="Times New Roman" w:eastAsia="黑体" w:cs="Times New Roman"/>
          <w:sz w:val="28"/>
          <w:szCs w:val="28"/>
          <w:lang w:val="en-US" w:eastAsia="zh-CN" w:bidi="ar-SA"/>
        </w:rPr>
        <w:t>20XX</w:t>
      </w:r>
    </w:p>
    <w:tbl>
      <w:tblPr>
        <w:tblStyle w:val="19"/>
        <w:tblW w:w="0" w:type="auto"/>
        <w:tblInd w:w="0" w:type="dxa"/>
        <w:tblLayout w:type="autofit"/>
        <w:tblCellMar>
          <w:top w:w="0" w:type="dxa"/>
          <w:left w:w="108" w:type="dxa"/>
          <w:bottom w:w="0" w:type="dxa"/>
          <w:right w:w="108" w:type="dxa"/>
        </w:tblCellMar>
      </w:tblPr>
      <w:tblGrid>
        <w:gridCol w:w="9286"/>
      </w:tblGrid>
      <w:tr w14:paraId="59C2BE65">
        <w:tblPrEx>
          <w:tblCellMar>
            <w:top w:w="0" w:type="dxa"/>
            <w:left w:w="108" w:type="dxa"/>
            <w:bottom w:w="0" w:type="dxa"/>
            <w:right w:w="108" w:type="dxa"/>
          </w:tblCellMar>
        </w:tblPrEx>
        <w:tc>
          <w:tcPr>
            <w:tcW w:w="9286" w:type="dxa"/>
            <w:tcBorders>
              <w:top w:val="nil"/>
              <w:left w:val="nil"/>
              <w:bottom w:val="nil"/>
              <w:right w:val="nil"/>
            </w:tcBorders>
            <w:shd w:val="clear" w:color="auto" w:fill="auto"/>
            <w:noWrap w:val="0"/>
            <w:vAlign w:val="top"/>
          </w:tcPr>
          <w:p w14:paraId="3CC5AB4B">
            <w:pPr>
              <w:widowControl w:val="0"/>
              <w:spacing w:before="0" w:line="320" w:lineRule="exact"/>
              <w:jc w:val="right"/>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代替HG/T 20586-1996</w:t>
            </w:r>
          </w:p>
        </w:tc>
      </w:tr>
    </w:tbl>
    <w:p w14:paraId="1D9F07D7">
      <w:pPr>
        <w:spacing w:line="360" w:lineRule="auto"/>
        <w:rPr>
          <w:rFonts w:ascii="宋体" w:hAnsi="宋体"/>
          <w:kern w:val="0"/>
          <w:sz w:val="24"/>
        </w:rPr>
      </w:pPr>
      <w:r>
        <w:rPr>
          <w:rFonts w:ascii="宋体" w:hAnsi="宋体"/>
          <w:kern w:val="0"/>
          <w:sz w:val="24"/>
        </w:rPr>
        <mc:AlternateContent>
          <mc:Choice Requires="wps">
            <w:drawing>
              <wp:anchor distT="0" distB="0" distL="114300" distR="114300" simplePos="0" relativeHeight="251660288" behindDoc="0" locked="0" layoutInCell="1" allowOverlap="0">
                <wp:simplePos x="0" y="0"/>
                <wp:positionH relativeFrom="column">
                  <wp:align>center</wp:align>
                </wp:positionH>
                <wp:positionV relativeFrom="paragraph">
                  <wp:posOffset>97155</wp:posOffset>
                </wp:positionV>
                <wp:extent cx="5760085" cy="0"/>
                <wp:effectExtent l="0" t="0" r="0" b="0"/>
                <wp:wrapSquare wrapText="bothSides"/>
                <wp:docPr id="4" name="直接连接符 4"/>
                <wp:cNvGraphicFramePr/>
                <a:graphic xmlns:a="http://schemas.openxmlformats.org/drawingml/2006/main">
                  <a:graphicData uri="http://schemas.microsoft.com/office/word/2010/wordprocessingShape">
                    <wps:wsp>
                      <wps:cNvCnPr/>
                      <wps:spPr>
                        <a:xfrm>
                          <a:off x="0" y="0"/>
                          <a:ext cx="576008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7.65pt;height:0pt;width:453.55pt;mso-position-horizontal:center;mso-wrap-distance-bottom:0pt;mso-wrap-distance-left:9pt;mso-wrap-distance-right:9pt;mso-wrap-distance-top:0pt;z-index:251660288;mso-width-relative:page;mso-height-relative:page;" filled="f" stroked="t" coordsize="21600,21600" o:allowoverlap="f" o:gfxdata="UEsDBAoAAAAAAIdO4kAAAAAAAAAAAAAAAAAEAAAAZHJzL1BLAwQUAAAACACHTuJA9mOcw9UAAAAG&#10;AQAADwAAAGRycy9kb3ducmV2LnhtbE2PzU7DMBCE70i8g7VI3KiTImgIcXoAVRWIS1skrtt4iQPx&#10;Oo3dH96eRRzgODOrmW+r+cn36kBj7AIbyCcZKOIm2I5bA6+bxVUBKiZki31gMvBFEeb1+VmFpQ1H&#10;XtFhnVolJRxLNOBSGkqtY+PIY5yEgViy9zB6TCLHVtsRj1Luez3NslvtsWNZcDjQg6Pmc733BvBx&#10;uUpvxfR51j25l4/NYrd0xc6Yy4s8uweV6JT+juEHX9ChFqZt2LONqjcgjyRxb65BSXqXzXJQ219D&#10;15X+j19/A1BLAwQUAAAACACHTuJAeqUllPYBAADlAwAADgAAAGRycy9lMm9Eb2MueG1srVPNjtMw&#10;EL4j8Q6W7zRptX+Kmu5hy3JBUAl4gKnjJJb8J4/btC/BCyBxgxNH7rwNy2MwdrpddvfSAzk4Y8/4&#10;m/m+Gc+vd0azrQyonK35dFJyJq1wjbJdzT99vH11xRlGsA1oZ2XN9xL59eLli/ngKzlzvdONDIxA&#10;LFaDr3kfo6+KAkUvDeDEeWnJ2bpgINI2dEUTYCB0o4tZWV4UgwuND05IRDpdjk5+QAynALq2VUIu&#10;ndgYaeOIGqSGSJSwVx75IlfbtlLE922LMjJdc2Ia80pJyF6ntVjMoeoC+F6JQwlwSglPOBlQlpIe&#10;oZYQgW2CegZllAgOXRsnwpliJJIVIRbT8ok2H3rwMnMhqdEfRcf/ByvebVeBqabmZ5xZMNTwuy8/&#10;f3/+9ufXV1rvfnxnZ0mkwWNFsTd2FQ479KuQGO/aYNKfuLBdFnZ/FFbuIhN0eH55UZZX55yJe1/x&#10;cNEHjG+kMywZNdfKJs5QwfYtRkpGofch6VhbNtDczi5L6qEAmsCWOk+m8cQCbZcvo9OquVVapysY&#10;uvWNDmwLaQrylzgR8KOwlGUJ2I9x2TXORy+heW0bFvee9LH0LHiqwciGMy3pFSWLAKGKoPQpkZRa&#10;W6ogyToKmay1a/bUjY0PqutJimmuMnmo+7new6Sm8fp3n5EeXufi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jnMPVAAAABgEAAA8AAAAAAAAAAQAgAAAAIgAAAGRycy9kb3ducmV2LnhtbFBLAQIU&#10;ABQAAAAIAIdO4kB6pSWU9gEAAOUDAAAOAAAAAAAAAAEAIAAAACQBAABkcnMvZTJvRG9jLnhtbFBL&#10;BQYAAAAABgAGAFkBAACMBQAAAAA=&#10;">
                <v:fill on="f" focussize="0,0"/>
                <v:stroke weight="1pt" color="#000000" joinstyle="round"/>
                <v:imagedata o:title=""/>
                <o:lock v:ext="edit" aspectratio="f"/>
                <w10:wrap type="square"/>
              </v:line>
            </w:pict>
          </mc:Fallback>
        </mc:AlternateContent>
      </w:r>
    </w:p>
    <w:p w14:paraId="5BE27581">
      <w:pPr>
        <w:spacing w:line="360" w:lineRule="auto"/>
        <w:rPr>
          <w:rFonts w:ascii="宋体" w:hAnsi="宋体"/>
          <w:kern w:val="0"/>
          <w:sz w:val="24"/>
        </w:rPr>
      </w:pPr>
    </w:p>
    <w:p w14:paraId="6443194E">
      <w:pPr>
        <w:spacing w:line="360" w:lineRule="auto"/>
        <w:rPr>
          <w:rFonts w:ascii="宋体" w:hAnsi="宋体"/>
          <w:color w:val="000000" w:themeColor="text1"/>
          <w:kern w:val="0"/>
          <w:sz w:val="24"/>
          <w:highlight w:val="none"/>
          <w14:textFill>
            <w14:solidFill>
              <w14:schemeClr w14:val="tx1"/>
            </w14:solidFill>
          </w14:textFill>
        </w:rPr>
      </w:pPr>
    </w:p>
    <w:p w14:paraId="5FE9AC6D">
      <w:pPr>
        <w:spacing w:line="360" w:lineRule="auto"/>
        <w:rPr>
          <w:rFonts w:ascii="宋体" w:hAnsi="宋体"/>
          <w:color w:val="000000" w:themeColor="text1"/>
          <w:kern w:val="0"/>
          <w:sz w:val="24"/>
          <w:highlight w:val="none"/>
          <w14:textFill>
            <w14:solidFill>
              <w14:schemeClr w14:val="tx1"/>
            </w14:solidFill>
          </w14:textFill>
        </w:rPr>
      </w:pPr>
    </w:p>
    <w:p w14:paraId="6569CC6D">
      <w:pPr>
        <w:spacing w:line="360" w:lineRule="auto"/>
        <w:rPr>
          <w:rFonts w:hint="eastAsia" w:ascii="宋体" w:hAnsi="宋体"/>
          <w:color w:val="000000" w:themeColor="text1"/>
          <w:kern w:val="0"/>
          <w:sz w:val="24"/>
          <w:highlight w:val="none"/>
          <w14:textFill>
            <w14:solidFill>
              <w14:schemeClr w14:val="tx1"/>
            </w14:solidFill>
          </w14:textFill>
        </w:rPr>
      </w:pPr>
    </w:p>
    <w:p w14:paraId="065D8EF9">
      <w:pPr>
        <w:widowControl w:val="0"/>
        <w:spacing w:line="360" w:lineRule="auto"/>
        <w:jc w:val="center"/>
        <w:textAlignment w:val="center"/>
        <w:rPr>
          <w:rFonts w:ascii="黑体" w:hAnsi="Times New Roman" w:eastAsia="黑体" w:cs="Times New Roman"/>
          <w:b/>
          <w:bCs/>
          <w:color w:val="000000" w:themeColor="text1"/>
          <w:sz w:val="52"/>
          <w:highlight w:val="none"/>
          <w:lang w:val="en-US" w:eastAsia="zh-CN" w:bidi="ar-SA"/>
          <w14:textFill>
            <w14:solidFill>
              <w14:schemeClr w14:val="tx1"/>
            </w14:solidFill>
          </w14:textFill>
        </w:rPr>
      </w:pPr>
      <w:r>
        <w:rPr>
          <w:rFonts w:hint="eastAsia" w:ascii="黑体" w:hAnsi="Times New Roman" w:eastAsia="黑体" w:cs="Times New Roman"/>
          <w:b/>
          <w:bCs/>
          <w:color w:val="000000" w:themeColor="text1"/>
          <w:spacing w:val="100"/>
          <w:sz w:val="52"/>
          <w:highlight w:val="none"/>
          <w:lang w:val="en-US" w:eastAsia="zh-CN" w:bidi="ar-SA"/>
          <w14:textFill>
            <w14:solidFill>
              <w14:schemeClr w14:val="tx1"/>
            </w14:solidFill>
          </w14:textFill>
        </w:rPr>
        <w:t>化工企业照明设计规范</w:t>
      </w:r>
    </w:p>
    <w:p w14:paraId="1D235D6A">
      <w:pPr>
        <w:framePr w:h="5868" w:hRule="exact" w:wrap="around" w:vAnchor="margin" w:hAnchor="text" w:yAlign="inline"/>
        <w:widowControl w:val="0"/>
        <w:spacing w:before="0" w:line="360" w:lineRule="auto"/>
        <w:jc w:val="center"/>
        <w:textAlignment w:val="center"/>
        <w:rPr>
          <w:rFonts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pPr>
      <w:r>
        <w:rPr>
          <w:rFonts w:hint="eastAsia"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t>Code for lighting design of chemical industry</w:t>
      </w:r>
    </w:p>
    <w:p w14:paraId="02FD54AE">
      <w:pPr>
        <w:framePr w:h="5868" w:hRule="exact" w:wrap="around" w:vAnchor="margin" w:hAnchor="text" w:yAlign="inline"/>
        <w:widowControl w:val="0"/>
        <w:spacing w:before="0" w:line="360" w:lineRule="auto"/>
        <w:jc w:val="center"/>
        <w:textAlignment w:val="center"/>
        <w:rPr>
          <w:rFonts w:ascii="宋体" w:hAnsi="宋体" w:eastAsia="宋体" w:cs="Times New Roman"/>
          <w:color w:val="000000" w:themeColor="text1"/>
          <w:sz w:val="32"/>
          <w:szCs w:val="30"/>
          <w:highlight w:val="none"/>
          <w:lang w:val="en-US" w:eastAsia="zh-CN" w:bidi="ar-SA"/>
          <w14:textFill>
            <w14:solidFill>
              <w14:schemeClr w14:val="tx1"/>
            </w14:solidFill>
          </w14:textFill>
        </w:rPr>
      </w:pPr>
      <w:r>
        <w:rPr>
          <w:rFonts w:hint="eastAsia" w:ascii="宋体" w:hAnsi="宋体" w:eastAsia="宋体" w:cs="Times New Roman"/>
          <w:color w:val="000000" w:themeColor="text1"/>
          <w:sz w:val="32"/>
          <w:szCs w:val="30"/>
          <w:highlight w:val="none"/>
          <w:lang w:val="en-US" w:eastAsia="zh-CN" w:bidi="ar-SA"/>
          <w14:textFill>
            <w14:solidFill>
              <w14:schemeClr w14:val="tx1"/>
            </w14:solidFill>
          </w14:textFill>
        </w:rPr>
        <w:t>（</w:t>
      </w:r>
      <w:r>
        <w:rPr>
          <w:rFonts w:hint="eastAsia" w:ascii="宋体" w:hAnsi="宋体" w:cs="Times New Roman"/>
          <w:color w:val="000000" w:themeColor="text1"/>
          <w:sz w:val="32"/>
          <w:szCs w:val="30"/>
          <w:highlight w:val="none"/>
          <w:lang w:val="en-US" w:eastAsia="zh-CN" w:bidi="ar-SA"/>
          <w14:textFill>
            <w14:solidFill>
              <w14:schemeClr w14:val="tx1"/>
            </w14:solidFill>
          </w14:textFill>
        </w:rPr>
        <w:t>征求意见稿</w:t>
      </w:r>
      <w:r>
        <w:rPr>
          <w:rFonts w:hint="eastAsia" w:ascii="宋体" w:hAnsi="宋体" w:eastAsia="宋体" w:cs="Times New Roman"/>
          <w:color w:val="000000" w:themeColor="text1"/>
          <w:sz w:val="32"/>
          <w:szCs w:val="30"/>
          <w:highlight w:val="none"/>
          <w:lang w:val="en-US" w:eastAsia="zh-CN" w:bidi="ar-SA"/>
          <w14:textFill>
            <w14:solidFill>
              <w14:schemeClr w14:val="tx1"/>
            </w14:solidFill>
          </w14:textFill>
        </w:rPr>
        <w:t>）</w:t>
      </w:r>
    </w:p>
    <w:tbl>
      <w:tblPr>
        <w:tblStyle w:val="19"/>
        <w:tblW w:w="0" w:type="auto"/>
        <w:tblInd w:w="0" w:type="dxa"/>
        <w:tblBorders>
          <w:top w:val="none" w:color="auto" w:sz="0" w:space="0"/>
          <w:left w:val="none" w:color="auto" w:sz="0" w:space="0"/>
          <w:bottom w:val="single" w:color="000000" w:sz="8" w:space="0"/>
          <w:right w:val="none" w:color="auto" w:sz="0" w:space="0"/>
          <w:insideH w:val="single" w:color="000000" w:sz="4" w:space="0"/>
          <w:insideV w:val="none" w:color="auto" w:sz="0" w:space="0"/>
        </w:tblBorders>
        <w:tblLayout w:type="autofit"/>
        <w:tblCellMar>
          <w:top w:w="0" w:type="dxa"/>
          <w:left w:w="108" w:type="dxa"/>
          <w:bottom w:w="0" w:type="dxa"/>
          <w:right w:w="108" w:type="dxa"/>
        </w:tblCellMar>
      </w:tblPr>
      <w:tblGrid>
        <w:gridCol w:w="4643"/>
        <w:gridCol w:w="4643"/>
      </w:tblGrid>
      <w:tr w14:paraId="47B2F169">
        <w:tblPrEx>
          <w:tblBorders>
            <w:top w:val="none" w:color="auto" w:sz="0" w:space="0"/>
            <w:left w:val="none" w:color="auto" w:sz="0" w:space="0"/>
            <w:bottom w:val="single" w:color="000000" w:sz="8" w:space="0"/>
            <w:right w:val="none" w:color="auto" w:sz="0" w:space="0"/>
            <w:insideH w:val="single" w:color="000000" w:sz="4" w:space="0"/>
            <w:insideV w:val="none" w:color="auto" w:sz="0" w:space="0"/>
          </w:tblBorders>
          <w:tblCellMar>
            <w:top w:w="0" w:type="dxa"/>
            <w:left w:w="108" w:type="dxa"/>
            <w:bottom w:w="0" w:type="dxa"/>
            <w:right w:w="108" w:type="dxa"/>
          </w:tblCellMar>
        </w:tblPrEx>
        <w:tc>
          <w:tcPr>
            <w:tcW w:w="4643" w:type="dxa"/>
            <w:shd w:val="clear" w:color="auto" w:fill="auto"/>
            <w:noWrap w:val="0"/>
            <w:vAlign w:val="top"/>
          </w:tcPr>
          <w:p w14:paraId="7FC7761F">
            <w:pPr>
              <w:rPr>
                <w:rFonts w:ascii="黑体" w:hAnsi="黑体" w:eastAsia="黑体"/>
                <w:color w:val="000000" w:themeColor="text1"/>
                <w:sz w:val="28"/>
                <w:szCs w:val="28"/>
                <w:highlight w:val="none"/>
                <w14:textFill>
                  <w14:solidFill>
                    <w14:schemeClr w14:val="tx1"/>
                  </w14:solidFill>
                </w14:textFill>
              </w:rPr>
            </w:pPr>
            <w:r>
              <w:rPr>
                <w:rFonts w:hint="eastAsia" w:ascii="黑体" w:hAnsi="黑体" w:eastAsia="黑体"/>
                <w:color w:val="000000" w:themeColor="text1"/>
                <w:sz w:val="28"/>
                <w:szCs w:val="28"/>
                <w:highlight w:val="none"/>
                <w14:textFill>
                  <w14:solidFill>
                    <w14:schemeClr w14:val="tx1"/>
                  </w14:solidFill>
                </w14:textFill>
              </w:rPr>
              <w:t>20XX</w:t>
            </w:r>
            <w:r>
              <w:rPr>
                <w:rFonts w:ascii="黑体" w:hAnsi="黑体" w:eastAsia="黑体"/>
                <w:color w:val="000000" w:themeColor="text1"/>
                <w:sz w:val="28"/>
                <w:szCs w:val="28"/>
                <w:highlight w:val="none"/>
                <w14:textFill>
                  <w14:solidFill>
                    <w14:schemeClr w14:val="tx1"/>
                  </w14:solidFill>
                </w14:textFill>
              </w:rPr>
              <w:t>-</w:t>
            </w:r>
            <w:r>
              <w:rPr>
                <w:rFonts w:hint="eastAsia" w:ascii="黑体" w:hAnsi="黑体" w:eastAsia="黑体"/>
                <w:color w:val="000000" w:themeColor="text1"/>
                <w:sz w:val="28"/>
                <w:szCs w:val="28"/>
                <w:highlight w:val="none"/>
                <w14:textFill>
                  <w14:solidFill>
                    <w14:schemeClr w14:val="tx1"/>
                  </w14:solidFill>
                </w14:textFill>
              </w:rPr>
              <w:t>XX</w:t>
            </w:r>
            <w:r>
              <w:rPr>
                <w:rFonts w:ascii="黑体" w:hAnsi="黑体" w:eastAsia="黑体"/>
                <w:color w:val="000000" w:themeColor="text1"/>
                <w:sz w:val="28"/>
                <w:szCs w:val="28"/>
                <w:highlight w:val="none"/>
                <w14:textFill>
                  <w14:solidFill>
                    <w14:schemeClr w14:val="tx1"/>
                  </w14:solidFill>
                </w14:textFill>
              </w:rPr>
              <w:t>-</w:t>
            </w:r>
            <w:r>
              <w:rPr>
                <w:rFonts w:hint="eastAsia" w:ascii="黑体" w:hAnsi="黑体" w:eastAsia="黑体"/>
                <w:color w:val="000000" w:themeColor="text1"/>
                <w:sz w:val="28"/>
                <w:szCs w:val="28"/>
                <w:highlight w:val="none"/>
                <w14:textFill>
                  <w14:solidFill>
                    <w14:schemeClr w14:val="tx1"/>
                  </w14:solidFill>
                </w14:textFill>
              </w:rPr>
              <w:t>XX发布</w:t>
            </w:r>
          </w:p>
        </w:tc>
        <w:tc>
          <w:tcPr>
            <w:tcW w:w="4643" w:type="dxa"/>
            <w:shd w:val="clear" w:color="auto" w:fill="auto"/>
            <w:noWrap w:val="0"/>
            <w:vAlign w:val="top"/>
          </w:tcPr>
          <w:p w14:paraId="11AB7D96">
            <w:pPr>
              <w:jc w:val="right"/>
              <w:rPr>
                <w:rFonts w:hint="eastAsia" w:ascii="黑体" w:hAnsi="黑体" w:eastAsia="黑体"/>
                <w:color w:val="000000" w:themeColor="text1"/>
                <w:sz w:val="28"/>
                <w:szCs w:val="28"/>
                <w:highlight w:val="none"/>
                <w14:textFill>
                  <w14:solidFill>
                    <w14:schemeClr w14:val="tx1"/>
                  </w14:solidFill>
                </w14:textFill>
              </w:rPr>
            </w:pPr>
            <w:r>
              <w:rPr>
                <w:rFonts w:hint="eastAsia" w:ascii="黑体" w:hAnsi="黑体" w:eastAsia="黑体"/>
                <w:color w:val="000000" w:themeColor="text1"/>
                <w:sz w:val="28"/>
                <w:szCs w:val="28"/>
                <w:highlight w:val="none"/>
                <w14:textFill>
                  <w14:solidFill>
                    <w14:schemeClr w14:val="tx1"/>
                  </w14:solidFill>
                </w14:textFill>
              </w:rPr>
              <w:t>20XX</w:t>
            </w:r>
            <w:r>
              <w:rPr>
                <w:rFonts w:ascii="黑体" w:hAnsi="黑体" w:eastAsia="黑体"/>
                <w:color w:val="000000" w:themeColor="text1"/>
                <w:sz w:val="28"/>
                <w:szCs w:val="28"/>
                <w:highlight w:val="none"/>
                <w14:textFill>
                  <w14:solidFill>
                    <w14:schemeClr w14:val="tx1"/>
                  </w14:solidFill>
                </w14:textFill>
              </w:rPr>
              <w:t>-</w:t>
            </w:r>
            <w:r>
              <w:rPr>
                <w:rFonts w:hint="eastAsia" w:ascii="黑体" w:hAnsi="黑体" w:eastAsia="黑体"/>
                <w:color w:val="000000" w:themeColor="text1"/>
                <w:sz w:val="28"/>
                <w:szCs w:val="28"/>
                <w:highlight w:val="none"/>
                <w14:textFill>
                  <w14:solidFill>
                    <w14:schemeClr w14:val="tx1"/>
                  </w14:solidFill>
                </w14:textFill>
              </w:rPr>
              <w:t>XX</w:t>
            </w:r>
            <w:r>
              <w:rPr>
                <w:rFonts w:ascii="黑体" w:hAnsi="黑体" w:eastAsia="黑体"/>
                <w:color w:val="000000" w:themeColor="text1"/>
                <w:sz w:val="28"/>
                <w:szCs w:val="28"/>
                <w:highlight w:val="none"/>
                <w14:textFill>
                  <w14:solidFill>
                    <w14:schemeClr w14:val="tx1"/>
                  </w14:solidFill>
                </w14:textFill>
              </w:rPr>
              <w:t>-</w:t>
            </w:r>
            <w:r>
              <w:rPr>
                <w:rFonts w:hint="eastAsia" w:ascii="黑体" w:hAnsi="黑体" w:eastAsia="黑体"/>
                <w:color w:val="000000" w:themeColor="text1"/>
                <w:sz w:val="28"/>
                <w:szCs w:val="28"/>
                <w:highlight w:val="none"/>
                <w14:textFill>
                  <w14:solidFill>
                    <w14:schemeClr w14:val="tx1"/>
                  </w14:solidFill>
                </w14:textFill>
              </w:rPr>
              <w:t>XX实施</w:t>
            </w:r>
          </w:p>
        </w:tc>
      </w:tr>
    </w:tbl>
    <w:p w14:paraId="080AEED6">
      <w:pPr>
        <w:spacing w:before="156" w:beforeLines="50"/>
        <w:jc w:val="center"/>
        <w:rPr>
          <w:rFonts w:hint="eastAsia" w:ascii="黑体" w:hAnsi="黑体" w:eastAsia="黑体"/>
          <w:color w:val="000000" w:themeColor="text1"/>
          <w:w w:val="150"/>
          <w:sz w:val="30"/>
          <w:szCs w:val="30"/>
          <w:highlight w:val="none"/>
          <w14:textFill>
            <w14:solidFill>
              <w14:schemeClr w14:val="tx1"/>
            </w14:solidFill>
          </w14:textFill>
        </w:rPr>
      </w:pPr>
      <w:r>
        <w:rPr>
          <w:rFonts w:hint="eastAsia" w:ascii="黑体" w:hAnsi="黑体" w:eastAsia="黑体"/>
          <w:color w:val="000000" w:themeColor="text1"/>
          <w:w w:val="150"/>
          <w:sz w:val="30"/>
          <w:szCs w:val="30"/>
          <w:highlight w:val="none"/>
          <w14:textFill>
            <w14:solidFill>
              <w14:schemeClr w14:val="tx1"/>
            </w14:solidFill>
          </w14:textFill>
        </w:rPr>
        <w:t>中华人民共和国工业和信息化部</w:t>
      </w:r>
      <w:r>
        <w:rPr>
          <w:rFonts w:ascii="黑体" w:hAnsi="黑体" w:eastAsia="黑体"/>
          <w:color w:val="000000" w:themeColor="text1"/>
          <w:w w:val="150"/>
          <w:sz w:val="30"/>
          <w:szCs w:val="30"/>
          <w:highlight w:val="none"/>
          <w14:textFill>
            <w14:solidFill>
              <w14:schemeClr w14:val="tx1"/>
            </w14:solidFill>
          </w14:textFill>
        </w:rPr>
        <w:t xml:space="preserve">  </w:t>
      </w:r>
      <w:r>
        <w:rPr>
          <w:rFonts w:hint="eastAsia" w:ascii="黑体" w:hAnsi="黑体" w:eastAsia="黑体"/>
          <w:color w:val="000000" w:themeColor="text1"/>
          <w:w w:val="150"/>
          <w:sz w:val="30"/>
          <w:szCs w:val="30"/>
          <w:highlight w:val="none"/>
          <w14:textFill>
            <w14:solidFill>
              <w14:schemeClr w14:val="tx1"/>
            </w14:solidFill>
          </w14:textFill>
        </w:rPr>
        <w:t>发布</w:t>
      </w:r>
    </w:p>
    <w:p w14:paraId="34353453">
      <w:pPr>
        <w:rPr>
          <w:color w:val="000000" w:themeColor="text1"/>
          <w:sz w:val="28"/>
          <w:szCs w:val="28"/>
          <w:highlight w:val="none"/>
          <w14:textFill>
            <w14:solidFill>
              <w14:schemeClr w14:val="tx1"/>
            </w14:solidFill>
          </w14:textFill>
        </w:rPr>
        <w:sectPr>
          <w:headerReference r:id="rId6" w:type="first"/>
          <w:footerReference r:id="rId7" w:type="default"/>
          <w:headerReference r:id="rId5" w:type="even"/>
          <w:footerReference r:id="rId8" w:type="even"/>
          <w:pgSz w:w="11906" w:h="16838"/>
          <w:pgMar w:top="1418" w:right="1418" w:bottom="1418" w:left="1418" w:header="851" w:footer="992" w:gutter="0"/>
          <w:pgNumType w:fmt="decimal"/>
          <w:cols w:space="425" w:num="1"/>
          <w:titlePg/>
          <w:docGrid w:type="lines" w:linePitch="312" w:charSpace="0"/>
        </w:sectPr>
      </w:pPr>
    </w:p>
    <w:p w14:paraId="128E9725">
      <w:pPr>
        <w:keepNext w:val="0"/>
        <w:keepLines w:val="0"/>
        <w:pageBreakBefore/>
        <w:widowControl w:val="0"/>
        <w:kinsoku/>
        <w:wordWrap/>
        <w:overflowPunct/>
        <w:topLinePunct w:val="0"/>
        <w:autoSpaceDE w:val="0"/>
        <w:autoSpaceDN w:val="0"/>
        <w:bidi w:val="0"/>
        <w:adjustRightInd/>
        <w:snapToGrid/>
        <w:spacing w:before="625" w:beforeLines="200" w:line="360" w:lineRule="auto"/>
        <w:jc w:val="center"/>
        <w:textAlignment w:val="bottom"/>
        <w:rPr>
          <w:rFonts w:hint="eastAsia" w:ascii="宋体" w:hAnsi="宋体" w:eastAsia="宋体" w:cs="宋体"/>
          <w:b w:val="0"/>
          <w:color w:val="000000" w:themeColor="text1"/>
          <w:w w:val="100"/>
          <w:sz w:val="40"/>
          <w:szCs w:val="40"/>
          <w:highlight w:val="none"/>
          <w14:textFill>
            <w14:solidFill>
              <w14:schemeClr w14:val="tx1"/>
            </w14:solidFill>
          </w14:textFill>
        </w:rPr>
      </w:pPr>
      <w:r>
        <w:rPr>
          <w:rFonts w:hint="eastAsia" w:ascii="宋体" w:hAnsi="宋体" w:eastAsia="宋体" w:cs="宋体"/>
          <w:b w:val="0"/>
          <w:color w:val="000000" w:themeColor="text1"/>
          <w:w w:val="100"/>
          <w:sz w:val="40"/>
          <w:szCs w:val="40"/>
          <w:highlight w:val="none"/>
          <w14:textFill>
            <w14:solidFill>
              <w14:schemeClr w14:val="tx1"/>
            </w14:solidFill>
          </w14:textFill>
        </w:rPr>
        <w:t>中华人民共和国化工行业标准</w:t>
      </w:r>
    </w:p>
    <w:p w14:paraId="6A7DDEA7">
      <w:pPr>
        <w:spacing w:line="360" w:lineRule="auto"/>
        <w:rPr>
          <w:rFonts w:hint="eastAsia"/>
          <w:color w:val="000000" w:themeColor="text1"/>
          <w:szCs w:val="21"/>
          <w:highlight w:val="none"/>
          <w14:textFill>
            <w14:solidFill>
              <w14:schemeClr w14:val="tx1"/>
            </w14:solidFill>
          </w14:textFill>
        </w:rPr>
      </w:pPr>
    </w:p>
    <w:p w14:paraId="6535E58C">
      <w:pPr>
        <w:spacing w:line="360" w:lineRule="auto"/>
        <w:rPr>
          <w:rFonts w:hint="eastAsia"/>
          <w:color w:val="000000" w:themeColor="text1"/>
          <w:szCs w:val="21"/>
          <w:highlight w:val="none"/>
          <w14:textFill>
            <w14:solidFill>
              <w14:schemeClr w14:val="tx1"/>
            </w14:solidFill>
          </w14:textFill>
        </w:rPr>
      </w:pPr>
    </w:p>
    <w:p w14:paraId="16D036D8">
      <w:pPr>
        <w:pStyle w:val="51"/>
        <w:keepNext w:val="0"/>
        <w:keepLines w:val="0"/>
        <w:pageBreakBefore w:val="0"/>
        <w:framePr w:w="0" w:hRule="auto" w:wrap="auto" w:vAnchor="margin" w:hAnchor="text" w:xAlign="left" w:yAlign="inline"/>
        <w:widowControl w:val="0"/>
        <w:kinsoku/>
        <w:wordWrap/>
        <w:overflowPunct/>
        <w:topLinePunct w:val="0"/>
        <w:autoSpaceDE/>
        <w:autoSpaceDN/>
        <w:bidi w:val="0"/>
        <w:adjustRightInd/>
        <w:snapToGrid/>
        <w:spacing w:after="313" w:afterLines="100" w:line="240" w:lineRule="auto"/>
        <w:jc w:val="center"/>
        <w:textAlignment w:val="center"/>
        <w:rPr>
          <w:rFonts w:hint="eastAsia"/>
          <w:color w:val="000000" w:themeColor="text1"/>
          <w:spacing w:val="100"/>
          <w:szCs w:val="52"/>
          <w:highlight w:val="none"/>
          <w14:textFill>
            <w14:solidFill>
              <w14:schemeClr w14:val="tx1"/>
            </w14:solidFill>
          </w14:textFill>
        </w:rPr>
      </w:pPr>
      <w:r>
        <w:rPr>
          <w:rFonts w:hint="eastAsia"/>
          <w:color w:val="000000" w:themeColor="text1"/>
          <w:spacing w:val="100"/>
          <w:szCs w:val="52"/>
          <w:highlight w:val="none"/>
          <w14:textFill>
            <w14:solidFill>
              <w14:schemeClr w14:val="tx1"/>
            </w14:solidFill>
          </w14:textFill>
        </w:rPr>
        <w:t>化工企业照明设计规范</w:t>
      </w:r>
    </w:p>
    <w:p w14:paraId="323C0167">
      <w:pPr>
        <w:pStyle w:val="54"/>
        <w:spacing w:before="0" w:line="360" w:lineRule="auto"/>
        <w:rPr>
          <w:rFonts w:hint="eastAsia" w:eastAsia="宋体"/>
          <w:color w:val="000000" w:themeColor="text1"/>
          <w:sz w:val="32"/>
          <w:szCs w:val="32"/>
          <w:highlight w:val="none"/>
          <w14:textFill>
            <w14:solidFill>
              <w14:schemeClr w14:val="tx1"/>
            </w14:solidFill>
          </w14:textFill>
        </w:rPr>
      </w:pPr>
      <w:r>
        <w:rPr>
          <w:rFonts w:hint="eastAsia" w:eastAsia="宋体"/>
          <w:color w:val="000000" w:themeColor="text1"/>
          <w:sz w:val="32"/>
          <w:szCs w:val="32"/>
          <w:highlight w:val="none"/>
          <w14:textFill>
            <w14:solidFill>
              <w14:schemeClr w14:val="tx1"/>
            </w14:solidFill>
          </w14:textFill>
        </w:rPr>
        <w:t>Code for lighting design of chemical industry</w:t>
      </w:r>
    </w:p>
    <w:p w14:paraId="47797B52">
      <w:pPr>
        <w:pStyle w:val="54"/>
        <w:spacing w:before="0" w:line="360" w:lineRule="auto"/>
        <w:rPr>
          <w:rFonts w:hint="eastAsia" w:eastAsia="宋体"/>
          <w:color w:val="000000" w:themeColor="text1"/>
          <w:sz w:val="32"/>
          <w:szCs w:val="32"/>
          <w:highlight w:val="none"/>
          <w14:textFill>
            <w14:solidFill>
              <w14:schemeClr w14:val="tx1"/>
            </w14:solidFill>
          </w14:textFill>
        </w:rPr>
      </w:pPr>
    </w:p>
    <w:p w14:paraId="368DF516">
      <w:pPr>
        <w:pStyle w:val="54"/>
        <w:keepNext w:val="0"/>
        <w:keepLines w:val="0"/>
        <w:pageBreakBefore w:val="0"/>
        <w:widowControl w:val="0"/>
        <w:kinsoku/>
        <w:wordWrap/>
        <w:overflowPunct/>
        <w:topLinePunct w:val="0"/>
        <w:autoSpaceDE/>
        <w:autoSpaceDN/>
        <w:bidi w:val="0"/>
        <w:adjustRightInd/>
        <w:snapToGrid/>
        <w:spacing w:before="0" w:line="240" w:lineRule="auto"/>
        <w:textAlignment w:val="auto"/>
        <w:rPr>
          <w:rFonts w:eastAsia="宋体"/>
          <w:color w:val="000000" w:themeColor="text1"/>
          <w:sz w:val="32"/>
          <w:szCs w:val="32"/>
          <w:highlight w:val="none"/>
          <w14:textFill>
            <w14:solidFill>
              <w14:schemeClr w14:val="tx1"/>
            </w14:solidFill>
          </w14:textFill>
        </w:rPr>
      </w:pPr>
      <w:r>
        <w:rPr>
          <w:rFonts w:hint="eastAsia" w:eastAsia="宋体"/>
          <w:color w:val="000000" w:themeColor="text1"/>
          <w:sz w:val="32"/>
          <w:szCs w:val="32"/>
          <w:highlight w:val="none"/>
          <w14:textFill>
            <w14:solidFill>
              <w14:schemeClr w14:val="tx1"/>
            </w14:solidFill>
          </w14:textFill>
        </w:rPr>
        <w:t>HG/T</w:t>
      </w:r>
      <w:r>
        <w:rPr>
          <w:rFonts w:hint="eastAsia"/>
          <w:color w:val="000000" w:themeColor="text1"/>
          <w:sz w:val="32"/>
          <w:szCs w:val="32"/>
          <w:highlight w:val="none"/>
          <w:lang w:val="en-US" w:eastAsia="zh-CN"/>
          <w14:textFill>
            <w14:solidFill>
              <w14:schemeClr w14:val="tx1"/>
            </w14:solidFill>
          </w14:textFill>
        </w:rPr>
        <w:t xml:space="preserve"> </w:t>
      </w:r>
      <w:r>
        <w:rPr>
          <w:rFonts w:hint="eastAsia" w:eastAsia="宋体"/>
          <w:color w:val="000000" w:themeColor="text1"/>
          <w:sz w:val="32"/>
          <w:szCs w:val="32"/>
          <w:highlight w:val="none"/>
          <w14:textFill>
            <w14:solidFill>
              <w14:schemeClr w14:val="tx1"/>
            </w14:solidFill>
          </w14:textFill>
        </w:rPr>
        <w:t>20586-20XX</w:t>
      </w:r>
    </w:p>
    <w:p w14:paraId="6D40D63F">
      <w:pPr>
        <w:pStyle w:val="51"/>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14:paraId="44D95C40">
      <w:pPr>
        <w:pStyle w:val="51"/>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14:paraId="4ACBF584">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主编单位：</w:t>
      </w:r>
      <w:r>
        <w:rPr>
          <w:rFonts w:hint="eastAsia" w:ascii="宋体" w:hAnsi="宋体" w:cs="宋体"/>
          <w:color w:val="000000" w:themeColor="text1"/>
          <w:kern w:val="0"/>
          <w:sz w:val="28"/>
          <w:szCs w:val="28"/>
          <w:highlight w:val="none"/>
          <w14:textFill>
            <w14:solidFill>
              <w14:schemeClr w14:val="tx1"/>
            </w14:solidFill>
          </w14:textFill>
        </w:rPr>
        <w:t>中国天辰工程有限公司</w:t>
      </w:r>
    </w:p>
    <w:p w14:paraId="0F21F605">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批准部门：</w:t>
      </w:r>
      <w:bookmarkStart w:id="1" w:name="OLE_LINK14"/>
      <w:bookmarkStart w:id="2" w:name="OLE_LINK13"/>
      <w:r>
        <w:rPr>
          <w:rFonts w:hint="eastAsia"/>
          <w:color w:val="000000" w:themeColor="text1"/>
          <w:sz w:val="28"/>
          <w:szCs w:val="28"/>
          <w:highlight w:val="none"/>
          <w14:textFill>
            <w14:solidFill>
              <w14:schemeClr w14:val="tx1"/>
            </w14:solidFill>
          </w14:textFill>
        </w:rPr>
        <w:t>中华人民共和国工业和信息化部</w:t>
      </w:r>
      <w:bookmarkEnd w:id="1"/>
      <w:bookmarkEnd w:id="2"/>
    </w:p>
    <w:p w14:paraId="63DB78A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实施日期：20XX年XX月XX日</w:t>
      </w:r>
    </w:p>
    <w:p w14:paraId="688A226A">
      <w:pPr>
        <w:spacing w:line="360" w:lineRule="auto"/>
        <w:rPr>
          <w:rFonts w:hint="eastAsia"/>
          <w:color w:val="000000" w:themeColor="text1"/>
          <w:sz w:val="28"/>
          <w:szCs w:val="28"/>
          <w:highlight w:val="none"/>
          <w14:textFill>
            <w14:solidFill>
              <w14:schemeClr w14:val="tx1"/>
            </w14:solidFill>
          </w14:textFill>
        </w:rPr>
      </w:pPr>
    </w:p>
    <w:p w14:paraId="647A648E">
      <w:pPr>
        <w:spacing w:line="360" w:lineRule="auto"/>
        <w:rPr>
          <w:rFonts w:hint="eastAsia"/>
          <w:color w:val="000000" w:themeColor="text1"/>
          <w:sz w:val="28"/>
          <w:szCs w:val="28"/>
          <w:highlight w:val="none"/>
          <w14:textFill>
            <w14:solidFill>
              <w14:schemeClr w14:val="tx1"/>
            </w14:solidFill>
          </w14:textFill>
        </w:rPr>
      </w:pPr>
    </w:p>
    <w:p w14:paraId="3D116746">
      <w:pPr>
        <w:spacing w:line="360" w:lineRule="auto"/>
        <w:rPr>
          <w:rFonts w:hint="eastAsia"/>
          <w:color w:val="000000" w:themeColor="text1"/>
          <w:sz w:val="28"/>
          <w:szCs w:val="28"/>
          <w:highlight w:val="none"/>
          <w14:textFill>
            <w14:solidFill>
              <w14:schemeClr w14:val="tx1"/>
            </w14:solidFill>
          </w14:textFill>
        </w:rPr>
      </w:pPr>
    </w:p>
    <w:p w14:paraId="383C63BC">
      <w:pPr>
        <w:spacing w:line="360" w:lineRule="auto"/>
        <w:rPr>
          <w:rFonts w:hint="eastAsia"/>
          <w:color w:val="000000" w:themeColor="text1"/>
          <w:sz w:val="28"/>
          <w:szCs w:val="28"/>
          <w:highlight w:val="none"/>
          <w14:textFill>
            <w14:solidFill>
              <w14:schemeClr w14:val="tx1"/>
            </w14:solidFill>
          </w14:textFill>
        </w:rPr>
      </w:pPr>
    </w:p>
    <w:p w14:paraId="69EADE44">
      <w:pPr>
        <w:spacing w:line="360" w:lineRule="auto"/>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×××出版社</w:t>
      </w:r>
    </w:p>
    <w:p w14:paraId="07300055">
      <w:pPr>
        <w:spacing w:line="360" w:lineRule="auto"/>
        <w:jc w:val="center"/>
        <w:rPr>
          <w:rFonts w:hint="eastAsia" w:ascii="仿宋_GB2312" w:eastAsia="仿宋_GB2312"/>
          <w:color w:val="000000" w:themeColor="text1"/>
          <w:sz w:val="32"/>
          <w:szCs w:val="32"/>
          <w:highlight w:val="none"/>
          <w14:textFill>
            <w14:solidFill>
              <w14:schemeClr w14:val="tx1"/>
            </w14:solidFill>
          </w14:textFill>
        </w:rPr>
        <w:sectPr>
          <w:footerReference r:id="rId9" w:type="default"/>
          <w:pgSz w:w="11907" w:h="16840"/>
          <w:pgMar w:top="1440" w:right="1797" w:bottom="1440" w:left="1797" w:header="851" w:footer="992" w:gutter="0"/>
          <w:pgNumType w:fmt="decimal" w:start="1"/>
          <w:cols w:space="425" w:num="1"/>
          <w:docGrid w:type="lines" w:linePitch="312" w:charSpace="0"/>
        </w:sectPr>
      </w:pPr>
      <w:r>
        <w:rPr>
          <w:rFonts w:hint="eastAsia"/>
          <w:color w:val="000000" w:themeColor="text1"/>
          <w:sz w:val="28"/>
          <w:szCs w:val="28"/>
          <w:highlight w:val="none"/>
          <w14:textFill>
            <w14:solidFill>
              <w14:schemeClr w14:val="tx1"/>
            </w14:solidFill>
          </w14:textFill>
        </w:rPr>
        <w:t xml:space="preserve">20XX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w:t>
      </w:r>
    </w:p>
    <w:p w14:paraId="64786704">
      <w:pPr>
        <w:pStyle w:val="2"/>
        <w:keepNext/>
        <w:keepLines/>
        <w:pageBreakBefore/>
        <w:widowControl w:val="0"/>
        <w:tabs>
          <w:tab w:val="left" w:pos="3790"/>
        </w:tabs>
        <w:kinsoku/>
        <w:wordWrap/>
        <w:overflowPunct/>
        <w:topLinePunct w:val="0"/>
        <w:autoSpaceDE/>
        <w:autoSpaceDN/>
        <w:bidi w:val="0"/>
        <w:adjustRightInd/>
        <w:snapToGrid/>
        <w:spacing w:before="0" w:after="160" w:line="240" w:lineRule="auto"/>
        <w:ind w:firstLine="0" w:firstLineChars="0"/>
        <w:jc w:val="center"/>
        <w:textAlignment w:val="auto"/>
        <w:rPr>
          <w:rFonts w:hint="eastAsia" w:ascii="黑体" w:hAnsi="黑体" w:eastAsia="黑体" w:cs="黑体"/>
          <w:b w:val="0"/>
          <w:bCs/>
          <w:color w:val="000000" w:themeColor="text1"/>
          <w:highlight w:val="none"/>
          <w:lang w:val="en-US" w:eastAsia="zh-CN"/>
          <w14:textFill>
            <w14:solidFill>
              <w14:schemeClr w14:val="tx1"/>
            </w14:solidFill>
          </w14:textFill>
        </w:rPr>
      </w:pPr>
      <w:bookmarkStart w:id="3" w:name="_Toc3155"/>
      <w:r>
        <w:rPr>
          <w:rFonts w:hint="eastAsia" w:ascii="黑体" w:hAnsi="黑体" w:eastAsia="黑体" w:cs="黑体"/>
          <w:b w:val="0"/>
          <w:bCs/>
          <w:color w:val="000000" w:themeColor="text1"/>
          <w:highlight w:val="none"/>
          <w:lang w:val="en-US" w:eastAsia="zh-CN"/>
          <w14:textFill>
            <w14:solidFill>
              <w14:schemeClr w14:val="tx1"/>
            </w14:solidFill>
          </w14:textFill>
        </w:rPr>
        <w:t>前    言</w:t>
      </w:r>
      <w:bookmarkEnd w:id="3"/>
    </w:p>
    <w:p w14:paraId="2F061418">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根据工业和信息化部办公厅《关于印发2024年第五批行业标准制修订和外文版项目计划的通知》（工信厅科函〔2024〕463号）的要求，中国石油和化工勘察设计协会为技术归口单位，协会电气设计专业委员会负责组织，中国天辰工程有限公司为主编单位，会同参编单位编制。</w:t>
      </w:r>
    </w:p>
    <w:p w14:paraId="1125F2F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本规范自实施之日起代替《化工企业照明设计技术规定》HG/T 20586—1996。</w:t>
      </w:r>
    </w:p>
    <w:p w14:paraId="20FF24B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在编制过程中，编制组进行了广泛的调查研究，认真总结了化工企业的建构筑物布置特点和人员活动特点，同时参考了国内外项目设计的实际经验，明确了化工企业各场所的照明设计要求，突出了化工企业照明需求的行业特点。在广泛征求意见的基础上，本规范最后经审查定稿。</w:t>
      </w:r>
    </w:p>
    <w:p w14:paraId="335EE134">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本规范共分8章，主要技术内容包括：总则、术语、照明方式和照明种类、光源和灯具、照明质量、灯具布置、照明配电及控制、照明节能。</w:t>
      </w:r>
    </w:p>
    <w:p w14:paraId="4B3F188E">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由工业和信息化部负责管理，由中国石油和化工勘察设计协会技术归口，协会电气设计专业委员会负责日常管理，由中国天辰工程有限公司负责具体技术内容的解释。在执行过程中如有意见和建议，请与中国天辰工程有限公司联系（联系地址：天津市北辰区京津路一号，邮编：300400，电话：022-23407580；电子邮箱：qixb@cntcc.cn）以供今后修订时参考。</w:t>
      </w:r>
    </w:p>
    <w:p w14:paraId="4EAE9F3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本规范主编单位、参编单位、主要起草人和主要审查人</w:t>
      </w:r>
    </w:p>
    <w:p w14:paraId="4B211AA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主编单位：</w:t>
      </w:r>
      <w:r>
        <w:rPr>
          <w:rFonts w:hint="eastAsia"/>
          <w:color w:val="000000" w:themeColor="text1"/>
          <w:sz w:val="24"/>
          <w:szCs w:val="24"/>
          <w:highlight w:val="none"/>
          <w:lang w:val="en-US" w:eastAsia="zh-CN"/>
          <w14:textFill>
            <w14:solidFill>
              <w14:schemeClr w14:val="tx1"/>
            </w14:solidFill>
          </w14:textFill>
        </w:rPr>
        <w:t>中国天辰工程有限公司</w:t>
      </w:r>
    </w:p>
    <w:p w14:paraId="6B58E2C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参编单位：</w:t>
      </w:r>
      <w:r>
        <w:rPr>
          <w:rFonts w:hint="eastAsia" w:asciiTheme="minorEastAsia" w:hAnsiTheme="minorEastAsia" w:cstheme="minorEastAsia"/>
          <w:color w:val="000000" w:themeColor="text1"/>
          <w:sz w:val="24"/>
          <w:szCs w:val="24"/>
          <w:highlight w:val="none"/>
          <w14:textFill>
            <w14:solidFill>
              <w14:schemeClr w14:val="tx1"/>
            </w14:solidFill>
          </w14:textFill>
        </w:rPr>
        <w:t>中国寰球工程有限公司北京分公司</w:t>
      </w:r>
    </w:p>
    <w:p w14:paraId="6469FAE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中国五环工程有限公司</w:t>
      </w:r>
    </w:p>
    <w:p w14:paraId="4F0FE7F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华陆工程科技有限责任公司</w:t>
      </w:r>
    </w:p>
    <w:p w14:paraId="0D6D4303">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"http://www.baidu.com/link?url=5gGE3S59_7sjQ6bMavbYR2lwkm0tjGYAYYm4u3noGjYoHSvDdy2B_aeG0uJsh39_" \t "https://www.baidu.com/_blank" </w:instrText>
      </w:r>
      <w:r>
        <w:rPr>
          <w:color w:val="000000" w:themeColor="text1"/>
          <w:highlight w:val="none"/>
          <w14:textFill>
            <w14:solidFill>
              <w14:schemeClr w14:val="tx1"/>
            </w14:solidFill>
          </w14:textFill>
        </w:rPr>
        <w:fldChar w:fldCharType="separate"/>
      </w:r>
      <w:r>
        <w:rPr>
          <w:rFonts w:hint="eastAsia" w:asciiTheme="minorEastAsia" w:hAnsiTheme="minorEastAsia" w:cstheme="minorEastAsia"/>
          <w:color w:val="000000" w:themeColor="text1"/>
          <w:sz w:val="24"/>
          <w:szCs w:val="24"/>
          <w:highlight w:val="none"/>
          <w14:textFill>
            <w14:solidFill>
              <w14:schemeClr w14:val="tx1"/>
            </w14:solidFill>
          </w14:textFill>
        </w:rPr>
        <w:t>中国成达工程有限公司</w:t>
      </w:r>
      <w:r>
        <w:rPr>
          <w:rFonts w:hint="eastAsia" w:asciiTheme="minorEastAsia" w:hAnsiTheme="minorEastAsia" w:cstheme="minorEastAsia"/>
          <w:color w:val="000000" w:themeColor="text1"/>
          <w:sz w:val="24"/>
          <w:szCs w:val="24"/>
          <w:highlight w:val="none"/>
          <w14:textFill>
            <w14:solidFill>
              <w14:schemeClr w14:val="tx1"/>
            </w14:solidFill>
          </w14:textFill>
        </w:rPr>
        <w:fldChar w:fldCharType="end"/>
      </w:r>
    </w:p>
    <w:p w14:paraId="18083ACD">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中石化宁波工程公司</w:t>
      </w:r>
    </w:p>
    <w:p w14:paraId="008A44D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神华工程技术有限公司</w:t>
      </w:r>
    </w:p>
    <w:p w14:paraId="5BF338B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14:textFill>
            <w14:solidFill>
              <w14:schemeClr w14:val="tx1"/>
            </w14:solidFill>
          </w14:textFill>
        </w:rPr>
        <w:t>航天长征化学工程股份有限公司</w:t>
      </w:r>
    </w:p>
    <w:p w14:paraId="2242800F">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华荣科技股份有限公司</w:t>
      </w:r>
    </w:p>
    <w:p w14:paraId="6C03BC8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新黎明科技股份有限公司</w:t>
      </w:r>
    </w:p>
    <w:p w14:paraId="06FB202B">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主要起草人：</w:t>
      </w:r>
    </w:p>
    <w:p w14:paraId="248E0F9A">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主要审查人：</w:t>
      </w:r>
    </w:p>
    <w:p w14:paraId="0151AB88">
      <w:pPr>
        <w:pStyle w:val="13"/>
        <w:keepNext w:val="0"/>
        <w:keepLines w:val="0"/>
        <w:pageBreakBefore/>
        <w:widowControl w:val="0"/>
        <w:tabs>
          <w:tab w:val="right" w:leader="dot" w:pos="8313"/>
        </w:tabs>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sectPr>
          <w:footerReference r:id="rId10" w:type="default"/>
          <w:pgSz w:w="11907" w:h="16840"/>
          <w:pgMar w:top="1440" w:right="1797" w:bottom="1440" w:left="1797" w:header="851" w:footer="992" w:gutter="0"/>
          <w:pgNumType w:fmt="decimal" w:start="1"/>
          <w:cols w:space="425" w:num="1"/>
          <w:docGrid w:type="lines" w:linePitch="312" w:charSpace="0"/>
        </w:sectPr>
      </w:pPr>
    </w:p>
    <w:p w14:paraId="4C3389F2">
      <w:pPr>
        <w:pStyle w:val="13"/>
        <w:keepNext w:val="0"/>
        <w:keepLines w:val="0"/>
        <w:pageBreakBefore/>
        <w:widowControl w:val="0"/>
        <w:tabs>
          <w:tab w:val="right" w:leader="dot" w:pos="8313"/>
        </w:tabs>
        <w:kinsoku/>
        <w:wordWrap/>
        <w:overflowPunct/>
        <w:topLinePunct w:val="0"/>
        <w:autoSpaceDE/>
        <w:autoSpaceDN/>
        <w:bidi w:val="0"/>
        <w:adjustRightInd/>
        <w:snapToGrid/>
        <w:jc w:val="center"/>
        <w:textAlignment w:val="auto"/>
        <w:rPr>
          <w:rFonts w:hint="default"/>
          <w:b w:val="0"/>
          <w:bCs/>
          <w:color w:val="000000" w:themeColor="text1"/>
          <w:sz w:val="28"/>
          <w:szCs w:val="28"/>
          <w:highlight w:val="none"/>
          <w:lang w:val="en-US" w:eastAsia="zh-CN"/>
          <w14:textFill>
            <w14:solidFill>
              <w14:schemeClr w14:val="tx1"/>
            </w14:solidFill>
          </w14:textFill>
        </w:rPr>
      </w:pPr>
      <w:r>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t>目    次</w:t>
      </w:r>
    </w:p>
    <w:p w14:paraId="41F9169F">
      <w:pPr>
        <w:pStyle w:val="13"/>
        <w:tabs>
          <w:tab w:val="right" w:leader="dot" w:pos="8313"/>
        </w:tabs>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TOC \o "1-3" \h \u </w:instrText>
      </w:r>
      <w:r>
        <w:rPr>
          <w:rFonts w:hint="eastAsia"/>
          <w:color w:val="000000" w:themeColor="text1"/>
          <w:sz w:val="24"/>
          <w:szCs w:val="24"/>
          <w:highlight w:val="none"/>
          <w:lang w:val="en-US" w:eastAsia="zh-CN"/>
          <w14:textFill>
            <w14:solidFill>
              <w14:schemeClr w14:val="tx1"/>
            </w14:solidFill>
          </w14:textFill>
        </w:rPr>
        <w:fldChar w:fldCharType="separate"/>
      </w:r>
    </w:p>
    <w:p w14:paraId="254D04FD">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_Toc19067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1  总则</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_Toc19067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1</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67A7E9E6">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eastAsia"/>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_Toc27016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2  术语</w:t>
      </w:r>
      <w:r>
        <w:rPr>
          <w:rFonts w:hint="eastAsia"/>
          <w:color w:val="000000" w:themeColor="text1"/>
          <w:sz w:val="24"/>
          <w:szCs w:val="24"/>
          <w:highlight w:val="none"/>
          <w:lang w:eastAsia="zh-CN"/>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fldChar w:fldCharType="begin"/>
      </w:r>
      <w:r>
        <w:rPr>
          <w:rFonts w:hint="eastAsia"/>
          <w:color w:val="000000" w:themeColor="text1"/>
          <w:sz w:val="24"/>
          <w:szCs w:val="24"/>
          <w:highlight w:val="none"/>
          <w:lang w:eastAsia="zh-CN"/>
          <w14:textFill>
            <w14:solidFill>
              <w14:schemeClr w14:val="tx1"/>
            </w14:solidFill>
          </w14:textFill>
        </w:rPr>
        <w:instrText xml:space="preserve"> PAGEREF _Toc27016 \h </w:instrText>
      </w:r>
      <w:r>
        <w:rPr>
          <w:rFonts w:hint="eastAsia"/>
          <w:color w:val="000000" w:themeColor="text1"/>
          <w:sz w:val="24"/>
          <w:szCs w:val="24"/>
          <w:highlight w:val="none"/>
          <w:lang w:eastAsia="zh-CN"/>
          <w14:textFill>
            <w14:solidFill>
              <w14:schemeClr w14:val="tx1"/>
            </w14:solidFill>
          </w14:textFill>
        </w:rPr>
        <w:fldChar w:fldCharType="separate"/>
      </w:r>
      <w:r>
        <w:rPr>
          <w:rFonts w:hint="eastAsia"/>
          <w:color w:val="000000" w:themeColor="text1"/>
          <w:sz w:val="24"/>
          <w:szCs w:val="24"/>
          <w:highlight w:val="none"/>
          <w:lang w:eastAsia="zh-CN"/>
          <w14:textFill>
            <w14:solidFill>
              <w14:schemeClr w14:val="tx1"/>
            </w14:solidFill>
          </w14:textFill>
        </w:rPr>
        <w:t>2</w:t>
      </w:r>
      <w:r>
        <w:rPr>
          <w:rFonts w:hint="eastAsia"/>
          <w:color w:val="000000" w:themeColor="text1"/>
          <w:sz w:val="24"/>
          <w:szCs w:val="24"/>
          <w:highlight w:val="none"/>
          <w:lang w:eastAsia="zh-CN"/>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1AC9B19D">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_Toc998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3  照明方式和照明种类</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_Toc998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5</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0A694579">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_Toc18153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4  光源和灯具</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_Toc18153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7</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AB87C41">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_Toc7547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照明光源</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_Toc7547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7</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76C18AAD">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_Toc31016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照明灯具及附属装置</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_Toc31016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8</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75018F2F">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_Toc19817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5  照明质量</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fldChar w:fldCharType="begin"/>
      </w:r>
      <w:r>
        <w:rPr>
          <w:color w:val="000000" w:themeColor="text1"/>
          <w:sz w:val="24"/>
          <w:szCs w:val="24"/>
          <w:highlight w:val="none"/>
          <w14:textFill>
            <w14:solidFill>
              <w14:schemeClr w14:val="tx1"/>
            </w14:solidFill>
          </w14:textFill>
        </w:rPr>
        <w:instrText xml:space="preserve"> PAGEREF _Toc19817 \h </w:instrText>
      </w:r>
      <w:r>
        <w:rPr>
          <w:color w:val="000000" w:themeColor="text1"/>
          <w:sz w:val="24"/>
          <w:szCs w:val="24"/>
          <w:highlight w:val="none"/>
          <w14:textFill>
            <w14:solidFill>
              <w14:schemeClr w14:val="tx1"/>
            </w14:solidFill>
          </w14:textFill>
        </w:rPr>
        <w:fldChar w:fldCharType="separate"/>
      </w:r>
      <w:r>
        <w:rPr>
          <w:color w:val="000000" w:themeColor="text1"/>
          <w:sz w:val="24"/>
          <w:szCs w:val="24"/>
          <w:highlight w:val="none"/>
          <w14:textFill>
            <w14:solidFill>
              <w14:schemeClr w14:val="tx1"/>
            </w14:solidFill>
          </w14:textFill>
        </w:rPr>
        <w:t>1</w:t>
      </w:r>
      <w:r>
        <w:rPr>
          <w:color w:val="000000" w:themeColor="text1"/>
          <w:sz w:val="24"/>
          <w:szCs w:val="24"/>
          <w:highlight w:val="none"/>
          <w14:textFill>
            <w14:solidFill>
              <w14:schemeClr w14:val="tx1"/>
            </w14:solidFill>
          </w14:textFill>
        </w:rPr>
        <w:fldChar w:fldCharType="end"/>
      </w:r>
      <w:r>
        <w:rPr>
          <w:rFonts w:hint="eastAsia"/>
          <w:color w:val="000000" w:themeColor="text1"/>
          <w:sz w:val="24"/>
          <w:szCs w:val="24"/>
          <w:highlight w:val="none"/>
          <w:lang w:val="en-US" w:eastAsia="zh-CN"/>
          <w14:textFill>
            <w14:solidFill>
              <w14:schemeClr w14:val="tx1"/>
            </w14:solidFill>
          </w14:textFill>
        </w:rPr>
        <w:t>0</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7F5C2E20">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_Toc5396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6  灯具布置</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13</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4BE66981">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_Toc21582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6.1  灯具布置</w:t>
      </w:r>
      <w:r>
        <w:rPr>
          <w:rFonts w:hint="eastAsia"/>
          <w:color w:val="000000" w:themeColor="text1"/>
          <w:sz w:val="24"/>
          <w:szCs w:val="24"/>
          <w:highlight w:val="none"/>
          <w:lang w:val="en-US" w:eastAsia="zh-CN"/>
          <w14:textFill>
            <w14:solidFill>
              <w14:schemeClr w14:val="tx1"/>
            </w14:solidFill>
          </w14:textFill>
        </w:rPr>
        <w:tab/>
      </w:r>
      <w:r>
        <w:rPr>
          <w:rFonts w:hint="eastAsia"/>
          <w:color w:val="000000" w:themeColor="text1"/>
          <w:sz w:val="24"/>
          <w:szCs w:val="24"/>
          <w:highlight w:val="none"/>
          <w:lang w:val="en-US" w:eastAsia="zh-CN"/>
          <w14:textFill>
            <w14:solidFill>
              <w14:schemeClr w14:val="tx1"/>
            </w14:solidFill>
          </w14:textFill>
        </w:rPr>
        <w:t>（13）</w:t>
      </w:r>
      <w:r>
        <w:rPr>
          <w:rFonts w:hint="eastAsia"/>
          <w:color w:val="000000" w:themeColor="text1"/>
          <w:sz w:val="24"/>
          <w:szCs w:val="24"/>
          <w:highlight w:val="none"/>
          <w:lang w:val="en-US" w:eastAsia="zh-CN"/>
          <w14:textFill>
            <w14:solidFill>
              <w14:schemeClr w14:val="tx1"/>
            </w14:solidFill>
          </w14:textFill>
        </w:rPr>
        <w:fldChar w:fldCharType="end"/>
      </w:r>
    </w:p>
    <w:p w14:paraId="104CB927">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_Toc6101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6.2  障碍照明</w:t>
      </w:r>
      <w:r>
        <w:rPr>
          <w:rFonts w:hint="eastAsia"/>
          <w:color w:val="000000" w:themeColor="text1"/>
          <w:sz w:val="24"/>
          <w:szCs w:val="24"/>
          <w:highlight w:val="none"/>
          <w:lang w:val="en-US" w:eastAsia="zh-CN"/>
          <w14:textFill>
            <w14:solidFill>
              <w14:schemeClr w14:val="tx1"/>
            </w14:solidFill>
          </w14:textFill>
        </w:rPr>
        <w:tab/>
      </w:r>
      <w:r>
        <w:rPr>
          <w:rFonts w:hint="eastAsia"/>
          <w:color w:val="000000" w:themeColor="text1"/>
          <w:sz w:val="24"/>
          <w:szCs w:val="24"/>
          <w:highlight w:val="none"/>
          <w:lang w:val="en-US" w:eastAsia="zh-CN"/>
          <w14:textFill>
            <w14:solidFill>
              <w14:schemeClr w14:val="tx1"/>
            </w14:solidFill>
          </w14:textFill>
        </w:rPr>
        <w:t>（13）</w:t>
      </w:r>
      <w:r>
        <w:rPr>
          <w:rFonts w:hint="eastAsia"/>
          <w:color w:val="000000" w:themeColor="text1"/>
          <w:sz w:val="24"/>
          <w:szCs w:val="24"/>
          <w:highlight w:val="none"/>
          <w:lang w:val="en-US" w:eastAsia="zh-CN"/>
          <w14:textFill>
            <w14:solidFill>
              <w14:schemeClr w14:val="tx1"/>
            </w14:solidFill>
          </w14:textFill>
        </w:rPr>
        <w:fldChar w:fldCharType="end"/>
      </w:r>
    </w:p>
    <w:p w14:paraId="6F342820">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_Toc19711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  照明配电及控制</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15</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072D385B">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_Toc2481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7.1  照明电压</w:t>
      </w:r>
      <w:r>
        <w:rPr>
          <w:rFonts w:hint="eastAsia"/>
          <w:color w:val="000000" w:themeColor="text1"/>
          <w:sz w:val="24"/>
          <w:szCs w:val="24"/>
          <w:highlight w:val="none"/>
          <w:lang w:val="en-US" w:eastAsia="zh-CN"/>
          <w14:textFill>
            <w14:solidFill>
              <w14:schemeClr w14:val="tx1"/>
            </w14:solidFill>
          </w14:textFill>
        </w:rPr>
        <w:tab/>
      </w:r>
      <w:r>
        <w:rPr>
          <w:rFonts w:hint="eastAsia"/>
          <w:color w:val="000000" w:themeColor="text1"/>
          <w:sz w:val="24"/>
          <w:szCs w:val="24"/>
          <w:highlight w:val="none"/>
          <w:lang w:val="en-US" w:eastAsia="zh-CN"/>
          <w14:textFill>
            <w14:solidFill>
              <w14:schemeClr w14:val="tx1"/>
            </w14:solidFill>
          </w14:textFill>
        </w:rPr>
        <w:t>（15）</w:t>
      </w:r>
      <w:r>
        <w:rPr>
          <w:rFonts w:hint="eastAsia"/>
          <w:color w:val="000000" w:themeColor="text1"/>
          <w:sz w:val="24"/>
          <w:szCs w:val="24"/>
          <w:highlight w:val="none"/>
          <w:lang w:val="en-US" w:eastAsia="zh-CN"/>
          <w14:textFill>
            <w14:solidFill>
              <w14:schemeClr w14:val="tx1"/>
            </w14:solidFill>
          </w14:textFill>
        </w:rPr>
        <w:fldChar w:fldCharType="end"/>
      </w:r>
    </w:p>
    <w:p w14:paraId="40365836">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_Toc27837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7.2  照明配电系统</w:t>
      </w:r>
      <w:r>
        <w:rPr>
          <w:rFonts w:hint="eastAsia"/>
          <w:color w:val="000000" w:themeColor="text1"/>
          <w:sz w:val="24"/>
          <w:szCs w:val="24"/>
          <w:highlight w:val="none"/>
          <w:lang w:val="en-US" w:eastAsia="zh-CN"/>
          <w14:textFill>
            <w14:solidFill>
              <w14:schemeClr w14:val="tx1"/>
            </w14:solidFill>
          </w14:textFill>
        </w:rPr>
        <w:tab/>
      </w:r>
      <w:r>
        <w:rPr>
          <w:rFonts w:hint="eastAsia"/>
          <w:color w:val="000000" w:themeColor="text1"/>
          <w:sz w:val="24"/>
          <w:szCs w:val="24"/>
          <w:highlight w:val="none"/>
          <w:lang w:val="en-US" w:eastAsia="zh-CN"/>
          <w14:textFill>
            <w14:solidFill>
              <w14:schemeClr w14:val="tx1"/>
            </w14:solidFill>
          </w14:textFill>
        </w:rPr>
        <w:t>（16）</w:t>
      </w:r>
      <w:r>
        <w:rPr>
          <w:rFonts w:hint="eastAsia"/>
          <w:color w:val="000000" w:themeColor="text1"/>
          <w:sz w:val="24"/>
          <w:szCs w:val="24"/>
          <w:highlight w:val="none"/>
          <w:lang w:val="en-US" w:eastAsia="zh-CN"/>
          <w14:textFill>
            <w14:solidFill>
              <w14:schemeClr w14:val="tx1"/>
            </w14:solidFill>
          </w14:textFill>
        </w:rPr>
        <w:fldChar w:fldCharType="end"/>
      </w:r>
    </w:p>
    <w:p w14:paraId="7739FC4B">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firstLine="0" w:firstLineChars="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_Toc12068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7.3  照明控制</w:t>
      </w:r>
      <w:r>
        <w:rPr>
          <w:rFonts w:hint="eastAsia"/>
          <w:color w:val="000000" w:themeColor="text1"/>
          <w:sz w:val="24"/>
          <w:szCs w:val="24"/>
          <w:highlight w:val="none"/>
          <w:lang w:val="en-US" w:eastAsia="zh-CN"/>
          <w14:textFill>
            <w14:solidFill>
              <w14:schemeClr w14:val="tx1"/>
            </w14:solidFill>
          </w14:textFill>
        </w:rPr>
        <w:tab/>
      </w:r>
      <w:r>
        <w:rPr>
          <w:rFonts w:hint="eastAsia"/>
          <w:color w:val="000000" w:themeColor="text1"/>
          <w:sz w:val="24"/>
          <w:szCs w:val="24"/>
          <w:highlight w:val="none"/>
          <w:lang w:val="en-US" w:eastAsia="zh-CN"/>
          <w14:textFill>
            <w14:solidFill>
              <w14:schemeClr w14:val="tx1"/>
            </w14:solidFill>
          </w14:textFill>
        </w:rPr>
        <w:t>（19）</w:t>
      </w:r>
      <w:r>
        <w:rPr>
          <w:rFonts w:hint="eastAsia"/>
          <w:color w:val="000000" w:themeColor="text1"/>
          <w:sz w:val="24"/>
          <w:szCs w:val="24"/>
          <w:highlight w:val="none"/>
          <w:lang w:val="en-US" w:eastAsia="zh-CN"/>
          <w14:textFill>
            <w14:solidFill>
              <w14:schemeClr w14:val="tx1"/>
            </w14:solidFill>
          </w14:textFill>
        </w:rPr>
        <w:fldChar w:fldCharType="end"/>
      </w:r>
    </w:p>
    <w:p w14:paraId="7F4A942D">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_Toc16503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8  照明节能</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20</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A738670">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_Toc29013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本规范用词说明</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21</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443A4E84">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_Toc9451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引用标准目录</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22</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84BCC5A">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end"/>
      </w: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_Toc9451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附：条文说明</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23</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18FE9F53">
      <w:pPr>
        <w:pStyle w:val="13"/>
        <w:tabs>
          <w:tab w:val="right" w:leader="dot" w:pos="8313"/>
        </w:tabs>
        <w:rPr>
          <w:rFonts w:hint="eastAsia"/>
          <w:color w:val="000000" w:themeColor="text1"/>
          <w:sz w:val="28"/>
          <w:szCs w:val="28"/>
          <w:highlight w:val="none"/>
          <w:lang w:val="en-US" w:eastAsia="zh-CN"/>
          <w14:textFill>
            <w14:solidFill>
              <w14:schemeClr w14:val="tx1"/>
            </w14:solidFill>
          </w14:textFill>
        </w:rPr>
      </w:pPr>
    </w:p>
    <w:p w14:paraId="64C2821D">
      <w:pPr>
        <w:pStyle w:val="13"/>
        <w:keepNext w:val="0"/>
        <w:keepLines w:val="0"/>
        <w:pageBreakBefore/>
        <w:widowControl w:val="0"/>
        <w:tabs>
          <w:tab w:val="right" w:leader="dot" w:pos="8313"/>
        </w:tabs>
        <w:kinsoku/>
        <w:wordWrap/>
        <w:overflowPunct/>
        <w:topLinePunct w:val="0"/>
        <w:autoSpaceDE/>
        <w:autoSpaceDN/>
        <w:bidi w:val="0"/>
        <w:adjustRightInd/>
        <w:snapToGrid/>
        <w:spacing w:before="313" w:beforeLines="100" w:after="313" w:afterLines="100"/>
        <w:ind w:firstLine="0" w:firstLineChars="0"/>
        <w:jc w:val="center"/>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sectPr>
          <w:footerReference r:id="rId11" w:type="default"/>
          <w:pgSz w:w="11907" w:h="16840"/>
          <w:pgMar w:top="1440" w:right="1797" w:bottom="1440" w:left="1797" w:header="851" w:footer="992" w:gutter="0"/>
          <w:pgNumType w:fmt="decimal" w:start="1"/>
          <w:cols w:space="425" w:num="1"/>
          <w:docGrid w:type="lines" w:linePitch="312" w:charSpace="0"/>
        </w:sectPr>
      </w:pPr>
    </w:p>
    <w:p w14:paraId="5099B206">
      <w:pPr>
        <w:pStyle w:val="13"/>
        <w:keepNext w:val="0"/>
        <w:keepLines w:val="0"/>
        <w:pageBreakBefore/>
        <w:widowControl w:val="0"/>
        <w:tabs>
          <w:tab w:val="right" w:leader="dot" w:pos="8313"/>
        </w:tabs>
        <w:kinsoku/>
        <w:wordWrap/>
        <w:overflowPunct/>
        <w:topLinePunct w:val="0"/>
        <w:autoSpaceDE/>
        <w:autoSpaceDN/>
        <w:bidi w:val="0"/>
        <w:adjustRightInd/>
        <w:snapToGrid/>
        <w:spacing w:before="313" w:beforeLines="100" w:after="313" w:afterLines="100"/>
        <w:ind w:firstLine="0" w:firstLineChars="0"/>
        <w:jc w:val="center"/>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t>Contents</w:t>
      </w:r>
    </w:p>
    <w:p w14:paraId="3695EBF9">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TOC \o "1-3" \h \u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_Toc17367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1  General provisions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28A94FFA">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_Toc31193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2  Terms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4B227D6D">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_Toc14755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3  Lighting styles and lighting kinds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5</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1B1442A5">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_Toc24068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4   Light sources and luminaires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7</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618BBB58">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_Toc27158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Light </w:t>
      </w:r>
      <w:r>
        <w:rPr>
          <w:rFonts w:hint="eastAsia" w:cs="Times New Roman"/>
          <w:color w:val="000000" w:themeColor="text1"/>
          <w:sz w:val="24"/>
          <w:szCs w:val="24"/>
          <w:highlight w:val="none"/>
          <w:lang w:val="en-US" w:eastAsia="zh-CN"/>
          <w14:textFill>
            <w14:solidFill>
              <w14:schemeClr w14:val="tx1"/>
            </w14:solidFill>
          </w14:textFill>
        </w:rPr>
        <w:t>s</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ource</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7</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176AE82">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_Toc11506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lang w:val="en-US" w:eastAsia="zh-CN"/>
          <w14:textFill>
            <w14:solidFill>
              <w14:schemeClr w14:val="tx1"/>
            </w14:solidFill>
          </w14:textFill>
        </w:rPr>
        <w:t>Luminaires and accessories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8</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28C932EC">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_Toc30490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5  Lighting quality</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10</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6D3806DB">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_Toc1507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6  Arrangement of luminaires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13</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13411D4C">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 HYPERLINK \l _Toc31818 </w:instrTex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eastAsia"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Luminaires </w:t>
      </w:r>
      <w:r>
        <w:rPr>
          <w:rFonts w:hint="eastAsia" w:cs="Times New Roman"/>
          <w:color w:val="000000" w:themeColor="text1"/>
          <w:sz w:val="24"/>
          <w:szCs w:val="24"/>
          <w:highlight w:val="none"/>
          <w:lang w:val="en-US" w:eastAsia="zh-CN"/>
          <w14:textFill>
            <w14:solidFill>
              <w14:schemeClr w14:val="tx1"/>
            </w14:solidFill>
          </w14:textFill>
        </w:rPr>
        <w:t>a</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rrangement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ab/>
      </w:r>
      <w:r>
        <w:rPr>
          <w:rFonts w:hint="eastAsia" w:cs="Times New Roman"/>
          <w:color w:val="000000" w:themeColor="text1"/>
          <w:sz w:val="24"/>
          <w:szCs w:val="24"/>
          <w:highlight w:val="none"/>
          <w:lang w:val="en-US" w:eastAsia="zh-CN"/>
          <w14:textFill>
            <w14:solidFill>
              <w14:schemeClr w14:val="tx1"/>
            </w14:solidFill>
          </w14:textFill>
        </w:rPr>
        <w:t>（13）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end"/>
      </w:r>
    </w:p>
    <w:p w14:paraId="6D931665">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 HYPERLINK \l _Toc12570 </w:instrTex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6.</w:t>
      </w:r>
      <w:r>
        <w:rPr>
          <w:rFonts w:hint="eastAsia"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Obstacle </w:t>
      </w:r>
      <w:r>
        <w:rPr>
          <w:rFonts w:hint="eastAsia" w:cs="Times New Roman"/>
          <w:color w:val="000000" w:themeColor="text1"/>
          <w:sz w:val="24"/>
          <w:szCs w:val="24"/>
          <w:highlight w:val="none"/>
          <w:lang w:val="en-US" w:eastAsia="zh-CN"/>
          <w14:textFill>
            <w14:solidFill>
              <w14:schemeClr w14:val="tx1"/>
            </w14:solidFill>
          </w14:textFill>
        </w:rPr>
        <w:t>l</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ighting</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ab/>
      </w:r>
      <w:r>
        <w:rPr>
          <w:rFonts w:hint="eastAsia" w:cs="Times New Roman"/>
          <w:color w:val="000000" w:themeColor="text1"/>
          <w:sz w:val="24"/>
          <w:szCs w:val="24"/>
          <w:highlight w:val="none"/>
          <w:lang w:val="en-US" w:eastAsia="zh-CN"/>
          <w14:textFill>
            <w14:solidFill>
              <w14:schemeClr w14:val="tx1"/>
            </w14:solidFill>
          </w14:textFill>
        </w:rPr>
        <w:t>（13）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end"/>
      </w:r>
    </w:p>
    <w:p w14:paraId="1E5A1261">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_Toc6365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  Lighting power distribution and control</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15</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2C8CCA54">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 HYPERLINK \l _Toc31981 </w:instrTex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7.1  Lighting </w:t>
      </w:r>
      <w:r>
        <w:rPr>
          <w:rFonts w:hint="eastAsia" w:cs="Times New Roman"/>
          <w:color w:val="000000" w:themeColor="text1"/>
          <w:sz w:val="24"/>
          <w:szCs w:val="24"/>
          <w:highlight w:val="none"/>
          <w:lang w:val="en-US" w:eastAsia="zh-CN"/>
          <w14:textFill>
            <w14:solidFill>
              <w14:schemeClr w14:val="tx1"/>
            </w14:solidFill>
          </w14:textFill>
        </w:rPr>
        <w:t>v</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oltage</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ab/>
      </w:r>
      <w:r>
        <w:rPr>
          <w:rFonts w:hint="eastAsia" w:cs="Times New Roman"/>
          <w:color w:val="000000" w:themeColor="text1"/>
          <w:sz w:val="24"/>
          <w:szCs w:val="24"/>
          <w:highlight w:val="none"/>
          <w:lang w:val="en-US" w:eastAsia="zh-CN"/>
          <w14:textFill>
            <w14:solidFill>
              <w14:schemeClr w14:val="tx1"/>
            </w14:solidFill>
          </w14:textFill>
        </w:rPr>
        <w:t>（15）</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end"/>
      </w:r>
    </w:p>
    <w:p w14:paraId="7F463D8D">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 HYPERLINK \l _Toc13541 </w:instrTex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7.2  Lighting </w:t>
      </w:r>
      <w:r>
        <w:rPr>
          <w:rFonts w:hint="eastAsia" w:cs="Times New Roman"/>
          <w:color w:val="000000" w:themeColor="text1"/>
          <w:sz w:val="24"/>
          <w:szCs w:val="24"/>
          <w:highlight w:val="none"/>
          <w:lang w:val="en-US" w:eastAsia="zh-CN"/>
          <w14:textFill>
            <w14:solidFill>
              <w14:schemeClr w14:val="tx1"/>
            </w14:solidFill>
          </w14:textFill>
        </w:rPr>
        <w:t>p</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ower </w:t>
      </w:r>
      <w:r>
        <w:rPr>
          <w:rFonts w:hint="eastAsia" w:cs="Times New Roman"/>
          <w:color w:val="000000" w:themeColor="text1"/>
          <w:sz w:val="24"/>
          <w:szCs w:val="24"/>
          <w:highlight w:val="none"/>
          <w:lang w:val="en-US" w:eastAsia="zh-CN"/>
          <w14:textFill>
            <w14:solidFill>
              <w14:schemeClr w14:val="tx1"/>
            </w14:solidFill>
          </w14:textFill>
        </w:rPr>
        <w:t>d</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istribution</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ab/>
      </w:r>
      <w:r>
        <w:rPr>
          <w:rFonts w:hint="eastAsia" w:cs="Times New Roman"/>
          <w:color w:val="000000" w:themeColor="text1"/>
          <w:sz w:val="24"/>
          <w:szCs w:val="24"/>
          <w:highlight w:val="none"/>
          <w:lang w:val="en-US" w:eastAsia="zh-CN"/>
          <w14:textFill>
            <w14:solidFill>
              <w14:schemeClr w14:val="tx1"/>
            </w14:solidFill>
          </w14:textFill>
        </w:rPr>
        <w:t>（16）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end"/>
      </w:r>
    </w:p>
    <w:p w14:paraId="7E699F62">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ind w:left="210" w:leftChars="100"/>
        <w:textAlignment w:val="auto"/>
        <w:rPr>
          <w:rFonts w:hint="default"/>
          <w:color w:val="000000" w:themeColor="text1"/>
          <w:sz w:val="24"/>
          <w:szCs w:val="24"/>
          <w:highlight w:val="none"/>
          <w:lang w:val="en-US"/>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begin"/>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instrText xml:space="preserve"> HYPERLINK \l _Toc32244 </w:instrTex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7.3  Lighting </w:t>
      </w:r>
      <w:r>
        <w:rPr>
          <w:rFonts w:hint="eastAsia" w:cs="Times New Roman"/>
          <w:color w:val="000000" w:themeColor="text1"/>
          <w:sz w:val="24"/>
          <w:szCs w:val="24"/>
          <w:highlight w:val="none"/>
          <w:lang w:val="en-US" w:eastAsia="zh-CN"/>
          <w14:textFill>
            <w14:solidFill>
              <w14:schemeClr w14:val="tx1"/>
            </w14:solidFill>
          </w14:textFill>
        </w:rPr>
        <w:t>c</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ontrol</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ab/>
      </w:r>
      <w:r>
        <w:rPr>
          <w:rFonts w:hint="eastAsia" w:cs="Times New Roman"/>
          <w:color w:val="000000" w:themeColor="text1"/>
          <w:sz w:val="24"/>
          <w:szCs w:val="24"/>
          <w:highlight w:val="none"/>
          <w:lang w:val="en-US" w:eastAsia="zh-CN"/>
          <w14:textFill>
            <w14:solidFill>
              <w14:schemeClr w14:val="tx1"/>
            </w14:solidFill>
          </w14:textFill>
        </w:rPr>
        <w:t>（19）</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fldChar w:fldCharType="end"/>
      </w:r>
    </w:p>
    <w:p w14:paraId="6D32EC74">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_Toc14227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8  Lighting energy conservation</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20</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4A05719">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_Toc21822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Explanation of wording in this code</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21</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5C0C5330">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_Toc16856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List of quoted standards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22</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45388BF9">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rFonts w:hint="default"/>
          <w:color w:val="000000" w:themeColor="text1"/>
          <w:sz w:val="24"/>
          <w:szCs w:val="24"/>
          <w:highlight w:val="none"/>
          <w:lang w:val="en-US"/>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fldChar w:fldCharType="end"/>
      </w:r>
      <w:r>
        <w:rPr>
          <w:rFonts w:hint="eastAsia"/>
          <w:color w:val="000000" w:themeColor="text1"/>
          <w:sz w:val="24"/>
          <w:szCs w:val="24"/>
          <w:highlight w:val="none"/>
          <w:lang w:val="en-US" w:eastAsia="zh-CN"/>
          <w14:textFill>
            <w14:solidFill>
              <w14:schemeClr w14:val="tx1"/>
            </w14:solidFill>
          </w14:textFill>
        </w:rPr>
        <w:t xml:space="preserve">Addition: </w:t>
      </w:r>
      <w:r>
        <w:rPr>
          <w:rFonts w:hint="eastAsia"/>
          <w:color w:val="000000" w:themeColor="text1"/>
          <w:sz w:val="24"/>
          <w:szCs w:val="24"/>
          <w:highlight w:val="none"/>
          <w:lang w:val="en-US" w:eastAsia="zh-CN"/>
          <w14:textFill>
            <w14:solidFill>
              <w14:schemeClr w14:val="tx1"/>
            </w14:solidFill>
          </w14:textFill>
        </w:rPr>
        <w:fldChar w:fldCharType="begin"/>
      </w:r>
      <w:r>
        <w:rPr>
          <w:rFonts w:hint="eastAsia"/>
          <w:color w:val="000000" w:themeColor="text1"/>
          <w:sz w:val="24"/>
          <w:szCs w:val="24"/>
          <w:highlight w:val="none"/>
          <w:lang w:val="en-US" w:eastAsia="zh-CN"/>
          <w14:textFill>
            <w14:solidFill>
              <w14:schemeClr w14:val="tx1"/>
            </w14:solidFill>
          </w14:textFill>
        </w:rPr>
        <w:instrText xml:space="preserve"> HYPERLINK \l _Toc16856 </w:instrText>
      </w:r>
      <w:r>
        <w:rPr>
          <w:rFonts w:hint="eastAsia"/>
          <w:color w:val="000000" w:themeColor="text1"/>
          <w:sz w:val="24"/>
          <w:szCs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Explanation of provisions</w:t>
      </w:r>
      <w:r>
        <w:rPr>
          <w:color w:val="000000" w:themeColor="text1"/>
          <w:sz w:val="24"/>
          <w:szCs w:val="24"/>
          <w:highlight w:val="none"/>
          <w14:textFill>
            <w14:solidFill>
              <w14:schemeClr w14:val="tx1"/>
            </w14:solidFill>
          </w14:textFill>
        </w:rPr>
        <w:tab/>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23</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fldChar w:fldCharType="end"/>
      </w:r>
    </w:p>
    <w:p w14:paraId="08CCCEC1">
      <w:pPr>
        <w:pStyle w:val="2"/>
        <w:pageBreakBefore w:val="0"/>
        <w:widowControl w:val="0"/>
        <w:kinsoku/>
        <w:wordWrap/>
        <w:overflowPunct/>
        <w:topLinePunct w:val="0"/>
        <w:autoSpaceDE/>
        <w:autoSpaceDN/>
        <w:bidi w:val="0"/>
        <w:adjustRightInd/>
        <w:snapToGrid/>
        <w:spacing w:before="157" w:beforeLines="50" w:after="157" w:afterLines="50"/>
        <w:ind w:firstLine="3213" w:firstLineChars="1000"/>
        <w:textAlignment w:val="auto"/>
        <w:rPr>
          <w:rFonts w:hint="eastAsia"/>
          <w:color w:val="000000" w:themeColor="text1"/>
          <w:highlight w:val="none"/>
          <w:lang w:val="en-US" w:eastAsia="zh-CN"/>
          <w14:textFill>
            <w14:solidFill>
              <w14:schemeClr w14:val="tx1"/>
            </w14:solidFill>
          </w14:textFill>
        </w:rPr>
        <w:sectPr>
          <w:footerReference r:id="rId12" w:type="default"/>
          <w:pgSz w:w="11907" w:h="16840"/>
          <w:pgMar w:top="1440" w:right="1797" w:bottom="1440" w:left="1797" w:header="851" w:footer="992" w:gutter="0"/>
          <w:pgNumType w:fmt="decimal" w:start="1"/>
          <w:cols w:space="425" w:num="1"/>
          <w:docGrid w:type="lines" w:linePitch="312" w:charSpace="0"/>
        </w:sectPr>
      </w:pPr>
    </w:p>
    <w:p w14:paraId="4B2C7953">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4" w:name="_Toc19067"/>
      <w:r>
        <w:rPr>
          <w:rFonts w:hint="eastAsia"/>
          <w:color w:val="000000" w:themeColor="text1"/>
          <w:highlight w:val="none"/>
          <w:lang w:val="en-US" w:eastAsia="zh-CN"/>
          <w14:textFill>
            <w14:solidFill>
              <w14:schemeClr w14:val="tx1"/>
            </w14:solidFill>
          </w14:textFill>
        </w:rPr>
        <w:t>1   总 则</w:t>
      </w:r>
      <w:bookmarkEnd w:id="4"/>
    </w:p>
    <w:p w14:paraId="10EEC2BD">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1.0.1  为在化工企业合理设计照明系统，满足企业安全生产、运行管理的要求，利于视觉作业，制定本规范。</w:t>
      </w:r>
    </w:p>
    <w:p w14:paraId="060EE9A4">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1.0.2  本规范适用于化工企业新建、改建和扩建工程的照明设计。</w:t>
      </w:r>
    </w:p>
    <w:p w14:paraId="3595094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1.0.3  照明设计应贯彻国家法律、法规和技术经济政策，实施绿色照明和健康照明，针对适用场景的特点，做到安全可靠、经济合理、技术先进、节能环保、维护方便。</w:t>
      </w:r>
    </w:p>
    <w:p w14:paraId="4766FA4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1.0.4  化工企业照明设计除应符合本规范要求外，尚应符合国家现行有关标准的规定。</w:t>
      </w:r>
    </w:p>
    <w:p w14:paraId="209472C9">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39005876">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sz w:val="32"/>
          <w:szCs w:val="24"/>
          <w:highlight w:val="none"/>
          <w:lang w:val="en-US" w:eastAsia="zh-CN"/>
          <w14:textFill>
            <w14:solidFill>
              <w14:schemeClr w14:val="tx1"/>
            </w14:solidFill>
          </w14:textFill>
        </w:rPr>
      </w:pPr>
      <w:bookmarkStart w:id="5" w:name="_Toc27016"/>
      <w:r>
        <w:rPr>
          <w:rFonts w:hint="eastAsia"/>
          <w:color w:val="000000" w:themeColor="text1"/>
          <w:highlight w:val="none"/>
          <w:lang w:val="en-US" w:eastAsia="zh-CN"/>
          <w14:textFill>
            <w14:solidFill>
              <w14:schemeClr w14:val="tx1"/>
            </w14:solidFill>
          </w14:textFill>
        </w:rPr>
        <w:t>2   术 语</w:t>
      </w:r>
      <w:bookmarkEnd w:id="5"/>
    </w:p>
    <w:p w14:paraId="09C05593">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  化工企业照明种类的划分详见图2.0.1。</w:t>
      </w:r>
    </w:p>
    <w:p w14:paraId="246F1F38">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color w:val="000000" w:themeColor="text1"/>
          <w:sz w:val="24"/>
          <w:szCs w:val="22"/>
          <w:highlight w:val="none"/>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531495</wp:posOffset>
                </wp:positionH>
                <wp:positionV relativeFrom="paragraph">
                  <wp:posOffset>1699895</wp:posOffset>
                </wp:positionV>
                <wp:extent cx="389255" cy="8255"/>
                <wp:effectExtent l="0" t="4445" r="6985" b="10160"/>
                <wp:wrapNone/>
                <wp:docPr id="5" name="直接连接符 5"/>
                <wp:cNvGraphicFramePr/>
                <a:graphic xmlns:a="http://schemas.openxmlformats.org/drawingml/2006/main">
                  <a:graphicData uri="http://schemas.microsoft.com/office/word/2010/wordprocessingShape">
                    <wps:wsp>
                      <wps:cNvCnPr/>
                      <wps:spPr>
                        <a:xfrm flipV="1">
                          <a:off x="2239645" y="3686175"/>
                          <a:ext cx="389255" cy="825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1.85pt;margin-top:133.85pt;height:0.65pt;width:30.65pt;z-index:251661312;mso-width-relative:page;mso-height-relative:page;" filled="f" stroked="t" coordsize="21600,21600" o:gfxdata="UEsDBAoAAAAAAIdO4kAAAAAAAAAAAAAAAAAEAAAAZHJzL1BLAwQUAAAACACHTuJAdG+wydkAAAAK&#10;AQAADwAAAGRycy9kb3ducmV2LnhtbE2PzU7DMBCE70i8g7VI3KjTAm0JcaoIKRdAqghcenPiJQ6N&#10;11Hs/r09mxPcdndGs99km7PrxRHH0HlSMJ8lIJAabzpqFXx9lndrECFqMrr3hAouGGCTX19lOjX+&#10;RB94rGIrOIRCqhXYGIdUytBYdDrM/IDE2rcfnY68jq00oz5xuOvlIkmW0umO+IPVA75YbPbVwSko&#10;686+Fb5s3y/uB6t9sSu2rzulbm/myTOIiOf4Z4YJn9EhZ6baH8gE0StY36/YqWCxXPEwGR4euVw9&#10;XZ4SkHkm/1fIfwFQSwMEFAAAAAgAh07iQPeR3K8MAgAA6wMAAA4AAABkcnMvZTJvRG9jLnhtbK2T&#10;u27bMBSG9wJ9B4J7LVmOHVuwHDRx06UXA73sxxQlEeANJGM5L9EXKNCtnTp279s0fYweUkrapkuG&#10;LsTh4eEn/r9/r8+OSpIDd14YXdHpJKeEa2ZqoduKvnt7+WRJiQ+ga5BG84pec0/PNo8frXtb8sJ0&#10;RtbcEYRoX/a2ol0ItswyzzquwE+M5RoPG+MUBNy6Nqsd9EhXMivyfJH1xtXWGca9x+52OKQj0T0E&#10;aJpGML417EpxHQaq4xICSvKdsJ5u0mubhrPwumk8D0RWFJWGtOJHsN7HNdusoWwd2E6w8QnwkCfc&#10;06RAaPzoHWoLAciVE/+glGDOeNOECTMqG4QkR1DFNL/nzZsOLE9a0Gpv70z3/w/LXh12joi6onNK&#10;NCj8wW8+fvvx4fPP759wvfn6hcyjSb31Jc5e6J0bd97uXFR8bJwijRT2PaYpeYCqyLGiRTFbLU4Q&#10;e13R2WK5mJ4mEpT8GAjDgdlyVczxnOHAMlZIzgZgBFvnw3NuFIlFRaXQ0Qso4fDCh2H0diS2tbkU&#10;UmIfSqlJX9HVvIhwwIw2mA0slUWdXreUgGwx/Cy4RPRGijrejpe9a/cX0pEDYGROnp4+Oz8fhjqo&#10;+dBdzfN8jI6H8NLUQ3ua3/ZRxYhJiv7ixzdvwXfDnXQ0Cpcap6PRg7Wx2pv6Ojme+piBxBvzGkP2&#10;5z7d/v0f3f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G+wydkAAAAKAQAADwAAAAAAAAABACAA&#10;AAAiAAAAZHJzL2Rvd25yZXYueG1sUEsBAhQAFAAAAAgAh07iQPeR3K8MAgAA6wMAAA4AAAAAAAAA&#10;AQAgAAAAKAEAAGRycy9lMm9Eb2MueG1sUEsFBgAAAAAGAAYAWQEAAKYFAAAAAA==&#10;">
                <v:fill on="f" focussize="0,0"/>
                <v:stroke color="#4A7EBB [3204]" joinstyle="round"/>
                <v:imagedata o:title=""/>
                <o:lock v:ext="edit" aspectratio="f"/>
              </v:line>
            </w:pict>
          </mc:Fallback>
        </mc:AlternateContent>
      </w:r>
      <w:r>
        <w:rPr>
          <w:color w:val="000000" w:themeColor="text1"/>
          <w:sz w:val="24"/>
          <w:szCs w:val="22"/>
          <w:highlight w:val="none"/>
          <w14:textFill>
            <w14:solidFill>
              <w14:schemeClr w14:val="tx1"/>
            </w14:solidFill>
          </w14:textFill>
        </w:rPr>
        <mc:AlternateContent>
          <mc:Choice Requires="wpc">
            <w:drawing>
              <wp:inline distT="0" distB="0" distL="114300" distR="114300">
                <wp:extent cx="5236845" cy="2961005"/>
                <wp:effectExtent l="0" t="0" r="0" b="29845"/>
                <wp:docPr id="1" name="画布 1"/>
                <wp:cNvGraphicFramePr/>
                <a:graphic xmlns:a="http://schemas.openxmlformats.org/drawingml/2006/main">
                  <a:graphicData uri="http://schemas.microsoft.com/office/word/2010/wordprocessingCanvas">
                    <wpc:wpc>
                      <wpc:bg/>
                      <wpc:whole/>
                      <wps:wsp>
                        <wps:cNvPr id="32" name="文本框 2"/>
                        <wps:cNvSpPr txBox="1"/>
                        <wps:spPr>
                          <a:xfrm>
                            <a:off x="133350" y="1499235"/>
                            <a:ext cx="467360" cy="304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C0055BD">
                              <w:pPr>
                                <w:rPr>
                                  <w:rFonts w:hint="default" w:eastAsia="宋体"/>
                                  <w:lang w:val="en-US" w:eastAsia="zh-CN"/>
                                </w:rPr>
                              </w:pPr>
                              <w:r>
                                <w:rPr>
                                  <w:rFonts w:hint="eastAsia"/>
                                  <w:lang w:val="en-US" w:eastAsia="zh-CN"/>
                                </w:rPr>
                                <w:t>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3" name="直接连接符 6"/>
                        <wps:cNvCnPr/>
                        <wps:spPr>
                          <a:xfrm flipH="1">
                            <a:off x="929640" y="567690"/>
                            <a:ext cx="8255" cy="224409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4" name="直接连接符 7"/>
                        <wps:cNvCnPr/>
                        <wps:spPr>
                          <a:xfrm>
                            <a:off x="937895" y="567690"/>
                            <a:ext cx="36385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5" name="文本框 8"/>
                        <wps:cNvSpPr txBox="1"/>
                        <wps:spPr>
                          <a:xfrm>
                            <a:off x="1229995" y="441960"/>
                            <a:ext cx="737235" cy="3041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25B9925">
                              <w:pPr>
                                <w:rPr>
                                  <w:rFonts w:hint="default" w:eastAsia="宋体"/>
                                  <w:lang w:val="en-US" w:eastAsia="zh-CN"/>
                                </w:rPr>
                              </w:pPr>
                              <w:r>
                                <w:rPr>
                                  <w:rFonts w:hint="eastAsia"/>
                                  <w:lang w:val="en-US" w:eastAsia="zh-CN"/>
                                </w:rPr>
                                <w:t>正常照明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6" name="直接连接符 10"/>
                        <wps:cNvCnPr/>
                        <wps:spPr>
                          <a:xfrm>
                            <a:off x="950595" y="1252855"/>
                            <a:ext cx="3632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7" name="文本框 11"/>
                        <wps:cNvSpPr txBox="1"/>
                        <wps:spPr>
                          <a:xfrm>
                            <a:off x="1242060" y="1127760"/>
                            <a:ext cx="73660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2267B03">
                              <w:pPr>
                                <w:rPr>
                                  <w:rFonts w:hint="default" w:eastAsia="宋体"/>
                                  <w:lang w:val="en-US" w:eastAsia="zh-CN"/>
                                </w:rPr>
                              </w:pPr>
                              <w:r>
                                <w:rPr>
                                  <w:rFonts w:hint="eastAsia"/>
                                  <w:lang w:val="en-US" w:eastAsia="zh-CN"/>
                                </w:rPr>
                                <w:t>应急照明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8" name="直接连接符 12"/>
                        <wps:cNvCnPr/>
                        <wps:spPr>
                          <a:xfrm>
                            <a:off x="942340" y="1802765"/>
                            <a:ext cx="3632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39" name="文本框 13"/>
                        <wps:cNvSpPr txBox="1"/>
                        <wps:spPr>
                          <a:xfrm>
                            <a:off x="1233805" y="1677670"/>
                            <a:ext cx="73660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12C3852">
                              <w:pPr>
                                <w:rPr>
                                  <w:rFonts w:hint="default" w:eastAsia="宋体"/>
                                  <w:lang w:val="en-US" w:eastAsia="zh-CN"/>
                                </w:rPr>
                              </w:pPr>
                              <w:r>
                                <w:rPr>
                                  <w:rFonts w:hint="eastAsia"/>
                                  <w:lang w:val="en-US" w:eastAsia="zh-CN"/>
                                </w:rPr>
                                <w:t>值班照明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直接连接符 14"/>
                        <wps:cNvCnPr/>
                        <wps:spPr>
                          <a:xfrm>
                            <a:off x="941705" y="2810510"/>
                            <a:ext cx="3632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1" name="文本框 15"/>
                        <wps:cNvSpPr txBox="1"/>
                        <wps:spPr>
                          <a:xfrm>
                            <a:off x="1233170" y="2685415"/>
                            <a:ext cx="73660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563006F7">
                              <w:pPr>
                                <w:rPr>
                                  <w:rFonts w:hint="default" w:eastAsia="宋体"/>
                                  <w:lang w:val="en-US" w:eastAsia="zh-CN"/>
                                </w:rPr>
                              </w:pPr>
                              <w:r>
                                <w:rPr>
                                  <w:rFonts w:hint="eastAsia"/>
                                  <w:lang w:val="en-US" w:eastAsia="zh-CN"/>
                                </w:rPr>
                                <w:t>障碍照明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直接连接符 16"/>
                        <wps:cNvCnPr/>
                        <wps:spPr>
                          <a:xfrm>
                            <a:off x="942340" y="2303145"/>
                            <a:ext cx="3632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3" name="文本框 17"/>
                        <wps:cNvSpPr txBox="1"/>
                        <wps:spPr>
                          <a:xfrm>
                            <a:off x="1233805" y="2178050"/>
                            <a:ext cx="73660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62F9C74">
                              <w:pPr>
                                <w:rPr>
                                  <w:rFonts w:hint="default" w:eastAsia="宋体"/>
                                  <w:lang w:val="en-US" w:eastAsia="zh-CN"/>
                                </w:rPr>
                              </w:pPr>
                              <w:r>
                                <w:rPr>
                                  <w:rFonts w:hint="eastAsia"/>
                                  <w:lang w:val="en-US" w:eastAsia="zh-CN"/>
                                </w:rPr>
                                <w:t>警卫照明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 name="直接连接符 18"/>
                        <wps:cNvCnPr/>
                        <wps:spPr>
                          <a:xfrm flipV="1">
                            <a:off x="1978660" y="1271270"/>
                            <a:ext cx="330835" cy="825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5" name="直接连接符 19"/>
                        <wps:cNvCnPr/>
                        <wps:spPr>
                          <a:xfrm>
                            <a:off x="2309495" y="712470"/>
                            <a:ext cx="0" cy="148526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6" name="直接连接符 20"/>
                        <wps:cNvCnPr/>
                        <wps:spPr>
                          <a:xfrm flipV="1">
                            <a:off x="2309495" y="699135"/>
                            <a:ext cx="287655" cy="825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7" name="文本框 21"/>
                        <wps:cNvSpPr txBox="1"/>
                        <wps:spPr>
                          <a:xfrm>
                            <a:off x="2668905" y="551815"/>
                            <a:ext cx="736600" cy="303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3920C9C9">
                              <w:pPr>
                                <w:rPr>
                                  <w:rFonts w:hint="default" w:eastAsia="宋体"/>
                                  <w:lang w:val="en-US" w:eastAsia="zh-CN"/>
                                </w:rPr>
                              </w:pPr>
                              <w:r>
                                <w:rPr>
                                  <w:rFonts w:hint="eastAsia"/>
                                  <w:lang w:val="en-US" w:eastAsia="zh-CN"/>
                                </w:rPr>
                                <w:t>疏散照明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8" name="直接连接符 22"/>
                        <wps:cNvCnPr/>
                        <wps:spPr>
                          <a:xfrm flipV="1">
                            <a:off x="2313305" y="1485900"/>
                            <a:ext cx="287020" cy="762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49" name="文本框 23"/>
                        <wps:cNvSpPr txBox="1"/>
                        <wps:spPr>
                          <a:xfrm>
                            <a:off x="2672080" y="1339215"/>
                            <a:ext cx="735965" cy="3028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B32CE89">
                              <w:pPr>
                                <w:rPr>
                                  <w:rFonts w:hint="default" w:eastAsia="宋体"/>
                                  <w:lang w:val="en-US" w:eastAsia="zh-CN"/>
                                </w:rPr>
                              </w:pPr>
                              <w:r>
                                <w:rPr>
                                  <w:rFonts w:hint="eastAsia"/>
                                  <w:lang w:val="en-US" w:eastAsia="zh-CN"/>
                                </w:rPr>
                                <w:t>安全照明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0" name="直接连接符 24"/>
                        <wps:cNvCnPr/>
                        <wps:spPr>
                          <a:xfrm flipV="1">
                            <a:off x="2313305" y="2172335"/>
                            <a:ext cx="287020" cy="762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1" name="文本框 25"/>
                        <wps:cNvSpPr txBox="1"/>
                        <wps:spPr>
                          <a:xfrm>
                            <a:off x="2672080" y="2025650"/>
                            <a:ext cx="735965" cy="3028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BA72DDB">
                              <w:pPr>
                                <w:rPr>
                                  <w:rFonts w:hint="default" w:eastAsia="宋体"/>
                                  <w:lang w:val="en-US" w:eastAsia="zh-CN"/>
                                </w:rPr>
                              </w:pPr>
                              <w:r>
                                <w:rPr>
                                  <w:rFonts w:hint="eastAsia"/>
                                  <w:lang w:val="en-US" w:eastAsia="zh-CN"/>
                                </w:rPr>
                                <w:t>备用照明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2" name="直接连接符 26"/>
                        <wps:cNvCnPr/>
                        <wps:spPr>
                          <a:xfrm flipV="1">
                            <a:off x="3405505" y="699135"/>
                            <a:ext cx="165100" cy="444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3" name="直接连接符 27"/>
                        <wps:cNvCnPr/>
                        <wps:spPr>
                          <a:xfrm>
                            <a:off x="3579495" y="284480"/>
                            <a:ext cx="0" cy="894715"/>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4" name="直接连接符 28"/>
                        <wps:cNvCnPr/>
                        <wps:spPr>
                          <a:xfrm>
                            <a:off x="3579495" y="284480"/>
                            <a:ext cx="18605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5" name="文本框 29"/>
                        <wps:cNvSpPr txBox="1"/>
                        <wps:spPr>
                          <a:xfrm>
                            <a:off x="3804285" y="17145"/>
                            <a:ext cx="1283970" cy="4622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7A5A6B1">
                              <w:pPr>
                                <w:rPr>
                                  <w:rFonts w:hint="eastAsia"/>
                                  <w:lang w:val="en-US" w:eastAsia="zh-CN"/>
                                </w:rPr>
                              </w:pPr>
                              <w:r>
                                <w:rPr>
                                  <w:rFonts w:hint="eastAsia"/>
                                  <w:lang w:val="en-US" w:eastAsia="zh-CN"/>
                                </w:rPr>
                                <w:t>消防疏散指示和</w:t>
                              </w:r>
                            </w:p>
                            <w:p w14:paraId="28ED842A">
                              <w:pPr>
                                <w:rPr>
                                  <w:rFonts w:hint="default" w:eastAsia="宋体"/>
                                  <w:lang w:val="en-US" w:eastAsia="zh-CN"/>
                                </w:rPr>
                              </w:pPr>
                              <w:r>
                                <w:rPr>
                                  <w:rFonts w:hint="eastAsia"/>
                                  <w:lang w:val="en-US" w:eastAsia="zh-CN"/>
                                </w:rPr>
                                <w:t>消防疏散照明系统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6" name="直接连接符 30"/>
                        <wps:cNvCnPr/>
                        <wps:spPr>
                          <a:xfrm>
                            <a:off x="3585845" y="1166495"/>
                            <a:ext cx="1854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57" name="文本框 31"/>
                        <wps:cNvSpPr txBox="1"/>
                        <wps:spPr>
                          <a:xfrm>
                            <a:off x="3825875" y="882650"/>
                            <a:ext cx="1233170" cy="52133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703E74E4">
                              <w:pPr>
                                <w:rPr>
                                  <w:rFonts w:hint="default" w:eastAsia="宋体"/>
                                  <w:lang w:val="en-US" w:eastAsia="zh-CN"/>
                                </w:rPr>
                              </w:pPr>
                              <w:r>
                                <w:rPr>
                                  <w:rFonts w:hint="eastAsia"/>
                                  <w:lang w:val="en-US" w:eastAsia="zh-CN"/>
                                </w:rPr>
                                <w:t>非消防疏散指示系统</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4" name="直接连接符 26"/>
                        <wps:cNvCnPr/>
                        <wps:spPr>
                          <a:xfrm flipV="1">
                            <a:off x="3405505" y="2156460"/>
                            <a:ext cx="164465" cy="381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5" name="直接连接符 27"/>
                        <wps:cNvCnPr/>
                        <wps:spPr>
                          <a:xfrm>
                            <a:off x="3578860" y="1741805"/>
                            <a:ext cx="0" cy="89408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6" name="直接连接符 28"/>
                        <wps:cNvCnPr/>
                        <wps:spPr>
                          <a:xfrm>
                            <a:off x="3578860" y="1741805"/>
                            <a:ext cx="185420"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87" name="文本框 29"/>
                        <wps:cNvSpPr txBox="1"/>
                        <wps:spPr>
                          <a:xfrm>
                            <a:off x="3787140" y="1610995"/>
                            <a:ext cx="1283335" cy="28384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7A636BB">
                              <w:pPr>
                                <w:rPr>
                                  <w:rFonts w:hint="default" w:eastAsia="宋体"/>
                                  <w:lang w:val="en-US" w:eastAsia="zh-CN"/>
                                </w:rPr>
                              </w:pPr>
                              <w:r>
                                <w:rPr>
                                  <w:rFonts w:hint="eastAsia"/>
                                  <w:lang w:val="en-US" w:eastAsia="zh-CN"/>
                                </w:rPr>
                                <w:t>非消防备用照明</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8" name="直接连接符 30"/>
                        <wps:cNvCnPr/>
                        <wps:spPr>
                          <a:xfrm>
                            <a:off x="3585210" y="2623820"/>
                            <a:ext cx="184785" cy="0"/>
                          </a:xfrm>
                          <a:prstGeom prst="line">
                            <a:avLst/>
                          </a:prstGeom>
                        </wps:spPr>
                        <wps:style>
                          <a:lnRef idx="1">
                            <a:schemeClr val="accent1"/>
                          </a:lnRef>
                          <a:fillRef idx="0">
                            <a:schemeClr val="accent1"/>
                          </a:fillRef>
                          <a:effectRef idx="0">
                            <a:schemeClr val="accent1"/>
                          </a:effectRef>
                          <a:fontRef idx="minor">
                            <a:schemeClr val="tx1"/>
                          </a:fontRef>
                        </wps:style>
                        <wps:bodyPr/>
                      </wps:wsp>
                      <wps:wsp>
                        <wps:cNvPr id="90" name="文本框 29"/>
                        <wps:cNvSpPr txBox="1"/>
                        <wps:spPr>
                          <a:xfrm>
                            <a:off x="3787140" y="2473960"/>
                            <a:ext cx="1282700" cy="28321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B2EB9B5">
                              <w:pPr>
                                <w:rPr>
                                  <w:rFonts w:hint="default" w:eastAsia="宋体"/>
                                  <w:lang w:val="en-US" w:eastAsia="zh-CN"/>
                                </w:rPr>
                              </w:pPr>
                              <w:r>
                                <w:rPr>
                                  <w:rFonts w:hint="eastAsia"/>
                                  <w:lang w:val="en-US" w:eastAsia="zh-CN"/>
                                </w:rPr>
                                <w:t>消防备用照明</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inline>
            </w:drawing>
          </mc:Choice>
          <mc:Fallback>
            <w:pict>
              <v:group id="_x0000_s1026" o:spid="_x0000_s1026" o:spt="203" style="height:233.15pt;width:412.35pt;" coordsize="5236845,2961005" editas="canvas" o:gfxdata="UEsDBAoAAAAAAIdO4kAAAAAAAAAAAAAAAAAEAAAAZHJzL1BLAwQUAAAACACHTuJAPUajyNcAAAAF&#10;AQAADwAAAGRycy9kb3ducmV2LnhtbE2PQWvCQBCF7wX/wzJCL6VutJJKzMSDIEopSGP1vGanSWh2&#10;NmbXxP77bntpLwOP93jvm3R1M43oqXO1ZYTpJAJBXFhdc4nwftg8LkA4r1irxjIhfJGDVTa6S1Wi&#10;7cBv1Oe+FKGEXaIQKu/bREpXVGSUm9iWOHgftjPKB9mVUndqCOWmkbMoiqVRNYeFSrW0rqj4zK8G&#10;YSj2/enwupX7h9PO8mV3WefHF8T78TRagvB0839h+MEP6JAFprO9snaiQQiP+N8bvMVs/gzijDCP&#10;4yeQWSr/02ffUEsDBBQAAAAIAIdO4kBvbTss7wcAACVNAAAOAAAAZHJzL2Uyb0RvYy54bWztXE2P&#10;m0YYvlfqf0DcG8MwwGDFG212s2mltImUfpxZjD8kDBTY9abXSu2tp6qXVpV6aE859lCph/6abvoz&#10;+swHNsbGa2+SjVvNHrwYMDDvvPPM8z7vO9x/cDVLjMu4KKdZOjDte5ZpxGmUDafpeGB+9unZB8w0&#10;yipMh2GSpfHAfBGX5oOj99+7P8/7MckmWTKMCwMXScv+PB+Yk6rK+71eGU3iWVjey/I4xcFRVszC&#10;Cl+LcW9YhHNcfZb0iGV5vXlWDPMii+KyxN5TedBUVyx2uWA2Gk2j+DSLLmZxWsmrFnESVmhSOZnm&#10;pXkknnY0iqPq6WhUxpWRDEy0tBKfuAm2z/ln7+h+2B8XYT6ZRuoRwl0eodWmWThNcdPFpU7DKjQu&#10;iunapWbTqMjKbFTdi7JZTzZEWAStsK2WbR4X2UUu2jLuz8f5wujoqJbVb33Z6JPLZ4UxHcITTCMN&#10;Z+jwV9//+fcfXxs2t808H/dxyuMif54/K9SOsfzGm3s1Kmb8PxpiXAmrvlhYNb6qjAg7XeJ4jLqm&#10;EeEYCTzbslxp92iCzln7XTR5dMMve/WNe/z5Fo8zz+GR5dJM5euZ6fkkzGNh/ZLbQJnJIbWdrn/4&#10;9vqnl9e/fGMQaSpxGreTUV09zNByZcKyX2LnBnPZjuO48ETYxaZBQBxll9py1PMdD8e54RyLMkv4&#10;66L1YT8vyupxnM0MvjEwC7i78MLw8klZobdwan0Kv32ZJdPh2TRJxJdifH6SFMZliKFxJv54M/CT&#10;ldOS1JgPTI8/J/9VmvHfy/OSFKdzo8vm8a3q6vxKeEnZP8+GL2CKIpNjrsyjsyme8klYVs/CAoMM&#10;DQMMVU/xMUoy3CRTW6YxyYqvNu3n56NTcdQ05hi0A7P88iIsYtNIPkrR3YFNKS5biS/U9Qm+FM0j&#10;580j6cXsJEPj4fl4OrHJz6+SenNUZLMvgFbH/K44FKYR7j0wq3rzpJJQArSL4uNjcRLGdR5WT9Ln&#10;ecQvLY12fFFlo6noEm4maRtlPbgsH2h34btO7buvfvz9+rtf//nrZ3y+evmb4TU8+CRVI73uWDna&#10;jFEyzT+sm6QGfIDxzC0OB3U93wsUoNYOzIhbj3uCnpGHu/03maZ8wIX9Dv9dOF/Yl24ZuIRfnzvC&#10;CPCPzVk+hFOkY/RQMsb8FlWFuOKKT5dN16fH/qOHD+VJk3AYywERuJYcbRgOYfVxNpS7bavez8eJ&#10;vMz6mOFj7jQsJ/I34tZqaG0YMtIX+IhSPnBXzkC7nMG/2Rl4J9Uu4PgsQC90uIDjOax2ghvgS3c/&#10;n77uqvvRZXK+X85jrNHxe81jhASB8gFK7QBzFvw57Ncw4Ds+n9vqecz2xDzXjQN6HtPzmIwOOjiY&#10;V/tuex6zhedxIAVj65jImtjlWq7yW5u4hAPViuMCvAjnEJyAafBap3vvbO7yawdYgpe9YNvo+v3Q&#10;ixKL02x0sm0T31+HL88DGVDw5bjODa6g4UvD11b4gsKiQu0WDbebkeQO8EWJo9i3zSziy3l1Oe9q&#10;+OIBL4d0cI1Dot5B7QAN+HJuTb4ch0FREfDlAb38Nfal4WtFXdAqwo7642b2xRGnA75ow4d3gS/b&#10;V45LGCJrSd40fB26ckAXUnEDvgRzVsR7P/blOHADAV/EYy61WxwcEqhmX01xVMPX68HXQsBfCx53&#10;UEGbweOSfRHHcmykOHTw+B8QPulCBW/AV1Pz3Be+avZFbB+bmn3xbI7O4WAufBv5R9op29tN+baD&#10;fYkkzuetJI4d+AxzrIwgiA8JpOXDjmOxWr8VKR0ZUdXJ3zrFqLKQWsa/Qxmf59U7yHiwFxnHFBZQ&#10;pYXCBWjbB5T+ZVPmkpv0e+0Bd+kBnWI4lGsM1O1i+EZAaPqCFwR2uy6BMEhNKp+j8eCgpCW6QRkn&#10;t1XGieexQEXormszHZqJShXNbd4Wt+kUxskOwngHlNlgL0odxdwV1FUddW4aWGbVKT7fk5DZnZnW&#10;M9tdzmwbZHJyW5mceKgGY4rkOk5A1sHMDUBsVJaP8JqWrTRXZ/l0lm9blo8Xdm5m5mQHmfxGMIPY&#10;QFA9uio5aTBD8d9h5vzcDaI5iheXBH0f1akJZsQirreuOmkw0zk/tSRjr8UBm3N+bqdoTnYQzTeC&#10;GSoXXJRfCdVpU5CJKkGsFJDzMaVSXNfEDJVtpVhMwMP6d1V+5S4U9HYKhTR19A4NspFCcVx/IToR&#10;RrHCYXU+U93PAupLuqYd4DAcoFOEJjuI0Hs4gM08oIQuwDy0CibeJ5LcLnNopCk478NmUL5EUXsr&#10;8w/+Wh7VJswJeIUAr8KlHiESJbqhQEdmOjLbGpl1Kuaysne7Yr6CXswVKxtF5bDn8fwJCP2ygslG&#10;PUstLomprdtptbJ0h8qSu0Eld26rkjtIgTBfwhdjSI61SIyNOF1UOHH8cgn0SK0s6WWcOy0A3xyM&#10;sW729SaCMSijHm2vgbA9ShfqKIo1Oc5pMDsIMs6ZU4fQuHc0xsC3FQ+jWFLQms6W4RhX0rUHtFe/&#10;v6t4nHUSmv3Dse0eoAnNYarLbAOhuX085jNEYQoH8LoOvrR3ldYiIuMsRkRk2OYceCsa6IhMR2Tb&#10;IjLWmfi/RURGwE74YijiEVDzNhln1OcTpl7RC/Z2QEvi8GqQNygoNQAMlYzO2gsJICmhyFXRGQAY&#10;dxkNYP/PN+uId0Th7VkiXlFv+uKv52p+x3bz7WZH/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fCgAAW0NvbnRlbnRfVHlwZXNdLnhtbFBLAQIU&#10;AAoAAAAAAIdO4kAAAAAAAAAAAAAAAAAGAAAAAAAAAAAAEAAAAEEJAABfcmVscy9QSwECFAAUAAAA&#10;CACHTuJAihRmPNEAAACUAQAACwAAAAAAAAABACAAAABlCQAAX3JlbHMvLnJlbHNQSwECFAAKAAAA&#10;AACHTuJAAAAAAAAAAAAAAAAABAAAAAAAAAAAABAAAAAAAAAAZHJzL1BLAQIUABQAAAAIAIdO4kA9&#10;RqPI1wAAAAUBAAAPAAAAAAAAAAEAIAAAACIAAABkcnMvZG93bnJldi54bWxQSwECFAAUAAAACACH&#10;TuJAb207LO8HAAAlTQAADgAAAAAAAAABACAAAAAmAQAAZHJzL2Uyb0RvYy54bWxQSwUGAAAAAAYA&#10;BgBZAQAAhwsAAAAA&#10;">
                <o:lock v:ext="edit" aspectratio="f"/>
                <v:shape id="_x0000_s1026" o:spid="_x0000_s1026" style="position:absolute;left:0;top:0;height:2961005;width:5236845;" filled="f" stroked="f" coordsize="21600,21600" o:gfxdata="UEsDBAoAAAAAAIdO4kAAAAAAAAAAAAAAAAAEAAAAZHJzL1BLAwQUAAAACACHTuJAPUajyNcAAAAF&#10;AQAADwAAAGRycy9kb3ducmV2LnhtbE2PQWvCQBCF7wX/wzJCL6VutJJKzMSDIEopSGP1vGanSWh2&#10;NmbXxP77bntpLwOP93jvm3R1M43oqXO1ZYTpJAJBXFhdc4nwftg8LkA4r1irxjIhfJGDVTa6S1Wi&#10;7cBv1Oe+FKGEXaIQKu/bREpXVGSUm9iWOHgftjPKB9mVUndqCOWmkbMoiqVRNYeFSrW0rqj4zK8G&#10;YSj2/enwupX7h9PO8mV3WefHF8T78TRagvB0839h+MEP6JAFprO9snaiQQiP+N8bvMVs/gzijDCP&#10;4yeQWSr/02ffUEsDBBQAAAAIAIdO4kDo+l8LlAcAAGxMAAAOAAAAZHJzL2Uyb0RvYy54bWztXMtu&#10;20YU3RfoPxDcN+I8SA6FyIFj122BtAmQPtY0RVkCKJIlacvpB7S7LrtpUaCLdpVl9/0bp5/RMzOk&#10;TFGiLLmJoxaThTMSqeFjzpw599xLPn5yPU+sq7goZ1k6sskjx7biNMrGs/RiZH/15dlHwrbKKkzH&#10;YZKl8ch+FZf2k6MPP3i8yIcxzaZZMo4LC52k5XCRj+xpVeXDwaCMpvE8LB9leZxi4yQr5mGFj8XF&#10;YFyEC/Q+TwbUcbzBIivGeZFFcVni21O90a57LHbpMJtMZlF8mkWX8zitdK9FnIQVLqmczvLSPlJn&#10;O5nEUfV8MinjykpGNq60Un9xELTP5d/B0eNweFGE+XQW1acQ7nIKnWuah7MUB112dRpWoXVZzNa6&#10;ms+iIiuzSfUoyuYDfSHqjuAqiNO5NydhehXqi4lwr5sTROst9nt+gXuALocLDG2s2hjYMl8Ocfnv&#10;DvZyGuaxGpByGH1x9aKwZuORzahtpeEc+Lr56YebX17f/Pa9ReVoLHK128scO1bXT7NrYLT5vsSX&#10;8iZfT4q5/B+3z5LbGWMuBvQVmjwIKHP1sMbXlRVhO/d85mF7hB2Yw4Wjhn1w209elNUncTa3ZGNk&#10;F0CNGszw6llZ4Zywa7OLPGyZJbPx2SxJ1Ifi4vwkKayrEAg7U//k0fGTld2S1FqMbE+ep/xVmsnf&#10;6/2SFLvLy9aXJ1vV9fl1fS/Os/Er3Ioi09At8+hshrN8FpbVi7AAVnFhmM3Vc/yZJBkOktUt25pm&#10;xXebvpf7Y1Cx1bYWwP7ILr+9DIvYtpLPUgx3QDhHt5X6wF2f4kPR3nLe3pJezk8yXDwBb+SRasr9&#10;q6RpTops/g0m/bE8KjaFaYRjj+yqaZ5UekaCNKL4+FjthOmRh9Wz9KUEO6lv2vFllU1makjkbdL3&#10;pr57gKxGz7vHLmuw++bnP29+/P3vv37F3zev/7C8BqkA+kn6oqjHsI1ba5LM8k+bS6oRHNDAk3cc&#10;AHU93wtqXmoALKjravhSipHRm/vxm8xSOeHCYQ9+l+ALhxqWgUtl/xIIE7AomvN8DFCkFxih5ALL&#10;RFQVqscVTJdt6PNj/+OnT/VO03Ac6wkRuI6ebZgOYfV5NtZfE6f5Xs4T3c36nJFz7jQsp/o36tD1&#10;1NowZTQW5IySyHhAMPA+MPh3g0EOUgMB5osAo9ADAeYx0YDgDvoyw/+Qw48h665jojXwe61jlAZB&#10;jQHOSYA1C3gOhw0N+MyXa1uzjhFPrXP9PGDWMbOOaZHdo8G8BrvddYwo5Eki7V/I2tzlOm6NW0Jd&#10;KolqBbggLyo1hBRghrzW5d57W7v8BgC3Ipws1TaGfj/24tSRMhuDTAj1/XX68jyIgZq+mMvugIKh&#10;L0NfW+kLRoVeetfoqx1J9ujwNn1xymr1TYRDfb2u3q67hr5kwCspHVrjkKR30ACgRV/s3uKLMeFo&#10;AU48sJe/pr4Mfa24C8ZF2NHG26y+JOP00BdvYXgX+iJ+DVwqEFlr8Wbo69CdAw7DrBs6EqWca+G9&#10;n/piDDBQ6ot6wuW6p1sUwAI16qttjhr6+nf0tTTw19TXDi7oZvVFmcMIN8Hjf8L45EsXvKW+2p7n&#10;vvTVqC9KfDSN+pLZHJPDwVr4LvKPvNe2J237tkd9qSTO150kDgl8gTVWGyDUhwXSwTBjjmj8W5XS&#10;0RFVk81sUox1FtLY+A9o42PR6RPjwV5iHEtYwGsvFBDgXQzU/hfhwqV3+fcGAQ+JgF4zHM41Jup2&#10;M3wjIbSx4AUB6dYlUAGrqc7nGD44KGuJb3DG6X2dcep5IqgjdNclwoRmqlLFaJt3pW16jXG6gzHe&#10;Q2UE6qV2R7F2BU1VR5ObBpc5TYrP9zRl9memzcr2kCvbBpuc3tcmpx6qwUQtchkL6DqZuQGETZ3l&#10;o7KmZavMNVk+k+XbluWThZ2bbXK6g01+J5nBbKCoHpUYvfVKDZmh+O8wc37uBtMcxYu3An0f16lN&#10;ZtShrrfuOhkyMzm/+smGvUr3N+f83F7TnO5gmm8kM1QuuCi/Uq7TpiATVYKkqbrhXJvrRpihsq1U&#10;DxPIsP59lV+5Swe9m0KhbR+9x4NspVCY6y9NJyo4nnBYXc9q00kE3NdyzQDgMADQa0LTHUzoPQBA&#10;hAeWMAWYh1bBJMekWwJA24bzPmoG5Usctbc6/+Cv5VEJFSyQFQKyCpd7lGqW6KcCE5mZyGxrZNbr&#10;mOvK3u2O+Qp7CVfIDIyqHPY8mT9ZiccI6lkac0ktbf2gNc7SAzpL7gaXnN3XJWdIgQhfo0AIJMc6&#10;IoYgTlcVTpK/XAo/0jhL5jHOnZ6j3hyMiX719TaCMTijHu8+A0E8zpfuKIo1Jc8ZMjsIMS6VU4/R&#10;uHc0JqC3ax3G8UhBZzm7Dcekk24Q0H36/X3F46JX0Owfjm1HgBE0h+kuiw2C5v7xmC8QhdU84BFH&#10;Ptq7KmsRkUkVoyIytKUG3soGJiIzEdm2iEz0Jv7vEZFRqBMZkVGPQpp3xbjgvlwwzRO9UG8H9Egc&#10;Xg3yFg2lFoGhkpGtvZAAlhKKXGs5AwKTkDEE9v98sw5eq6LeQaXilfqFWfItV+3PaLdfEnb0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QKAABb&#10;Q29udGVudF9UeXBlc10ueG1sUEsBAhQACgAAAAAAh07iQAAAAAAAAAAAAAAAAAYAAAAAAAAAAAAQ&#10;AAAA5ggAAF9yZWxzL1BLAQIUABQAAAAIAIdO4kCKFGY80QAAAJQBAAALAAAAAAAAAAEAIAAAAAoJ&#10;AABfcmVscy8ucmVsc1BLAQIUAAoAAAAAAIdO4kAAAAAAAAAAAAAAAAAEAAAAAAAAAAAAEAAAAAAA&#10;AABkcnMvUEsBAhQAFAAAAAgAh07iQD1Go8jXAAAABQEAAA8AAAAAAAAAAQAgAAAAIgAAAGRycy9k&#10;b3ducmV2LnhtbFBLAQIUABQAAAAIAIdO4kDo+l8LlAcAAGxMAAAOAAAAAAAAAAEAIAAAACYBAABk&#10;cnMvZTJvRG9jLnhtbFBLBQYAAAAABgAGAFkBAAAsCwAAAAA=&#10;">
                  <v:fill on="f" focussize="0,0"/>
                  <v:stroke on="f"/>
                  <v:imagedata o:title=""/>
                  <o:lock v:ext="edit" aspectratio="f"/>
                </v:shape>
                <v:shape id="文本框 2" o:spid="_x0000_s1026" o:spt="202" type="#_x0000_t202" style="position:absolute;left:133350;top:1499235;height:304800;width:46736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5mvmuFoCAACaBAAADgAAAGRycy9lMm9Eb2MueG1srVTBbhoxEL1X&#10;6j9YvpcFFkiCskQURFUJNZHSqmfj9bKWbI9rG3bpB7R/kFMvvfe78h0deyFJ0x5yKAcz9jzP+L2Z&#10;2curViuyF85LMAUd9PqUCMOhlGZb0E8fV2/OKfGBmZIpMKKgB+Hp1ez1q8vGTsUQalClcASDGD9t&#10;bEHrEOw0yzyvhWa+B1YYdFbgNAu4ddusdKzB6Fplw35/kjXgSuuAC+/xdNk56TGie0lAqCrJxRL4&#10;TgsTuqhOKBaQkq+l9XSWXltVgofrqvIiEFVQZBrSiknQ3sQ1m12y6dYxW0t+fAJ7yROecdJMGkz6&#10;EGrJAiM7J/8KpSV34KEKPQ4664gkRZDFoP9Mm9uaWZG4oNTePoju/19Y/mF/44gsC5oPKTFMY8Xv&#10;777f//h1//MbGUZ9GuunCLu1CAztW2ixa07nHg8j7bZyOv4jIRL9eZ6PUeIDmqOLi2E+7oQWbSAc&#10;/aPJWT5BP0dA3h+d91Mhssc41vnwToAm0Siowzomedl+7QO+CaEnSEzrQclyJZVKG7fdLJQje4Y1&#10;X6VfzI5X/oApQ5qCTuI74y0D8X6HUwbhkXZHL1qh3bRHLTZQHlAKB10zectXEl+5Zj7cMIfdg8Rw&#10;vsI1LpUCTAJHi5Ia3Nd/nUc8FhW9lDTYjQX1X3bMCUrUe4PlvhiMRhg2pM1ofDbEjXvq2Tz1mJ1e&#10;AJIf4CRbnsyID+pkVg70ZxzDecyKLmY45i5oOJmL0M0IjjEX83kCYcNaFtbm1vIYuhNtvgtQyVSS&#10;KFOnzVE9bNkk+3G84kw83SfU4ydl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z3sWD0gAAAAUB&#10;AAAPAAAAAAAAAAEAIAAAACIAAABkcnMvZG93bnJldi54bWxQSwECFAAUAAAACACHTuJA5mvmuFoC&#10;AACaBAAADgAAAAAAAAABACAAAAAhAQAAZHJzL2Uyb0RvYy54bWxQSwUGAAAAAAYABgBZAQAA7QUA&#10;AAAA&#10;">
                  <v:fill on="t" focussize="0,0"/>
                  <v:stroke on="f" weight="0.5pt"/>
                  <v:imagedata o:title=""/>
                  <o:lock v:ext="edit" aspectratio="f"/>
                  <v:textbox>
                    <w:txbxContent>
                      <w:p w14:paraId="3C0055BD">
                        <w:pPr>
                          <w:rPr>
                            <w:rFonts w:hint="default" w:eastAsia="宋体"/>
                            <w:lang w:val="en-US" w:eastAsia="zh-CN"/>
                          </w:rPr>
                        </w:pPr>
                        <w:r>
                          <w:rPr>
                            <w:rFonts w:hint="eastAsia"/>
                            <w:lang w:val="en-US" w:eastAsia="zh-CN"/>
                          </w:rPr>
                          <w:t>照明</w:t>
                        </w:r>
                      </w:p>
                    </w:txbxContent>
                  </v:textbox>
                </v:shape>
                <v:line id="直接连接符 6" o:spid="_x0000_s1026" o:spt="20" style="position:absolute;left:929640;top:567690;flip:x;height:2244090;width:8255;"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DEEaZYMAgAA6wMAAA4AAABkcnMvZTJvRG9jLnhtbK1Ty3LT&#10;MBTdM8M/aLQndtwkbTxxOrShsOCRGeADFFm2NaPX6Kpx8hP8ADPsYMWSPX9D+QyuZLdA2XTBRpbu&#10;4+ieo+PV+UErshcepDUVnU5ySoThtpamrej7d1dPziiBwEzNlDWiokcB9Hz9+NGqd6UobGdVLTxB&#10;EANl7yraheDKLAPeCc1gYp0wmGys1yzg0bdZ7VmP6FplRZ4vst762nnLBQBGN0OSjoj+IYC2aSQX&#10;G8uvtTBhQPVCsYCUoJMO6DpN2zSChzdNAyIQVVFkGtKKl+B+F9dsvWJl65nrJB9HYA8Z4R4nzaTB&#10;S++gNiwwcu3lP1Bacm/BNmHCrc4GIkkRZDHN72nztmNOJC4oNbg70eH/wfLX+60nsq7oyQklhml8&#10;8ZuP3358+Pzz+ydcb75+IYuoUu+gxOJLs/XjCdzWR8qHxmvSKOleoJ2SCEiLHCq6LJaLGQp9rOh8&#10;cbpYjmqLQyAc02fFfE4Jx2xRzGb5kM4GvIjrPITnwmoSNxVV0kQtWMn2LyHgDFh6WxLDxl5JpdJ7&#10;KkN6vH5eRHyGHm3QG7jVDnmCaSlhqkXz8+ATIlgl69gdccC3u0vlyZ6hZWZPT59dXAxFHavFEF3O&#10;83wkAyy8svUQnua3cRxthElj/oUfZ94w6IaelIr6Yosy+Ik6D8rG3c7WxyR4iqMHUuHo12iyP8+p&#10;+/c/uv4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54hrtYAAAAFAQAADwAAAAAAAAABACAAAAAi&#10;AAAAZHJzL2Rvd25yZXYueG1sUEsBAhQAFAAAAAgAh07iQDEEaZYMAgAA6wMAAA4AAAAAAAAAAQAg&#10;AAAAJQEAAGRycy9lMm9Eb2MueG1sUEsFBgAAAAAGAAYAWQEAAKMFAAAAAA==&#10;">
                  <v:fill on="f" focussize="0,0"/>
                  <v:stroke color="#4A7EBB [3204]" joinstyle="round"/>
                  <v:imagedata o:title=""/>
                  <o:lock v:ext="edit" aspectratio="f"/>
                </v:line>
                <v:line id="直接连接符 7" o:spid="_x0000_s1026" o:spt="20" style="position:absolute;left:937895;top:567690;height:0;width:363855;"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0Xi1uAECAADdAwAADgAAAGRycy9lMm9Eb2MueG1srVNL&#10;ktMwEN1TxR1U2hM7yeTnijPFTBg2fFIFHECRZVtV+pVaEyeX4AJUsYMVS/bchuEYtGTPDAybWbCR&#10;W/153e+pvT4/akUOwoO0pqTjUU6JMNxW0jQl/fD+6tmSEgjMVExZI0p6EkDPN0+frDtXiIltraqE&#10;JwhioOhcSdsQXJFlwFuhGYysEwaDtfWaBbz6Jqs86xBdq2yS5/Oss75y3nIBgN5tH6QDon8MoK1r&#10;ycXW8mstTOhRvVAsICVopQO6SdPWteDhbV2DCESVFJmGdGITtPfxzDZrVjSeuVbyYQT2mBEecNJM&#10;Gmx6B7VlgZFrL/+B0pJ7C7YOI2511hNJiiCLcf5Am3ctcyJxQanB3YkO/w+WvznsPJFVSadnlBim&#10;8cVvPn3/+fHLrx+f8bz59pUsokqdgwKTL83ODzdwOx8pH2uv4xfJkGNJV9PFcjWj5FTS2XwxXw0a&#10;i2MgHMPT+XQ5wzDHeApl9wjOQ3gprCbRKKmSJrJnBTu8goBdMfU2JbqNvZJKpRdUhnTYejaJyAy3&#10;ssZtQFM7ZAamoYSpBtedB58QwSpZxeqIA77ZXypPDgyX5Oz54sXFRZ/Uskr03tUszwciwMJrW/Xu&#10;cX7rx9EGmDTmX/hx5i2Dtq9JoagoliiDn6hsr2W09rY6JYmTH189JQ4bGtfqz3uqvv8rN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iRzb9gAAAAFAQAADwAAAAAAAAABACAAAAAiAAAAZHJzL2Rv&#10;d25yZXYueG1sUEsBAhQAFAAAAAgAh07iQNF4tbgBAgAA3QMAAA4AAAAAAAAAAQAgAAAAJwEAAGRy&#10;cy9lMm9Eb2MueG1sUEsFBgAAAAAGAAYAWQEAAJoFAAAAAA==&#10;">
                  <v:fill on="f" focussize="0,0"/>
                  <v:stroke color="#4A7EBB [3204]" joinstyle="round"/>
                  <v:imagedata o:title=""/>
                  <o:lock v:ext="edit" aspectratio="f"/>
                </v:line>
                <v:shape id="文本框 8" o:spid="_x0000_s1026" o:spt="202" type="#_x0000_t202" style="position:absolute;left:1229995;top:441960;height:304165;width:737235;"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k1N3fVgCAACaBAAADgAAAGRycy9lMm9Eb2MueG1srVTNbhMxEL4j&#10;8Q6W72Tz3ybqpgqtgpAqWikgzo7Xm7Vke4ztZDc8ALxBT1y481x5DsbeTVsKhx7IwZnxTL7x981M&#10;Li4brcheOC/B5HTQ61MiDIdCmm1OP31cvTmnxAdmCqbAiJwehKeXi9evLmo7F0OoQBXCEQQxfl7b&#10;nFYh2HmWeV4JzXwPrDAYLMFpFtB126xwrEZ0rbJhvz/NanCFdcCF93h73QZph+heAghlKbm4Br7T&#10;woQW1QnFAlLylbSeLtJry1LwcFuWXgSicopMQzqxCNqbeGaLCzbfOmYrybsnsJc84RknzaTBog9Q&#10;1ywwsnPyLygtuQMPZehx0FlLJCmCLAb9Z9qsK2ZF4oJSe/sguv9/sPzD/s4RWeR0NKHEMI0dP95/&#10;P/74dfz5jZxHfWrr55i2tpgYmrfQ4NSc7j1eRtpN6XT8RkIkxofD2WyGgIecjseD2bQTWjSBcIyf&#10;jc6GsR7H+Kg/HkwnETB7xLHOh3cCNIlGTh32McnL9jc+tKmnlFjWg5LFSiqVHLfdXClH9gx7vkqf&#10;Dv2PNGVIndPpaNJPyAbi71toZfAxkXZLL1qh2TSdFhsoDiiFg3aYvOUria+8YT7cMYfTg7OF+xVu&#10;8SgVYBHoLEoqcF//dR/zsakYpaTGacyp/7JjTlCi3hts92wwHsfxTc54cjZExz2NbJ5GzE5fAZIf&#10;4CZbnsyYH9TJLB3oz7iGy1gVQ8xwrJ3TcDKvQrsjuMZcLJcpCQfWsnBj1pZH6Ci1geUuQClTS6JM&#10;rTadejiyqandesWdeOqnrMe/lM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97Fg9IAAAAFAQAA&#10;DwAAAAAAAAABACAAAAAiAAAAZHJzL2Rvd25yZXYueG1sUEsBAhQAFAAAAAgAh07iQJNTd31YAgAA&#10;mgQAAA4AAAAAAAAAAQAgAAAAIQEAAGRycy9lMm9Eb2MueG1sUEsFBgAAAAAGAAYAWQEAAOsFAAAA&#10;AA==&#10;">
                  <v:fill on="t" focussize="0,0"/>
                  <v:stroke on="f" weight="0.5pt"/>
                  <v:imagedata o:title=""/>
                  <o:lock v:ext="edit" aspectratio="f"/>
                  <v:textbox>
                    <w:txbxContent>
                      <w:p w14:paraId="725B9925">
                        <w:pPr>
                          <w:rPr>
                            <w:rFonts w:hint="default" w:eastAsia="宋体"/>
                            <w:lang w:val="en-US" w:eastAsia="zh-CN"/>
                          </w:rPr>
                        </w:pPr>
                        <w:r>
                          <w:rPr>
                            <w:rFonts w:hint="eastAsia"/>
                            <w:lang w:val="en-US" w:eastAsia="zh-CN"/>
                          </w:rPr>
                          <w:t>正常照明</w:t>
                        </w:r>
                      </w:p>
                    </w:txbxContent>
                  </v:textbox>
                </v:shape>
                <v:line id="直接连接符 10" o:spid="_x0000_s1026" o:spt="20" style="position:absolute;left:950595;top:1252855;height:0;width:3632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3nY6mAICAADfAwAADgAAAGRycy9lMm9Eb2MueG1srVPN&#10;ctMwEL4zwztodCd2HBxaT5wObSgXfjIDPIAiy7Zm9DdaNU5eghdghhucOHLnbdo+Bis5baBceuAi&#10;r/bn2/0+rRdnO63IVniQ1tR0OskpEYbbRpqupp8+Xj47oQQCMw1T1oia7gXQs+XTJ4vBVaKwvVWN&#10;8ARBDFSDq2kfgquyDHgvNIOJdcJgsLVes4BX32WNZwOia5UVeT7PBusb5y0XAOhdjUF6QPSPAbRt&#10;K7lYWX6lhQkjqheKBaQEvXRAl2nathU8vG9bEIGomiLTkE5sgvYmntlywarOM9dLfhiBPWaEB5w0&#10;kwab3kOtWGDkyst/oLTk3oJtw4RbnY1EkiLIYpo/0OZDz5xIXFBqcPeiw/+D5e+2a09kU9PZnBLD&#10;NL74zZef15+/3f76iufNj+9kmmQaHFSYfWHWHkWLN3BrHznvWq/jF9mQXU1Py7w8LSnZ43YVZXFS&#10;lqPKYhcIx/hsPisK1J9jQkLOjhDOQ3gtrCbRqKmSJvJnFdu+gYBtMfUuJbqNvZRKpTdUhgyxd4Gd&#10;OcO9bHEf0NQOuYHpKGGqw4XnwSdEsEo2sTrigO82F8qTLcM1ef7yxavz8zGpZ40YvcgqP6wLsPDW&#10;NqN7mt/5cbQDTBrzL/w484pBP9akUNQES5TBz1HMaG1ss08aJz++e0o87GhcrD/vqfr4Xy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okc2/YAAAABQEAAA8AAAAAAAAAAQAgAAAAIgAAAGRycy9k&#10;b3ducmV2LnhtbFBLAQIUABQAAAAIAIdO4kDedjqYAgIAAN8DAAAOAAAAAAAAAAEAIAAAACcBAABk&#10;cnMvZTJvRG9jLnhtbFBLBQYAAAAABgAGAFkBAACbBQAAAAA=&#10;">
                  <v:fill on="f" focussize="0,0"/>
                  <v:stroke color="#4A7EBB [3204]" joinstyle="round"/>
                  <v:imagedata o:title=""/>
                  <o:lock v:ext="edit" aspectratio="f"/>
                </v:line>
                <v:shape id="文本框 11" o:spid="_x0000_s1026" o:spt="202" type="#_x0000_t202" style="position:absolute;left:1242060;top:1127760;height:303530;width:7366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vUW4fFoCAACcBAAADgAAAGRycy9lMm9Eb2MueG1srVTBbhMxEL0j&#10;8Q+W72R3kzSBqJsqtApCqmilgDg7Xm/Wku0xtpPd8AHwBz1x4c535TsYe5O2FA49kMNm7Hn7xu95&#10;Zs8vOq3ITjgvwZS0GOSUCMOhkmZT0k8fl69eU+IDMxVTYERJ98LTi/nLF+etnYkhNKAq4QiSGD9r&#10;bUmbEOwsyzxvhGZ+AFYYTNbgNAu4dJuscqxFdq2yYZ5PshZcZR1w4T3uXvVJemR0zyGEupZcXAHf&#10;amFCz+qEYgEl+UZaT+fptHUteLipay8CUSVFpSE9sQjG6/jM5udstnHMNpIfj8Cec4QnmjSTBove&#10;U12xwMjWyb+otOQOPNRhwEFnvZDkCKoo8iferBpmRdKCVnt7b7r/f7T8w+7WEVmVdDSlxDCNN364&#10;+3748evw8xspimhQa/0McSuLyNC9hQ7b5rTvcTPq7mqn4z8qIjE/HA/zCZq8x7gYTqcYJ6tFFwhH&#10;wHQ0meSY5wgY5aOzUcpnD0TW+fBOgCYxKKnDm0wGs921D0iF0BMk1vWgZLWUSqWF26wvlSM7hre+&#10;TL9YHV/5A6YMaUs6GZ3lidlAfL/HKYPwqLvXF6PQrTtMxnAN1R69cNC3k7d8KfGU18yHW+awf1AY&#10;Tli4wUetAIvAMaKkAff1X/sRj9eKWUpa7MeS+i9b5gQl6r3BC39TjMdIG9JifDYd4sI9zqwfZ8xW&#10;XwKKL3CWLU9hxAd1CmsH+jMO4iJWxRQzHGuXNJzCy9BPCQ4yF4tFAmHLWhauzcrySB2tNrDYBqhl&#10;upIHb47uYdMm248DFqfi8TqhHj4q8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z3sWD0gAAAAUB&#10;AAAPAAAAAAAAAAEAIAAAACIAAABkcnMvZG93bnJldi54bWxQSwECFAAUAAAACACHTuJAvUW4fFoC&#10;AACcBAAADgAAAAAAAAABACAAAAAhAQAAZHJzL2Uyb0RvYy54bWxQSwUGAAAAAAYABgBZAQAA7QUA&#10;AAAA&#10;">
                  <v:fill on="t" focussize="0,0"/>
                  <v:stroke on="f" weight="0.5pt"/>
                  <v:imagedata o:title=""/>
                  <o:lock v:ext="edit" aspectratio="f"/>
                  <v:textbox>
                    <w:txbxContent>
                      <w:p w14:paraId="62267B03">
                        <w:pPr>
                          <w:rPr>
                            <w:rFonts w:hint="default" w:eastAsia="宋体"/>
                            <w:lang w:val="en-US" w:eastAsia="zh-CN"/>
                          </w:rPr>
                        </w:pPr>
                        <w:r>
                          <w:rPr>
                            <w:rFonts w:hint="eastAsia"/>
                            <w:lang w:val="en-US" w:eastAsia="zh-CN"/>
                          </w:rPr>
                          <w:t>应急照明</w:t>
                        </w:r>
                      </w:p>
                    </w:txbxContent>
                  </v:textbox>
                </v:shape>
                <v:line id="直接连接符 12" o:spid="_x0000_s1026" o:spt="20" style="position:absolute;left:942340;top:1802765;height:0;width:3632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tb9aDgQCAADfAwAADgAAAGRycy9lMm9Eb2MueG1srVNL&#10;ctQwEN1TxR1U2jP2eD5JXONJkQxhw2eqgANoZNlWlX6lVsYzl+ACVLGDFUv23IZwDFqyk0DYZMFG&#10;lvrzut/r9ur8oBXZCw/SmopOJzklwnBbS9NW9MP7q2enlEBgpmbKGlHRowB6vn76ZNW7UhS2s6oW&#10;niCIgbJ3Fe1CcGWWAe+EZjCxThh0NtZrFvDp26z2rEd0rbIiz5dZb33tvOUCAK2bwUlHRP8YQNs0&#10;kouN5ddamDCgeqFYQErQSQd0nbptGsHD26YBEYiqKDIN6cQieN/FM1uvWNl65jrJxxbYY1p4wEkz&#10;abDoHdSGBUauvfwHSkvuLdgmTLjV2UAkKYIspvkDbd51zInEBaUGdyc6/D9Y/ma/9UTWFZ3h3A3T&#10;OPGbT99/fvzy68dnPG++fSXTIsrUOygx+tJs/fgCt/WR86HxOn6RDTlU9GxezOao7xG36zQvTpaL&#10;QWVxCISjf7acFQX6OQakAWT3EM5DeCmsJvFSUSVN5M9Ktn8FActi6G1INBt7JZVKM1SG9Fh7USwQ&#10;meFeNrgPeNUOuYFpKWGqxYXnwSdEsErWMTvigG93l8qTPcM1mT8/eXFxMQR1rBaD9WyR5+O6AAuv&#10;bT2Yp/mtHVsbYVKbf+HHnjcMuiEnuaImmKIMfqK0g5jxtrP1MWmc7Dj3FDjuaFysP98p+/6/XP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iRzb9gAAAAFAQAADwAAAAAAAAABACAAAAAiAAAAZHJz&#10;L2Rvd25yZXYueG1sUEsBAhQAFAAAAAgAh07iQLW/Wg4EAgAA3wMAAA4AAAAAAAAAAQAgAAAAJwEA&#10;AGRycy9lMm9Eb2MueG1sUEsFBgAAAAAGAAYAWQEAAJ0FAAAAAA==&#10;">
                  <v:fill on="f" focussize="0,0"/>
                  <v:stroke color="#4A7EBB [3204]" joinstyle="round"/>
                  <v:imagedata o:title=""/>
                  <o:lock v:ext="edit" aspectratio="f"/>
                </v:line>
                <v:shape id="文本框 13" o:spid="_x0000_s1026" o:spt="202" type="#_x0000_t202" style="position:absolute;left:1233805;top:1677670;height:303530;width:7366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kGiPA10CAACcBAAADgAAAGRycy9lMm9Eb2MueG1srVTBbtswDL0P&#10;2D8Iuq924iZpgzpF1iLDgGIt0A07K7IcC5BETVJidx+w/UFPu+y+78p3jJKdtut26GE5OJT4TPI9&#10;kj4777QiO+G8BFPS0VFOiTAcKmk2Jf30cfXmhBIfmKmYAiNKeic8PV+8fnXW2rkYQwOqEo5gEOPn&#10;rS1pE4KdZ5nnjdDMH4EVBp01OM0CHt0mqxxrMbpW2TjPp1kLrrIOuPAeby97Jx0iupcEhLqWXFwC&#10;32phQh/VCcUCUvKNtJ4uUrV1LXi4rmsvAlElRaYhPTEJ2uv4zBZnbL5xzDaSDyWwl5TwjJNm0mDS&#10;h1CXLDCydfKvUFpyBx7qcMRBZz2RpAiyGOXPtLltmBWJC0rt7YPo/v+F5R92N47IqqTFKSWGaez4&#10;/v77/sev/c9vZFREgVrr54i7tYgM3VvocGwO9x4vI++udjr+IyMS/eOiOMknlNyhPZ3NprNBatEF&#10;whEwK6bTHJvAEVDkxaRI/uwxkHU+vBOgSTRK6rCTSWC2u/IBi0LoARLzelCyWkml0sFt1hfKkR3D&#10;rq/SL9aLr/wBU4a0JZ0WkzxFNhDf73HKIDzy7vlFK3TrbhBjDdUdauGgHydv+UpilVfMhxvmcH6Q&#10;GG5YuMZHrQCTwGBR0oD7+q/7iMe2opeSFuexpP7LljlBiXpvsOGno+PjOMDpcDyZjfHgnnrWTz1m&#10;qy8AyY9wly1PZsQHdTBrB/ozLuIyZkUXMxxzlzQczIvQbwkuMhfLZQLhyFoWrsyt5TF0lNrAchug&#10;lqklUaZem0E9HNok+7BgcSuenhPq8aOy+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z3sWD0gAA&#10;AAUBAAAPAAAAAAAAAAEAIAAAACIAAABkcnMvZG93bnJldi54bWxQSwECFAAUAAAACACHTuJAkGiP&#10;A10CAACcBAAADgAAAAAAAAABACAAAAAhAQAAZHJzL2Uyb0RvYy54bWxQSwUGAAAAAAYABgBZAQAA&#10;8AUAAAAA&#10;">
                  <v:fill on="t" focussize="0,0"/>
                  <v:stroke on="f" weight="0.5pt"/>
                  <v:imagedata o:title=""/>
                  <o:lock v:ext="edit" aspectratio="f"/>
                  <v:textbox>
                    <w:txbxContent>
                      <w:p w14:paraId="712C3852">
                        <w:pPr>
                          <w:rPr>
                            <w:rFonts w:hint="default" w:eastAsia="宋体"/>
                            <w:lang w:val="en-US" w:eastAsia="zh-CN"/>
                          </w:rPr>
                        </w:pPr>
                        <w:r>
                          <w:rPr>
                            <w:rFonts w:hint="eastAsia"/>
                            <w:lang w:val="en-US" w:eastAsia="zh-CN"/>
                          </w:rPr>
                          <w:t>值班照明</w:t>
                        </w:r>
                      </w:p>
                    </w:txbxContent>
                  </v:textbox>
                </v:shape>
                <v:line id="直接连接符 14" o:spid="_x0000_s1026" o:spt="20" style="position:absolute;left:941705;top:2810510;height:0;width:3632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ES9M5gICAADfAwAADgAAAGRycy9lMm9Eb2MueG1srVNL&#10;bhQxEN0jcQfLe6Y/mcmnNT0RyRA2fEYCDuBxu7st+SeXMz1zCS6AxI6sWLLnNoRjUHY3CYRNFmzc&#10;5fq8qvdcvTzfa0V2woO0pqbFLKdEGG4babqafnh/9eyUEgjMNExZI2p6EEDPV0+fLAdXidL2VjXC&#10;EwQxUA2upn0Irsoy4L3QDGbWCYPB1nrNAl59lzWeDYiuVVbm+XE2WN84b7kAQO96DNIJ0T8G0Lat&#10;5GJt+bUWJoyoXigWkBL00gFdpWnbVvDwtm1BBKJqikxDOrEJ2tt4ZqslqzrPXC/5NAJ7zAgPOGkm&#10;DTa9g1qzwMi1l/9Aacm9BduGGbc6G4kkRZBFkT/Q5l3PnEhcUGpwd6LD/4Plb3YbT2RT0zlKYpjG&#10;F7/99O3Hxy8/v3/G8/brDSnmUabBQYXZl2bjpxu4jY+c963X8YtsyL6mZ/PiJF9QcqhpeVrki2JS&#10;WewD4Rg/Oj4qS2zGMSGFsnsI5yG8FFaTaNRUSRP5s4rtXkHAtpj6OyW6jb2SSqU3VIYM2HtRYmfO&#10;cC9b3Ac0tUNuYDpKmOpw4XnwCRGskk2sjjjgu+2l8mTHcE3mz09eXFyMST1rxOg9W+T5RARYeG2b&#10;0Y38Jj+ONsGkMf/CjzOvGfRjTQpFSbFEGfxEaUcxo7W1zSFpnPz47ilx2tG4WH/eU/X9f7n6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okc2/YAAAABQEAAA8AAAAAAAAAAQAgAAAAIgAAAGRycy9k&#10;b3ducmV2LnhtbFBLAQIUABQAAAAIAIdO4kARL0zmAgIAAN8DAAAOAAAAAAAAAAEAIAAAACcBAABk&#10;cnMvZTJvRG9jLnhtbFBLBQYAAAAABgAGAFkBAACbBQAAAAA=&#10;">
                  <v:fill on="f" focussize="0,0"/>
                  <v:stroke color="#4A7EBB [3204]" joinstyle="round"/>
                  <v:imagedata o:title=""/>
                  <o:lock v:ext="edit" aspectratio="f"/>
                </v:line>
                <v:shape id="文本框 15" o:spid="_x0000_s1026" o:spt="202" type="#_x0000_t202" style="position:absolute;left:1233170;top:2685415;height:303530;width:7366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kHoX2l4CAACcBAAADgAAAGRycy9lMm9Eb2MueG1srVTNbhMxEL4j&#10;8Q6W73Q32fyUqJsqtApCimilgDg7Xm/Wku0xtpPd8gDwBpy4cOe58hyMvUlbCoceyGEz9nz7zcw3&#10;M3tx2WlF9sJ5Caakg7OcEmE4VNJsS/rxw/LVOSU+MFMxBUaU9E54ejl/+eKitTMxhAZUJRxBEuNn&#10;rS1pE4KdZZnnjdDMn4EVBp01OM0CHt02qxxrkV2rbJjnk6wFV1kHXHiPt9e9kx4Z3XMIoa4lF9fA&#10;d1qY0LM6oVjAknwjrafzlG1dCx5u6tqLQFRJsdKQnhgE7U18ZvMLNts6ZhvJjymw56TwpCbNpMGg&#10;91TXLDCyc/IvKi25Aw91OOOgs76QpAhWMcifaLNumBWpFpTa23vR/f+j5e/3t47IqqSjASWGaez4&#10;4fu3w49fh59fyWAcBWqtnyFubREZujfQ4dic7j1exrq72un4jxWR6B8WxWCKIt+VdDg5H496JjYT&#10;XSAcAdNiMsnRzxFQ5MW4SK3IHois8+GtAE2iUVKHnUwCs/3KB0wKoSdIjOtByWoplUoHt91cKUf2&#10;DLu+TL+YL77yB0wZ0pZ0UozzxGwgvt/jlEF4rLuvL1qh23RHMTZQ3aEWDvpx8pYvJWa5Yj7cMofz&#10;g4XhhoUbfNQKMAgcLUoacF/+dR/x2Fb0UtLiPJbUf94xJyhR7ww2/PVgNELakA6j8XSIB/fYs3ns&#10;MTt9BVg89hSzS2bEB3Uyawf6Ey7iIkZFFzMcY5c0nMyr0G8JLjIXi0UC4chaFlZmbXmkjlIbWOwC&#10;1DK1JMrUa3NUD4c2yX5csLgVj88J9fBRmf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97Fg9IA&#10;AAAFAQAADwAAAAAAAAABACAAAAAiAAAAZHJzL2Rvd25yZXYueG1sUEsBAhQAFAAAAAgAh07iQJB6&#10;F9peAgAAnAQAAA4AAAAAAAAAAQAgAAAAIQEAAGRycy9lMm9Eb2MueG1sUEsFBgAAAAAGAAYAWQEA&#10;APEFAAAAAA==&#10;">
                  <v:fill on="t" focussize="0,0"/>
                  <v:stroke on="f" weight="0.5pt"/>
                  <v:imagedata o:title=""/>
                  <o:lock v:ext="edit" aspectratio="f"/>
                  <v:textbox>
                    <w:txbxContent>
                      <w:p w14:paraId="563006F7">
                        <w:pPr>
                          <w:rPr>
                            <w:rFonts w:hint="default" w:eastAsia="宋体"/>
                            <w:lang w:val="en-US" w:eastAsia="zh-CN"/>
                          </w:rPr>
                        </w:pPr>
                        <w:r>
                          <w:rPr>
                            <w:rFonts w:hint="eastAsia"/>
                            <w:lang w:val="en-US" w:eastAsia="zh-CN"/>
                          </w:rPr>
                          <w:t>障碍照明</w:t>
                        </w:r>
                      </w:p>
                    </w:txbxContent>
                  </v:textbox>
                </v:shape>
                <v:line id="直接连接符 16" o:spid="_x0000_s1026" o:spt="20" style="position:absolute;left:942340;top:2303145;height:0;width:3632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XPMvFAQCAADfAwAADgAAAGRycy9lMm9Eb2MueG1srVNL&#10;ctQwEN1TxR1U2jP2eD4krvGkSIaw4TNVwAE0smyrSr9SK+OZS3ABqtjBiiV7bpNwDFqyk0DYZMFG&#10;lvrzut/r9ursoBXZCw/SmopOJzklwnBbS9NW9OOHy2cnlEBgpmbKGlHRowB6tn76ZNW7UhS2s6oW&#10;niCIgbJ3Fe1CcGWWAe+EZjCxThh0NtZrFvDp26z2rEd0rbIiz5dZb33tvOUCAK2bwUlHRP8YQNs0&#10;kouN5VdamDCgeqFYQErQSQd0nbptGsHDu6YBEYiqKDIN6cQieN/FM1uvWNl65jrJxxbYY1p4wEkz&#10;abDoHdSGBUauvPwHSkvuLdgmTLjV2UAkKYIspvkDbd53zInEBaUGdyc6/D9Y/na/9UTWFZ0XlBim&#10;ceI3n39cf/r66+cXPG++fyPTZZSpd1Bi9IXZ+vEFbusj50PjdfwiG3Ko6Om8mM1R32NFi1k+m84X&#10;g8riEAhH/2w5Kwr0cwxIA8juIZyH8EpYTeKlokqayJ+VbP8aApbF0NuQaDb2UiqVZqgM6bH2olgg&#10;MsO9bHAf8KodcgPTUsJUiwvPg0+IYJWsY3bEAd/uLpQne4ZrMn/x/OX5+RDUsVoM1tNFno/rAiy8&#10;sfVgnua3dmxthElt/oUfe94w6Iac5IqaYIoy+InSDmLG287Wx6RxsuPcU+C4o3Gx/nyn7Pv/cv0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OiRzb9gAAAAFAQAADwAAAAAAAAABACAAAAAiAAAAZHJz&#10;L2Rvd25yZXYueG1sUEsBAhQAFAAAAAgAh07iQFzzLxQEAgAA3wMAAA4AAAAAAAAAAQAgAAAAJwEA&#10;AGRycy9lMm9Eb2MueG1sUEsFBgAAAAAGAAYAWQEAAJ0FAAAAAA==&#10;">
                  <v:fill on="f" focussize="0,0"/>
                  <v:stroke color="#4A7EBB [3204]" joinstyle="round"/>
                  <v:imagedata o:title=""/>
                  <o:lock v:ext="edit" aspectratio="f"/>
                </v:line>
                <v:shape id="文本框 17" o:spid="_x0000_s1026" o:spt="202" type="#_x0000_t202" style="position:absolute;left:1233805;top:2178050;height:303530;width:7366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TB7GH1sCAACcBAAADgAAAGRycy9lMm9Eb2MueG1srVTBbhMxEL0j&#10;8Q+W73Q32TQpUTdVSBSEVNFKBXF2vN6sJdtjbCe75QPgDzhx4c539TsYezdtKRx6IAdn7Hkez3sz&#10;s+cXnVbkIJyXYEo6OskpEYZDJc2upB8/bF6dUeIDMxVTYERJb4WnF4uXL85bOxdjaEBVwhEMYvy8&#10;tSVtQrDzLPO8EZr5E7DCoLMGp1nArdtllWMtRtcqG+f5NGvBVdYBF97j6bp30iGie05AqGvJxRr4&#10;XgsT+qhOKBaQkm+k9XSRsq1rwcNVXXsRiCopMg1pxUfQ3sY1W5yz+c4x20g+pMCek8ITTppJg4/e&#10;h1qzwMjeyb9CackdeKjDCQed9USSIshilD/R5qZhViQuKLW396L7/xeWvz9cOyKrkk4KSgzTWPG7&#10;79/ufvy6+/mVjGZRoNb6OeJuLCJD9wY6bJvjucfDyLurnY7/yIhE/7gozvJTSm5LOh7N0BykFl0g&#10;HAGzYjrNsQgcAUVenBbJnz0Ess6HtwI0iUZJHVYyCcwOlz5gUgg9QuK7HpSsNlKptHG77Uo5cmBY&#10;9U36xXzxyh8wZUhb0mmBucVbBuL9HqcMwiPvnl+0QrftBjG2UN2iFg76dvKWbyRmecl8uGYO+weJ&#10;4YSFK1xqBfgIDBYlDbgv/zqPeCwreilpsR9L6j/vmROUqHcGC/56NJnEBk6byelsjBv32LN97DF7&#10;vQIkP8JZtjyZER/U0awd6E84iMv4KrqY4fh2ScPRXIV+SnCQuVguEwhb1rJwaW4sj6F70Zb7ALVM&#10;JYky9doM6mHTJtmHAYtT8XifUA8flc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s97Fg9IAAAAF&#10;AQAADwAAAAAAAAABACAAAAAiAAAAZHJzL2Rvd25yZXYueG1sUEsBAhQAFAAAAAgAh07iQEwexh9b&#10;AgAAnAQAAA4AAAAAAAAAAQAgAAAAIQEAAGRycy9lMm9Eb2MueG1sUEsFBgAAAAAGAAYAWQEAAO4F&#10;AAAAAA==&#10;">
                  <v:fill on="t" focussize="0,0"/>
                  <v:stroke on="f" weight="0.5pt"/>
                  <v:imagedata o:title=""/>
                  <o:lock v:ext="edit" aspectratio="f"/>
                  <v:textbox>
                    <w:txbxContent>
                      <w:p w14:paraId="062F9C74">
                        <w:pPr>
                          <w:rPr>
                            <w:rFonts w:hint="default" w:eastAsia="宋体"/>
                            <w:lang w:val="en-US" w:eastAsia="zh-CN"/>
                          </w:rPr>
                        </w:pPr>
                        <w:r>
                          <w:rPr>
                            <w:rFonts w:hint="eastAsia"/>
                            <w:lang w:val="en-US" w:eastAsia="zh-CN"/>
                          </w:rPr>
                          <w:t>警卫照明</w:t>
                        </w:r>
                      </w:p>
                    </w:txbxContent>
                  </v:textbox>
                </v:shape>
                <v:line id="直接连接符 18" o:spid="_x0000_s1026" o:spt="20" style="position:absolute;left:1978660;top:1271270;flip:y;height:8255;width:330835;"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IHyKa8LAgAA7QMAAA4AAABkcnMvZTJvRG9jLnhtbK1TS44T&#10;MRDdI3EHy3vSne8krXRGzIRhwycSn73jdndb8k8uTzq5BBdAYgcrluy5DcMxKLt7Bhg2s0CKrKpy&#10;1XO9l9fr86NW5CA8SGtKOh7llAjDbSVNU9J3b6+eLCmBwEzFlDWipCcB9Hzz+NG6c4WY2NaqSniC&#10;IAaKzpW0DcEVWQa8FZrByDph8LK2XrOAqW+yyrMO0bXKJnm+yDrrK+ctFwBY3faXdED0DwG0dS25&#10;2Fp+rYUJPaoXigWkBK10QDdp27oWPLyuaxCBqJIi05BOfATjfTyzzZoVjWeulXxYgT1khXucNJMG&#10;H72D2rLAyLWX/0Bpyb0FW4cRtzrriSRFkMU4v6fNm5Y5kbig1ODuRIf/B8tfHXaeyKqksxklhmn8&#10;x28+fvvx4fPP75/wvPn6hYyXUabOQYHdl2bnhwzczkfOx9prUivp3qOfkgrIixwxWZ0tFwuU+oTx&#10;5Ax/g+DiGAjHhuk0X07nlHBsWE7m8/hO1gNGYOchPBdWkxiUVEkT1WAFO7yA0LfetsSysVdSKayz&#10;QhnSlXQ1n0Rwhi6t0R0YaodMwTSUMNWg/XnwCRGsklWcjsPgm/2l8uTA0DSzp2fPLi76ppZVoq+u&#10;5nk+cAEWXtqqL4/z2zqyGGASo7/w485bBm0/k64G4spgdxS6lzZGe1udkuKpji5IeINjo83+zNP0&#10;76908w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PniGu1gAAAAUBAAAPAAAAAAAAAAEAIAAAACIA&#10;AABkcnMvZG93bnJldi54bWxQSwECFAAUAAAACACHTuJAgfIprwsCAADtAwAADgAAAAAAAAABACAA&#10;AAAlAQAAZHJzL2Uyb0RvYy54bWxQSwUGAAAAAAYABgBZAQAAogUAAAAA&#10;">
                  <v:fill on="f" focussize="0,0"/>
                  <v:stroke color="#4A7EBB [3204]" joinstyle="round"/>
                  <v:imagedata o:title=""/>
                  <o:lock v:ext="edit" aspectratio="f"/>
                </v:line>
                <v:line id="直接连接符 19" o:spid="_x0000_s1026" o:spt="20" style="position:absolute;left:2309495;top:712470;height:1485265;width: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HRpcoAICAADgAwAADgAAAGRycy9lMm9Eb2MueG1srVPL&#10;btQwFN0j8Q+W90wezHSaaDIV7VA2PEYCPuCO4ySW/JLtTmZ+gh9AYkdXLNnzN5TP4DpJWyibLtg4&#10;93l8z/HN6uygJNlz54XRFc1mKSVcM1ML3Vb044fLZ6eU+AC6Bmk0r+iRe3q2fvpk1duS56YzsuaO&#10;IIj2ZW8r2oVgyyTxrOMK/MxYrjHZGKcgoOvapHbQI7qSSZ6mJ0lvXG2dYdx7jG7GJJ0Q3WMATdMI&#10;xjeGXSmuw4jquISAlHwnrKfrYdqm4Sy8axrPA5EVRaZhOPEStHfxTNYrKFsHthNsGgEeM8IDTgqE&#10;xkvvoDYQgFw58Q+UEswZb5owY0YlI5FBEWSRpQ+0ed+B5QMXlNrbO9H9/4Nlb/dbR0Rd0fmCEg0K&#10;X/zm8/efn77++vEFz5tv1yQroky99SVWX+itmzxvty5yPjROxS+yIYeK5s/TYl4g2rGiyyyfLyeV&#10;+SEQhnmUnmEqm58u8pNFhE7uMazz4RU3ikSjolLoKACUsH/tw1h6WxLD2lwKKTEOpdSkr2ixyPFm&#10;BriYDS4EmsoiOa9bSkC2uPEsuAHRGynq2B2bvWt3F9KRPeCezF8sX56fj0Ud1HyMFos0nZh4CG9M&#10;PYaz9DaOLCaYgdFf+HHmDfhu7BlSE3GpsTpqO6oZrZ2pj4PIQxwffsCbljRu1p/+0H3/Y65/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okc2/YAAAABQEAAA8AAAAAAAAAAQAgAAAAIgAAAGRycy9k&#10;b3ducmV2LnhtbFBLAQIUABQAAAAIAIdO4kAdGlygAgIAAOADAAAOAAAAAAAAAAEAIAAAACcBAABk&#10;cnMvZTJvRG9jLnhtbFBLBQYAAAAABgAGAFkBAACbBQAAAAA=&#10;">
                  <v:fill on="f" focussize="0,0"/>
                  <v:stroke color="#4A7EBB [3204]" joinstyle="round"/>
                  <v:imagedata o:title=""/>
                  <o:lock v:ext="edit" aspectratio="f"/>
                </v:line>
                <v:line id="直接连接符 20" o:spid="_x0000_s1026" o:spt="20" style="position:absolute;left:2309495;top:699135;flip:y;height:8255;width:287655;"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I7S5JQMAgAA7AMAAA4AAABkcnMvZTJvRG9jLnhtbK2TS27b&#10;MBCG9wV6B4L7WrJiO5ZgOWjipps+DPSxpylSIsAXSMayL9ELFOguXXXZfW/T9BgdUkrSppssuiGG&#10;M8OP/H+NVmcHJdGeOS+MrvF0kmPENDWN0G2NP7y/fLbEyAeiGyKNZjU+Mo/P1k+frHpbscJ0RjbM&#10;IYBoX/W2xl0ItsoyTzumiJ8YyzQUuXGKBNi6Nmsc6YGuZFbk+SLrjWusM5R5D9nNUMQj0T0GaDgX&#10;lG0MvVJMh4HqmCQBJPlOWI/X6bWcMxrecu5ZQLLGoDSkFS6BeBfXbL0iVeuI7QQdn0Ae84QHmhQR&#10;Gi69Q21IIOjKiX9QSlBnvOFhQo3KBiHJEVAxzR94864jliUtYLW3d6b7/4elb/Zbh0RT49kCI00U&#10;fPGbz99/frr+9eMLrDffvqIi2dRbX0H3hd46MC3uvN26qPnAnUJcCvsR5im5ALrQocbFSV7OyjlG&#10;xxovynJ6Mh/8ZoeAaKwvTxdzKFOoLwuIAJwNvMi1zoeXzCgUgxpLoaMZpCL7Vz4MrbctMa3NpZAy&#10;fVCpUV/jcl5EOIEh5TAcECoLQr1uMSKyhemnwSWiN1I08XTkeNfuLqRDewIzM3t++uL8fGjqSMOG&#10;bDnP83F2PAmvTTOkp/ltHlSMmKToL35884b4bjiTSqNwqaH73tkY7UxzTIanPAxB4o0DG6fsz306&#10;ff+Trn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54hrtYAAAAFAQAADwAAAAAAAAABACAAAAAi&#10;AAAAZHJzL2Rvd25yZXYueG1sUEsBAhQAFAAAAAgAh07iQI7S5JQMAgAA7AMAAA4AAAAAAAAAAQAg&#10;AAAAJQEAAGRycy9lMm9Eb2MueG1sUEsFBgAAAAAGAAYAWQEAAKMFAAAAAA==&#10;">
                  <v:fill on="f" focussize="0,0"/>
                  <v:stroke color="#4A7EBB [3204]" joinstyle="round"/>
                  <v:imagedata o:title=""/>
                  <o:lock v:ext="edit" aspectratio="f"/>
                </v:line>
                <v:shape id="文本框 21" o:spid="_x0000_s1026" o:spt="202" type="#_x0000_t202" style="position:absolute;left:2668905;top:551815;height:303530;width:7366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PugFbF8CAACbBAAADgAAAGRycy9lMm9Eb2MueG1srVSxbtswEN0L&#10;9B8I7o0k23IcI3LgJnBRIGgCpEVnmqIsAiSPJWlL6Qe0f5CpS/d+V76jR8pO0rRDhmqgjrynO753&#10;dzo967UiO+G8BFPR4iinRBgOtTSbin76uHozo8QHZmqmwIiK3gpPzxavX512di5G0IKqhSMYxPh5&#10;ZyvahmDnWeZ5KzTzR2CFQWcDTrOAW7fJasc6jK5VNsrzadaBq60DLrzH04vBSfcR3UsCQtNILi6A&#10;b7UwYYjqhGIBKflWWk8X6bZNI3i4ahovAlEVRaYhrZgE7XVcs8Upm28cs63k+yuwl1zhGSfNpMGk&#10;D6EuWGBk6+RfobTkDjw04YiDzgYiSRFkUeTPtLlpmRWJC0rt7YPo/v+F5R92147IuqKTY0oM01jx&#10;+7vv9z9+3f/8RkZFFKizfo64G4vI0L+FHtvmcO7xMPLuG6fjGxkR9I+m09lJXlJyW9GyLGZFOSgt&#10;+kA4+o/H02mONeDoH+fjcpwqkT3Gsc6HdwI0iUZFHRYy6ct2lz7gnRB6gMS0HpSsV1KptHGb9bly&#10;ZMew6Kv0xOz4yR8wZUhX0em4zFNkA/H7AacMwiPtgV60Qr/u91qsob5FKRwM3eQtX0m85SXz4Zo5&#10;bB8khgMWrnBpFGAS2FuUtOC+/us84rGq6KWkw3asqP+yZU5Qot4brPdJMZnE/k2bSXk8wo176lk/&#10;9ZitPgckX+AoW57MiA/qYDYO9Gecw2XMii5mOOauaDiY52EYEpxjLpbLBMKOtSxcmhvLY+gotYHl&#10;NkAjU0miTIM2e/WwZ5Ps+/mKQ/F0n1CP/5TF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PexYPS&#10;AAAABQEAAA8AAAAAAAAAAQAgAAAAIgAAAGRycy9kb3ducmV2LnhtbFBLAQIUABQAAAAIAIdO4kA+&#10;6AVsXwIAAJsEAAAOAAAAAAAAAAEAIAAAACEBAABkcnMvZTJvRG9jLnhtbFBLBQYAAAAABgAGAFkB&#10;AADyBQAAAAA=&#10;">
                  <v:fill on="t" focussize="0,0"/>
                  <v:stroke on="f" weight="0.5pt"/>
                  <v:imagedata o:title=""/>
                  <o:lock v:ext="edit" aspectratio="f"/>
                  <v:textbox>
                    <w:txbxContent>
                      <w:p w14:paraId="3920C9C9">
                        <w:pPr>
                          <w:rPr>
                            <w:rFonts w:hint="default" w:eastAsia="宋体"/>
                            <w:lang w:val="en-US" w:eastAsia="zh-CN"/>
                          </w:rPr>
                        </w:pPr>
                        <w:r>
                          <w:rPr>
                            <w:rFonts w:hint="eastAsia"/>
                            <w:lang w:val="en-US" w:eastAsia="zh-CN"/>
                          </w:rPr>
                          <w:t>疏散照明</w:t>
                        </w:r>
                      </w:p>
                    </w:txbxContent>
                  </v:textbox>
                </v:shape>
                <v:line id="直接连接符 22" o:spid="_x0000_s1026" o:spt="20" style="position:absolute;left:2313305;top:1485900;flip:y;height:7620;width:287020;"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A0LbUEMAgAA7QMAAA4AAABkcnMvZTJvRG9jLnhtbK1TS44T&#10;MRDdI3EHy3vSnU4yk7TSGTEThg2fSHz2jtvdbck/uTz5XIILILGDFUv23IbhGJTdnQGGzSzYWOWq&#10;8nO95+flxUErshMepDUVHY9ySoThtpamrei7t9dP5pRAYKZmyhpR0aMAerF6/Gi5d6UobGdVLTxB&#10;EAPl3lW0C8GVWQa8E5rByDphsNhYr1nArW+z2rM9omuVFXl+lu2tr523XABgdt0X6YDoHwJom0Zy&#10;sbb8RgsTelQvFAtICTrpgK7StE0jeHjdNCACURVFpiGteAnG27hmqyUrW89cJ/kwAnvICPc4aSYN&#10;XnoHtWaBkRsv/4HSknsLtgkjbnXWE0mKIItxfk+bNx1zInFBqcHdiQ7/D5a/2m08kXVFp/juhml8&#10;8duP3358+Pzz+ydcb79+IUURZdo7KLH7ymz8sAO38ZHzofGaNEq69+inpALyIoeKFpPxZJLPKDli&#10;YTqfLfJBcHEIhMeG+Xle4FNwbDg/wwiRsx4wAjsP4bmwmsSgokqaqAYr2e4FhL711BLTxl5LpTDP&#10;SmXIvqKLWYGXc4YubdAdGGqHTMG0lDDVov158AkRrJJ1PB0Pg2+3V8qTHUPTTJ+eP7u87Js6Vos+&#10;u5jlJy7Awktb9+lxfsojiwEmMfoLP868ZtD1Z1JpIK4Mdkehe2ljtLX1MSme8uiChDc4Ntrsz306&#10;/fuXrn4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54hrtYAAAAFAQAADwAAAAAAAAABACAAAAAi&#10;AAAAZHJzL2Rvd25yZXYueG1sUEsBAhQAFAAAAAgAh07iQA0LbUEMAgAA7QMAAA4AAAAAAAAAAQAg&#10;AAAAJQEAAGRycy9lMm9Eb2MueG1sUEsFBgAAAAAGAAYAWQEAAKMFAAAAAA==&#10;">
                  <v:fill on="f" focussize="0,0"/>
                  <v:stroke color="#4A7EBB [3204]" joinstyle="round"/>
                  <v:imagedata o:title=""/>
                  <o:lock v:ext="edit" aspectratio="f"/>
                </v:line>
                <v:shape id="文本框 23" o:spid="_x0000_s1026" o:spt="202" type="#_x0000_t202" style="position:absolute;left:2672080;top:1339215;height:302895;width:735965;"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yrNRqF8CAACcBAAADgAAAGRycy9lMm9Eb2MueG1srVRLbtswEN0X&#10;6B0I7hvJ8iexYTlwHbgoEDQB0qJrmqIsAiSHJWlL6QHaG2TVTfc9V87RIWUnadpFFtWCGnKeZvje&#10;zGh+3mlF9sJ5Caakg5OcEmE4VNJsS/rp4/rNGSU+MFMxBUaU9FZ4er54/Wre2pkooAFVCUcwiPGz&#10;1pa0CcHOsszzRmjmT8AKg84anGYBt26bVY61GF2rrMjzSdaCq6wDLrzH04veSQ8R3UsCQl1LLi6A&#10;77QwoY/qhGIBKflGWk8X6bZ1LXi4qmsvAlElRaYhrZgE7U1cs8WczbaO2UbywxXYS67wjJNm0mDS&#10;h1AXLDCyc/KvUFpyBx7qcMJBZz2RpAiyGOTPtLlpmBWJC0rt7YPo/v+F5R/2147IqqSjKSWGaaz4&#10;/d33+x+/7n9+I8UwCtRaP0PcjUVk6N5Ch21zPPd4GHl3tdPxjYwI+ovJaZGfoci3iB0Op8Vg3Est&#10;ukA4Ak6H4+lkTAlHwDAvzqbJnz0Gss6HdwI0iUZJHVYyCcz2lz7gpRB6hMS8HpSs1lKptHHbzUo5&#10;smdY9XV6Ynb85A+YMqQt6WQ4zlNkA/H7HqcMwiPvnl+0QrfpDmJsoLpFLRz07eQtX0u85SXz4Zo5&#10;7B8kjhMWrnCpFWASOFiUNOC+/us84rGs6KWkxX4sqf+yY05Qot4bLPh0MBrFBk6b0RjlpcQ99Wye&#10;esxOrwDJD3CWLU9mxAd1NGsH+jMO4jJmRRczHHOXNBzNVeinBAeZi+UygbBlLQuX5sbyGDpKbWC5&#10;C1DLVJIoU6/NQT1s2iT7YcDiVDzdJ9TjT2Xx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LPexYPS&#10;AAAABQEAAA8AAAAAAAAAAQAgAAAAIgAAAGRycy9kb3ducmV2LnhtbFBLAQIUABQAAAAIAIdO4kDK&#10;s1GoXwIAAJwEAAAOAAAAAAAAAAEAIAAAACEBAABkcnMvZTJvRG9jLnhtbFBLBQYAAAAABgAGAFkB&#10;AADyBQAAAAA=&#10;">
                  <v:fill on="t" focussize="0,0"/>
                  <v:stroke on="f" weight="0.5pt"/>
                  <v:imagedata o:title=""/>
                  <o:lock v:ext="edit" aspectratio="f"/>
                  <v:textbox>
                    <w:txbxContent>
                      <w:p w14:paraId="0B32CE89">
                        <w:pPr>
                          <w:rPr>
                            <w:rFonts w:hint="default" w:eastAsia="宋体"/>
                            <w:lang w:val="en-US" w:eastAsia="zh-CN"/>
                          </w:rPr>
                        </w:pPr>
                        <w:r>
                          <w:rPr>
                            <w:rFonts w:hint="eastAsia"/>
                            <w:lang w:val="en-US" w:eastAsia="zh-CN"/>
                          </w:rPr>
                          <w:t>安全照明</w:t>
                        </w:r>
                      </w:p>
                    </w:txbxContent>
                  </v:textbox>
                </v:shape>
                <v:line id="直接连接符 24" o:spid="_x0000_s1026" o:spt="20" style="position:absolute;left:2313305;top:2172335;flip:y;height:7620;width:287020;"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MtSBrQNAgAA7QMAAA4AAABkcnMvZTJvRG9jLnhtbK1TS27b&#10;MBDdF+gdCO5ryXIcJ4LloImbbvox0M9+TFESAf5AMpZ9iV6gQHftqsvuc5ukx+iQUtI23WTRDTEc&#10;zryZ9/S0PNsrSXbceWF0RaeTnBKumamFbiv64f3lsxNKfABdgzSaV/TAPT1bPX2y7G3JC9MZWXNH&#10;EET7srcV7UKwZZZ51nEFfmIs1/jYGKcg4NW1We2gR3QlsyLPj7PeuNo6w7j3mF0Pj3REdI8BNE0j&#10;GF8bdqW4DgOq4xICUvKdsJ6u0rZNw1l42zSeByIrikxDOnEIxtt4ZqsllK0D2wk2rgCPWeEBJwVC&#10;49B7qDUEIFdO/AOlBHPGmyZMmFHZQCQpgiym+QNt3nVgeeKCUnt7L7r/f7DszW7jiKgrOkdJNCj8&#10;4reff9x8+vrz+guet9+/keIoytRbX2L1hd648ebtxkXO+8Yp0khhP6KfkgrIi+wrWsyms1k+p+SA&#10;8XRRzGbzQXC+D4TFgpNFXuBchgWLY4wQORsAI7B1PrzkRpEYVFQKHdWAEnavfBhK70piWptLISXm&#10;oZSa9BU9nRc4nAG6tEF3YKgsMvW6pQRki/ZnwSVEb6SoY3ds9q7dXkhHdoCmOXq+eHF+PhR1UPMh&#10;ezrP89E8HsJrUw/paX6XRxYjTGL0F37ceQ2+G3rS00hcaqyOQg/Sxmhr6kNSPOXRBQlvdGy02Z/3&#10;1P37L139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eIa7WAAAABQEAAA8AAAAAAAAAAQAgAAAA&#10;IgAAAGRycy9kb3ducmV2LnhtbFBLAQIUABQAAAAIAIdO4kDLUga0DQIAAO0DAAAOAAAAAAAAAAEA&#10;IAAAACUBAABkcnMvZTJvRG9jLnhtbFBLBQYAAAAABgAGAFkBAACkBQAAAAA=&#10;">
                  <v:fill on="f" focussize="0,0"/>
                  <v:stroke color="#4A7EBB [3204]" joinstyle="round"/>
                  <v:imagedata o:title=""/>
                  <o:lock v:ext="edit" aspectratio="f"/>
                </v:line>
                <v:shape id="文本框 25" o:spid="_x0000_s1026" o:spt="202" type="#_x0000_t202" style="position:absolute;left:2672080;top:2025650;height:302895;width:735965;"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tr3jYl0CAACcBAAADgAAAGRycy9lMm9Eb2MueG1srVSxbtswEN0L&#10;9B8I7o1kJXIcI3LgJnBRIGgCpEVnmqIsAiSPJWlL6Qe0f5CpS/d+V76jR0pO0rRDhnqgj7zHu3vv&#10;jjo967UiO+G8BFPRyUFOiTAcamk2Ff30cfVmRokPzNRMgREVvRWeni1evzrt7FwU0IKqhSMYxPh5&#10;ZyvahmDnWeZ5KzTzB2CFQWcDTrOAW7fJasc6jK5VVuT5NOvA1dYBF97j6cXgpGNE95KA0DSSiwvg&#10;Wy1MGKI6oVhASr6V1tNFqrZpBA9XTeNFIKqiyDSkFZOgvY5rtjhl841jtpV8LIG9pIRnnDSTBpM+&#10;hLpggZGtk3+F0pI78NCEAw46G4gkRZDFJH+mzU3LrEhcUGpvH0T3/y8s/7C7dkTWFS0nlBimseP3&#10;d9/vf/y6//mNFGUUqLN+jrgbi8jQv4Uex2Z/7vEw8u4bp+M/MiLoL6bHRT5DkW/RzotyWo5Siz4Q&#10;joDjw/JkWlLCEXCYF7OTlCl7DGSdD+8EaBKNijrsZBKY7S59wKIQuofEvB6UrFdSqbRxm/W5cmTH&#10;sOur9Iv14pU/YMqQrqLTQ6wt3jIQ7w84ZRAeeQ/8ohX6dT+KsYb6FrVwMIyTt3wlscpL5sM1czg/&#10;SBxfWLjCpVGASWC0KGnBff3XecRjW9FLSYfzWFH/ZcucoES9N9jwk8nRURzgtDkqUV5K3FPP+qnH&#10;bPU5IHnsKVaXzIgPam82DvRnfIjLmBVdzHDMXdGwN8/D8ErwIXOxXCYQjqxl4dLcWB5DD6IttwEa&#10;mVoSZRq0GdXDoU2yjw8svoqn+4R6/Kgs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z3sWD0gAA&#10;AAUBAAAPAAAAAAAAAAEAIAAAACIAAABkcnMvZG93bnJldi54bWxQSwECFAAUAAAACACHTuJAtr3j&#10;Yl0CAACcBAAADgAAAAAAAAABACAAAAAhAQAAZHJzL2Uyb0RvYy54bWxQSwUGAAAAAAYABgBZAQAA&#10;8AUAAAAA&#10;">
                  <v:fill on="t" focussize="0,0"/>
                  <v:stroke on="f" weight="0.5pt"/>
                  <v:imagedata o:title=""/>
                  <o:lock v:ext="edit" aspectratio="f"/>
                  <v:textbox>
                    <w:txbxContent>
                      <w:p w14:paraId="6BA72DDB">
                        <w:pPr>
                          <w:rPr>
                            <w:rFonts w:hint="default" w:eastAsia="宋体"/>
                            <w:lang w:val="en-US" w:eastAsia="zh-CN"/>
                          </w:rPr>
                        </w:pPr>
                        <w:r>
                          <w:rPr>
                            <w:rFonts w:hint="eastAsia"/>
                            <w:lang w:val="en-US" w:eastAsia="zh-CN"/>
                          </w:rPr>
                          <w:t>备用照明</w:t>
                        </w:r>
                      </w:p>
                    </w:txbxContent>
                  </v:textbox>
                </v:shape>
                <v:line id="直接连接符 26" o:spid="_x0000_s1026" o:spt="20" style="position:absolute;left:3405505;top:699135;flip:y;height:4445;width:165100;"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FOsjJYQAgAA7AMAAA4AAABkcnMvZTJvRG9jLnhtbK1TS27b&#10;MBDdF+gdCO5rSY7lxoLloImbbvox0M+epiiJAH/gMJZ9iV6gQHftqsvuc5umx+iQctI23WTRDTWc&#10;z5t5j6Pl2V4rshMepDU1LSY5JcJw20jT1fT9u8snp5RAYKZhyhpR04MAerZ6/Gg5uEpMbW9VIzxB&#10;EAPV4Grah+CqLAPeC81gYp0wGGyt1yzg1XdZ49mA6Fpl0zyfZ4P1jfOWCwD0rscgPSL6hwDatpVc&#10;rC2/0sKEEdULxQJSgl46oKs0bdsKHt60LYhAVE2RaUgnNkF7G89stWRV55nrJT+OwB4ywj1OmkmD&#10;Te+g1iwwcuXlP1Bacm/BtmHCrc5GIkkRZFHk97R52zMnEheUGtyd6PD/YPnr3cYT2dS0nFJimMYX&#10;v/n0/cfHLz+vP+N58+0rmc6jTIODCrMvzMYfb+A2PnLet16TVkn3AfcpqYC8yL6mJ7O8LPOSkkNN&#10;54tFcVKOeot9IBzjxbwscnwJjvHZbJai2YgXcZ2H8EJYTaJRUyVNFINVbPcSAs6Aqbcp0W3spVQq&#10;PagyZKjpopxib85wSVtcDjS1Q6JgOkqY6nD7efAJEaySTayOOOC77YXyZMdwZ2bPnj4/Px+TetaI&#10;0bsoc5w7tQIWXtlmdBf5rR9HO8KkMf/CjzOvGfRjTQpFKCxRBj9R51HZaG1tc0iCJz8uQUo8Lmzc&#10;sj/vqfr3T7r6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A+eIa7WAAAABQEAAA8AAAAAAAAAAQAg&#10;AAAAIgAAAGRycy9kb3ducmV2LnhtbFBLAQIUABQAAAAIAIdO4kBTrIyWEAIAAOwDAAAOAAAAAAAA&#10;AAEAIAAAACUBAABkcnMvZTJvRG9jLnhtbFBLBQYAAAAABgAGAFkBAACnBQAAAAA=&#10;">
                  <v:fill on="f" focussize="0,0"/>
                  <v:stroke color="#4A7EBB [3204]" joinstyle="round"/>
                  <v:imagedata o:title=""/>
                  <o:lock v:ext="edit" aspectratio="f"/>
                </v:line>
                <v:line id="直接连接符 27" o:spid="_x0000_s1026" o:spt="20" style="position:absolute;left:3579495;top:284480;height:894715;width: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6qChEQICAADfAwAADgAAAGRycy9lMm9Eb2MueG1srVPL&#10;ctMwFN0zwz9otCd20pgknjgd2lA2PDIDfMCNLNua0WskNU5/gh9ghh1dsWTP31A+gyvZbaFsumAj&#10;3+fRPUfX69OjkuTAnRdGV3Q6ySnhmpla6LaiHz9cPFtS4gPoGqTRvKJX3NPTzdMn696WfGY6I2vu&#10;CIJoX/a2ol0ItswyzzquwE+M5RqTjXEKArquzWoHPaIrmc3y/HnWG1dbZxj3HqPbIUlHRPcYQNM0&#10;gvGtYZeK6zCgOi4hICXfCevpJk3bNJyFd03jeSCyosg0pBMvQXsfz2yzhrJ1YDvBxhHgMSM84KRA&#10;aLz0DmoLAcilE/9AKcGc8aYJE2ZUNhBJiiCLaf5Am/cdWJ64oNTe3onu/x8se3vYOSLqihYnlGhQ&#10;+OI3n7///PT1148veN58uyazRZSpt77E6nO9c6Pn7c5FzsfGqfhFNuRY0ZNisZqvCkquKjpbzufL&#10;UWV+DIRhHqVnmFqu5otpEZGzewjrfHjFjSLRqKgUOvKHEg6vfRhKb0tiWJsLISXGoZSa9BVdFTO8&#10;mAHuZYP7gKayyM3rlhKQLS48Cy4heiNFHbtjs3ft/lw6cgBck/mLxcuzs6Gog5oP0VWR5yMRD+GN&#10;qYfwNL+NI4sRJjH6Cz/OvAXfDT0pNRKXGqujtIOY0dqb+ippnOL47glv3NG4WH/6qfv+v9z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okc2/YAAAABQEAAA8AAAAAAAAAAQAgAAAAIgAAAGRycy9k&#10;b3ducmV2LnhtbFBLAQIUABQAAAAIAIdO4kDqoKERAgIAAN8DAAAOAAAAAAAAAAEAIAAAACcBAABk&#10;cnMvZTJvRG9jLnhtbFBLBQYAAAAABgAGAFkBAACbBQAAAAA=&#10;">
                  <v:fill on="f" focussize="0,0"/>
                  <v:stroke color="#4A7EBB [3204]" joinstyle="round"/>
                  <v:imagedata o:title=""/>
                  <o:lock v:ext="edit" aspectratio="f"/>
                </v:line>
                <v:line id="直接连接符 28" o:spid="_x0000_s1026" o:spt="20" style="position:absolute;left:3579495;top:284480;height:0;width:186055;"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w0G1LgMCAADfAwAADgAAAGRycy9lMm9Eb2MueG1srVNL&#10;chMxEN1TxR1U2uMZG09iT3mcIjFhw8dVwAFkjWZGVfqVWvHYl+ACVLEjK5bsuQ3hGLQ0kwTCJgs2&#10;Uqs/T/2eWquzg1ZkLzxIayo6neSUCMNtLU1b0Y8fLp8tKIHATM2UNaKiRwH0bP30yap3pZjZzqpa&#10;eIIgBsreVbQLwZVZBrwTmsHEOmEw2FivWcCjb7Pasx7RtcpmeX6S9dbXzlsuANC7GYJ0RPSPAbRN&#10;I7nYWH6lhQkDqheKBaQEnXRA16nbphE8vGsaEIGoiiLTkFa8BO1dXLP1ipWtZ66TfGyBPaaFB5w0&#10;kwYvvYPasMDIlZf/QGnJvQXbhAm3OhuIJEWQxTR/oM37jjmRuKDU4O5Eh/8Hy9/ut57IuqLFnBLD&#10;NL74zefvPz99/fXjC643367JbBFl6h2UmH1htn48gdv6yPnQeB13ZEMOFX1enC7ny4KSY0Vni/l8&#10;MaosDoFwjE8XJ3mBYY7xFMruIZyH8EpYTaJRUSVN5M9Ktn8NAa/F1NuU6Db2UiqV3lAZ0ld0Wcwi&#10;MsO5bHAe0NQOuYFpKWGqxYHnwSdEsErWsTrigG93F8qTPcMxmb84fXl+PiR1rBaDd1nk+UgEWHhj&#10;68E9zW/92NoIk9r8Cz/2vGHQDTUpFCXFEmVwi9IOYkZrZ+tj0jj58d1T4jijcbD+PKfq+3+5/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JHNv2AAAAAUBAAAPAAAAAAAAAAEAIAAAACIAAABkcnMv&#10;ZG93bnJldi54bWxQSwECFAAUAAAACACHTuJAw0G1LgMCAADfAwAADgAAAAAAAAABACAAAAAnAQAA&#10;ZHJzL2Uyb0RvYy54bWxQSwUGAAAAAAYABgBZAQAAnAUAAAAA&#10;">
                  <v:fill on="f" focussize="0,0"/>
                  <v:stroke color="#4A7EBB [3204]" joinstyle="round"/>
                  <v:imagedata o:title=""/>
                  <o:lock v:ext="edit" aspectratio="f"/>
                </v:line>
                <v:shape id="文本框 29" o:spid="_x0000_s1026" o:spt="202" type="#_x0000_t202" style="position:absolute;left:3804285;top:17145;height:462280;width:128397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KBVs1F4CAACbBAAADgAAAGRycy9lMm9Eb2MueG1srVTNbhMxEL4j&#10;8Q6W72STzU/TqJsqJApCqmilgjg7Xm/Wku0xtpPd8ADwBj1x4c5z9TkYe5O2FA49kIMz9oy/8ffN&#10;zF5ctlqRvXBeginooNenRBgOpTTbgn76uH4zpcQHZkqmwIiCHoSnl/PXry4aOxM51KBK4QiCGD9r&#10;bEHrEOwsyzyvhWa+B1YYdFbgNAu4ddusdKxBdK2yvN+fZA240jrgwns8XXVOekR0LwGEqpJcrIDv&#10;tDChQ3VCsYCUfC2tp/P02qoSPFxXlReBqIIi05BWTIL2Jq7Z/ILNto7ZWvLjE9hLnvCMk2bSYNIH&#10;qBULjOyc/AtKS+7AQxV6HHTWEUmKIItB/5k2tzWzInFBqb19EN3/P1j+YX/jiCwLOh5TYpjGit/f&#10;fb//8ev+5zeSn0eBGutnGHdrMTK0b6HFtjmdezyMvNvK6fiPjAj6h9P+KJ8i4gFjzwajcSe0aAPh&#10;8Xo+HZ6fYQ04+keTPJ+mSmSPONb58E6AJtEoqMNCJn3Z/soHfBOGnkJiWg9KlmupVNq47WapHNkz&#10;LPo6/WJ6vPJHmDKkKehkOO4nZAPxfhenDIZH2h29aIV20x612EB5QCkcdN3kLV9LfOUV8+GGOWwf&#10;JIYDFq5xqRRgEjhalNTgvv7rPMZjVdFLSYPtWFD/ZcecoES9N1jv88FoFPs3bUbjsxw37qln89Rj&#10;dnoJSH6Ao2x5MmN8UCezcqA/4xwuYlZ0McMxd0HDyVyGbkhwjrlYLFIQdqxl4crcWh6ho9QGFrsA&#10;lUwliTJ12hzVw55Nsh/nKw7F032Kevymz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s97Fg9IA&#10;AAAFAQAADwAAAAAAAAABACAAAAAiAAAAZHJzL2Rvd25yZXYueG1sUEsBAhQAFAAAAAgAh07iQCgV&#10;bNReAgAAmwQAAA4AAAAAAAAAAQAgAAAAIQEAAGRycy9lMm9Eb2MueG1sUEsFBgAAAAAGAAYAWQEA&#10;APEFAAAAAA==&#10;">
                  <v:fill on="t" focussize="0,0"/>
                  <v:stroke on="f" weight="0.5pt"/>
                  <v:imagedata o:title=""/>
                  <o:lock v:ext="edit" aspectratio="f"/>
                  <v:textbox>
                    <w:txbxContent>
                      <w:p w14:paraId="27A5A6B1">
                        <w:pPr>
                          <w:rPr>
                            <w:rFonts w:hint="eastAsia"/>
                            <w:lang w:val="en-US" w:eastAsia="zh-CN"/>
                          </w:rPr>
                        </w:pPr>
                        <w:r>
                          <w:rPr>
                            <w:rFonts w:hint="eastAsia"/>
                            <w:lang w:val="en-US" w:eastAsia="zh-CN"/>
                          </w:rPr>
                          <w:t>消防疏散指示和</w:t>
                        </w:r>
                      </w:p>
                      <w:p w14:paraId="28ED842A">
                        <w:pPr>
                          <w:rPr>
                            <w:rFonts w:hint="default" w:eastAsia="宋体"/>
                            <w:lang w:val="en-US" w:eastAsia="zh-CN"/>
                          </w:rPr>
                        </w:pPr>
                        <w:r>
                          <w:rPr>
                            <w:rFonts w:hint="eastAsia"/>
                            <w:lang w:val="en-US" w:eastAsia="zh-CN"/>
                          </w:rPr>
                          <w:t>消防疏散照明系统</w:t>
                        </w:r>
                      </w:p>
                    </w:txbxContent>
                  </v:textbox>
                </v:shape>
                <v:line id="直接连接符 30" o:spid="_x0000_s1026" o:spt="20" style="position:absolute;left:3585845;top:1166495;height:0;width:1854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b7wbxQYCAADgAwAADgAAAGRycy9lMm9Eb2MueG1srVPN&#10;jtMwEL4j8Q6W7zRptylt1HTFblku/FQCHsB1nMSS/+TxNu1L8AJI3NgTR+68DctjMHa6W1gue+Di&#10;jMcz38z3zWR5vteK7IQHaU1Fx6OcEmG4raVpK/rxw9WzOSUQmKmZskZU9CCAnq+ePln2rhQT21lV&#10;C08QxEDZu4p2Ibgyy4B3QjMYWScMPjbWaxbw6tus9qxHdK2ySZ7Pst762nnLBQB618MjPSL6xwDa&#10;ppFcrC2/1sKEAdULxQJSgk46oKvUbdMIHt41DYhAVEWRaUgnFkF7G89stWRl65nrJD+2wB7TwgNO&#10;mkmDRe+h1iwwcu3lP1Bacm/BNmHErc4GIkkRZDHOH2jzvmNOJC4oNbh70eH/wfK3u40nsq5oMaPE&#10;MI0Tv/38/eenr79+fMHz9tsNOUsy9Q5KjL40G4+ixRu4jY+c943X8YtsyL6iZ8W8mE8LSg64XuPZ&#10;bLooBpnFPhCOAeN5MZ3gADgGJOjshOE8hFfCahKNiippogCsZLvXELAuht6FRLexV1KpNERlSF/R&#10;RTHBypzhYja4EGhqh+TAtJQw1eLG8+ATIlgl65gdccC320vlyY7hnkxfPH95cTEEdawWg3dR5Plx&#10;X4CFN7Ye3OP8zo+tHWFSm3/hx57XDLohJz1FTTBFGfyc1IzW1taHJHLy4+BT4HFJ42b9eU/Zpx9z&#10;9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6JHNv2AAAAAUBAAAPAAAAAAAAAAEAIAAAACIAAABk&#10;cnMvZG93bnJldi54bWxQSwECFAAUAAAACACHTuJAb7wbxQYCAADgAwAADgAAAAAAAAABACAAAAAn&#10;AQAAZHJzL2Uyb0RvYy54bWxQSwUGAAAAAAYABgBZAQAAnwUAAAAA&#10;">
                  <v:fill on="f" focussize="0,0"/>
                  <v:stroke color="#4A7EBB [3204]" joinstyle="round"/>
                  <v:imagedata o:title=""/>
                  <o:lock v:ext="edit" aspectratio="f"/>
                </v:line>
                <v:shape id="文本框 31" o:spid="_x0000_s1026" o:spt="202" type="#_x0000_t202" style="position:absolute;left:3825875;top:882650;height:521335;width:123317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HQLucVwCAACcBAAADgAAAGRycy9lMm9Eb2MueG1srVSxbtswEN0L&#10;9B8I7o0syYpdI3LgOnBRIGgCpEVnmqIsASSPJWlL6Qe0f9CpS/d+V76jR0pO0rRDhnqgj7zjO753&#10;dzo775UkB2FdC7qk6cmEEqE5VK3elfTjh82rOSXOM10xCVqU9FY4er58+eKsMwuRQQOyEpYgiHaL&#10;zpS08d4sksTxRijmTsAIjc4arGIet3aXVJZ1iK5kkk0mp0kHtjIWuHAOTy8GJx0R7XMAoa5bLi6A&#10;75XQfkC1QjKPlFzTGkeX8bV1Lbi/qmsnPJElRaY+rpgE7W1Yk+UZW+wsM03Lxyew5zzhCSfFWo1J&#10;76EumGdkb9u/oFTLLTio/QkHlQxEoiLIIp080eamYUZELii1M/eiu/8Hy98fri1pq5IWM0o0U1jx&#10;u+/f7n78uvv5leRpEKgzboFxNwYjff8Gemyb47nDw8C7r60K/8iIoD+fZ8V8VlByW9L5PDstRqVF&#10;7wkP97M8T2dYBI4BRZbmeREQkwcgY51/K0CRYJTUYiWjwOxw6fwQegwJeR3Ittq0UsaN3W3X0pID&#10;w6pv4m9E/yNMatKV9DTHx4VbGsL9AVpqfEzgPfALlu+3/SjGFqpb1MLC0E7O8E2Lr7xkzl8zi/2D&#10;xHDC/BUutQRMAqNFSQP2y7/OQzyWFb2UdNiPJXWf98wKSuQ7jQV/nU6noYHjZlrMMtzYx57tY4/e&#10;qzUg+RRn2fBohngvj2ZtQX3CQVyFrOhimmPukvqjufbDlOAgc7FaxSBsWcP8pb4xPEAPoq32Huo2&#10;liTINGgzqodNG4s6DliYisf7GPXwUVn+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PexYPSAAAA&#10;BQEAAA8AAAAAAAAAAQAgAAAAIgAAAGRycy9kb3ducmV2LnhtbFBLAQIUABQAAAAIAIdO4kAdAu5x&#10;XAIAAJwEAAAOAAAAAAAAAAEAIAAAACEBAABkcnMvZTJvRG9jLnhtbFBLBQYAAAAABgAGAFkBAADv&#10;BQAAAAA=&#10;">
                  <v:fill on="t" focussize="0,0"/>
                  <v:stroke on="f" weight="0.5pt"/>
                  <v:imagedata o:title=""/>
                  <o:lock v:ext="edit" aspectratio="f"/>
                  <v:textbox>
                    <w:txbxContent>
                      <w:p w14:paraId="703E74E4">
                        <w:pPr>
                          <w:rPr>
                            <w:rFonts w:hint="default" w:eastAsia="宋体"/>
                            <w:lang w:val="en-US" w:eastAsia="zh-CN"/>
                          </w:rPr>
                        </w:pPr>
                        <w:r>
                          <w:rPr>
                            <w:rFonts w:hint="eastAsia"/>
                            <w:lang w:val="en-US" w:eastAsia="zh-CN"/>
                          </w:rPr>
                          <w:t>非消防疏散指示系统</w:t>
                        </w:r>
                      </w:p>
                    </w:txbxContent>
                  </v:textbox>
                </v:shape>
                <v:line id="直接连接符 26" o:spid="_x0000_s1026" o:spt="20" style="position:absolute;left:3405505;top:2156460;flip:y;height:3810;width:164465;" filled="f" stroked="t" coordsize="21600,21600" o:gfxdata="UEsDBAoAAAAAAIdO4kAAAAAAAAAAAAAAAAAEAAAAZHJzL1BLAwQUAAAACACHTuJAD54hrtYAAAAF&#10;AQAADwAAAGRycy9kb3ducmV2LnhtbE2PzU7DMBCE70i8g7VI3KjTUoUqxKkipFwACRG49ObE2zht&#10;vI5i9+/tWbjQy0qjGc18m6/PbhBHnELvScF8loBAar3pqVPw/VU9rECEqMnowRMquGCAdXF7k+vM&#10;+BN94rGOneASCplWYGMcMylDa9HpMPMjEntbPzkdWU6dNJM+cbkb5CJJUul0T7xg9YgvFtt9fXAK&#10;qqa3b6WvuveL22G9Lzflx+tGqfu7efIMIuI5/ofhF5/RoWCmxh/IBDEo4Efi32VvtVg+gWgULNP0&#10;EWSRy2v64gdQSwMEFAAAAAgAh07iQKCN4yANAgAA7QMAAA4AAABkcnMvZTJvRG9jLnhtbK1Ty27U&#10;MBTdI/EPlvdMHk3CNJpMRTuUDY+ReOw9jpNY8ku2O5n5CX4AiV1ZsWTP31A+g2snLVA2XbBx7Ps4&#10;vuf4ZHV2kALtmXVcqwZnixQjpqhuueob/P7d5ZMlRs4T1RKhFWvwkTl8tn78aDWamuV60KJlFgGI&#10;cvVoGjx4b+okcXRgkriFNkxBstNWEg9H2yetJSOgS5HkaVolo7atsZoy5yC6mZJ4RrQPAdRdxynb&#10;aHolmfITqmWCeKDkBm4cXsdpu45R/6brHPNINBiY+rjCJbDfhTVZr0jdW2IGTucRyENGuMdJEq7g&#10;0juoDfEEXVn+D5Tk1GqnO7+gWiYTkagIsMjSe9q8HYhhkQtI7cyd6O7/wdLX+61FvG3wssBIEQkv&#10;fvPp24+P1z+/f4b15usXlFdBptG4Gqov1NbOJ2e2NnA+dFaiTnDzAfwUVQBe6NDgkyIty7TE6Njg&#10;PCuropoFZwePKBRkVVFUkKdQcLLMYjaZAAOwsc6/YFqisGmw4CqoQWqyf+k8DAGltyUhrPQlFyK+&#10;qFBobPBpmQdwAi7twB2wlQaYOtVjREQP9qfeRkSnBW9Dd8Bxtt9dCIv2BExTPHv6/Px8KhpIy6bo&#10;aZmmMxdH/CvdTuEsvY3DaDNMHPMv/DDzhrhh6ompIDC0CAWfIPQkbdjtdHuMisc4uCAWzo4NNvvz&#10;HLt//6XrX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eIa7WAAAABQEAAA8AAAAAAAAAAQAgAAAA&#10;IgAAAGRycy9kb3ducmV2LnhtbFBLAQIUABQAAAAIAIdO4kCgjeMgDQIAAO0DAAAOAAAAAAAAAAEA&#10;IAAAACUBAABkcnMvZTJvRG9jLnhtbFBLBQYAAAAABgAGAFkBAACkBQAAAAA=&#10;">
                  <v:fill on="f" focussize="0,0"/>
                  <v:stroke color="#4A7EBB [3204]" joinstyle="round"/>
                  <v:imagedata o:title=""/>
                  <o:lock v:ext="edit" aspectratio="f"/>
                </v:line>
                <v:line id="直接连接符 27" o:spid="_x0000_s1026" o:spt="20" style="position:absolute;left:3578860;top:1741805;height:894080;width: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EiIQFwYCAADgAwAADgAAAGRycy9lMm9Eb2MueG1srVPN&#10;ctMwEL4zwztodCd2QtI4njgd2lAu/GQGeABFlm3N6G+0apy+BC/ADDd64sidt6E8BivZbaFceuAi&#10;r/bn037frtenR63IQXiQ1lR0OskpEYbbWpq2oh8/XDwrKIHATM2UNaKiVwLo6ebpk3XvSjGznVW1&#10;8ARBDJS9q2gXgiuzDHgnNIOJdcJgsLFes4BX32a1Zz2ia5XN8vwk662vnbdcAKB3OwTpiOgfA2ib&#10;RnKxtfxSCxMGVC8UC0gJOumAblK3TSN4eNc0IAJRFUWmIZ34CNr7eGabNStbz1wn+dgCe0wLDzhp&#10;Jg0+ege1ZYGRSy//gdKSewu2CRNudTYQSYogi2n+QJv3HXMicUGpwd2JDv8Plr897DyRdUWLBSWG&#10;aZz4zefvPz99/fXjC543367JbBll6h2UmH1udn68gdv5yPnYeB2/yIYcK/p8sSyKExT4CtdrOZ8W&#10;+WKQWRwD4ZiAIY6xYjXPizSB7B7DeQivhNUkGhVV0kQBWMkOryHgu5h6mxLdxl5IpdIQlSF9RVeL&#10;GfLgDBezwYVAUzskB6alhKkWN54HnxDBKlnH6ogDvt2fK08ODPdk/mL58uxsSOpYLQbvapHn474A&#10;C29sPbin+a0fWxthUpt/4ceetwy6oSaFoiZYogx+oraDmtHa2/oqiZz8OPiUOC5p3Kw/76n6/sfc&#10;/A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6JHNv2AAAAAUBAAAPAAAAAAAAAAEAIAAAACIAAABk&#10;cnMvZG93bnJldi54bWxQSwECFAAUAAAACACHTuJAEiIQFwYCAADgAwAADgAAAAAAAAABACAAAAAn&#10;AQAAZHJzL2Uyb0RvYy54bWxQSwUGAAAAAAYABgBZAQAAnwUAAAAA&#10;">
                  <v:fill on="f" focussize="0,0"/>
                  <v:stroke color="#4A7EBB [3204]" joinstyle="round"/>
                  <v:imagedata o:title=""/>
                  <o:lock v:ext="edit" aspectratio="f"/>
                </v:line>
                <v:line id="直接连接符 28" o:spid="_x0000_s1026" o:spt="20" style="position:absolute;left:3578860;top:1741805;height:0;width:185420;"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Q+wqcwYCAADgAwAADgAAAGRycy9lMm9Eb2MueG1srVPN&#10;ctMwEL4zwztodCd2QpK6njgd2lAu/GQGeABFlm3N6G+0apy8BC/ADDd64sidt6E8BivZbaFceuAi&#10;r/bn037frldnB63IXniQ1lR0OskpEYbbWpq2oh8/XD4rKIHATM2UNaKiRwH0bP30yap3pZjZzqpa&#10;eIIgBsreVbQLwZVZBrwTmsHEOmEw2FivWcCrb7Pasx7Rtcpmeb7Meutr5y0XAOjdDEE6IvrHANqm&#10;kVxsLL/SwoQB1QvFAlKCTjqg69Rt0wge3jUNiEBURZFpSCc+gvYuntl6xcrWM9dJPrbAHtPCA06a&#10;SYOP3kFtWGDkyst/oLTk3oJtwoRbnQ1EkiLIYpo/0OZ9x5xIXFBqcHeiw/+D5W/3W09kXdFiSYlh&#10;Gid+8/n7z09ff/34gufNt2syK6JMvYMSsy/M1o83cFsfOR8ar+MX2ZBDRZ8vTopiiQIfcb1O5tMi&#10;Xwwyi0MgHBOmxWI+wzjHhDSB7B7DeQivhNUkGhVV0kQBWMn2ryHgu5h6mxLdxl5KpdIQlSF9RU8X&#10;swUiM1zMBhcCTe2QHJiWEqZa3HgefEIEq2QdqyMO+HZ3oTzZM9yT+YuTl+fnQ1LHajF4Txd5Pu4L&#10;sPDG1oN7mt/6sbURJrX5F37secOgG2pSKGqCJcrgJ2o7qBmtna2PSeTkx8GnxHFJ42b9eU/V9z/m&#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6JHNv2AAAAAUBAAAPAAAAAAAAAAEAIAAAACIAAABk&#10;cnMvZG93bnJldi54bWxQSwECFAAUAAAACACHTuJAQ+wqcwYCAADgAwAADgAAAAAAAAABACAAAAAn&#10;AQAAZHJzL2Uyb0RvYy54bWxQSwUGAAAAAAYABgBZAQAAnwUAAAAA&#10;">
                  <v:fill on="f" focussize="0,0"/>
                  <v:stroke color="#4A7EBB [3204]" joinstyle="round"/>
                  <v:imagedata o:title=""/>
                  <o:lock v:ext="edit" aspectratio="f"/>
                </v:line>
                <v:shape id="文本框 29" o:spid="_x0000_s1026" o:spt="202" type="#_x0000_t202" style="position:absolute;left:3787140;top:1610995;height:283845;width:1283335;"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GjhpPFwCAACdBAAADgAAAGRycy9lMm9Eb2MueG1srVRLbtswEN0X&#10;6B0I7mv5/0PkwI3hokDQBEiLrmmKsgiQHJakLbkHaG+QVTfd91w+R4eUnaRpF1nUC3nIeXrD9zij&#10;i8tGK7IXzkswOe11upQIw6GQZpvTTx/Xb6aU+MBMwRQYkdOD8PRy8frVRW3nog8VqEI4giTGz2ub&#10;0yoEO88yzyuhme+AFQaTJTjNAi7dNiscq5Fdq6zf7Y6zGlxhHXDhPe6u2iQ9MbqXEEJZSi5WwHda&#10;mNCyOqFYQEm+ktbTRTptWQoebsrSi0BUTlFpSE8sgvEmPrPFBZtvHbOV5KcjsJcc4ZkmzaTBog9U&#10;KxYY2Tn5F5WW3IGHMnQ46KwVkhxBFb3uM2/uKmZF0oJWe/tguv9/tPzD/tYRWeR0OqHEMI03frz/&#10;fvzx6/jzG+nPokG19XPE3VlEhuYtNNg2532Pm1F3Uzod/1ERwfxgMp30hmjyAbHjXnc2G7VWiyYQ&#10;Hgn608FgMKKEIwLj6TABskcm63x4J0CTGOTU4VUmh9n+2gc8FULPkFjYg5LFWiqVFm67uVKO7Ble&#10;+zr9Ynl85Q+YMqTO6Xgw6iZmA/H9FqcMwqPwVmCMQrNpTm5soDigGQ7afvKWryWe8pr5cMscNhAq&#10;xxELN/goFWAROEWUVOC+/ms/4vFeMUtJjQ2ZU/9lx5ygRL03eOOz3jAaGtJiOJr0ceGeZjZPM2an&#10;rwDF93CYLU9hxAd1DksH+jNO4jJWxRQzHGvnNJzDq9COCU4yF8tlAmHPWhauzZ3lkTpabWC5C1DK&#10;dCXRptabk3vYtcn204TFsXi6TqjHr8ri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PexYPSAAAA&#10;BQEAAA8AAAAAAAAAAQAgAAAAIgAAAGRycy9kb3ducmV2LnhtbFBLAQIUABQAAAAIAIdO4kAaOGk8&#10;XAIAAJ0EAAAOAAAAAAAAAAEAIAAAACEBAABkcnMvZTJvRG9jLnhtbFBLBQYAAAAABgAGAFkBAADv&#10;BQAAAAA=&#10;">
                  <v:fill on="t" focussize="0,0"/>
                  <v:stroke on="f" weight="0.5pt"/>
                  <v:imagedata o:title=""/>
                  <o:lock v:ext="edit" aspectratio="f"/>
                  <v:textbox>
                    <w:txbxContent>
                      <w:p w14:paraId="07A636BB">
                        <w:pPr>
                          <w:rPr>
                            <w:rFonts w:hint="default" w:eastAsia="宋体"/>
                            <w:lang w:val="en-US" w:eastAsia="zh-CN"/>
                          </w:rPr>
                        </w:pPr>
                        <w:r>
                          <w:rPr>
                            <w:rFonts w:hint="eastAsia"/>
                            <w:lang w:val="en-US" w:eastAsia="zh-CN"/>
                          </w:rPr>
                          <w:t>非消防备用照明</w:t>
                        </w:r>
                      </w:p>
                    </w:txbxContent>
                  </v:textbox>
                </v:shape>
                <v:line id="直接连接符 30" o:spid="_x0000_s1026" o:spt="20" style="position:absolute;left:3585210;top:2623820;height:0;width:184785;" filled="f" stroked="t" coordsize="21600,21600" o:gfxdata="UEsDBAoAAAAAAIdO4kAAAAAAAAAAAAAAAAAEAAAAZHJzL1BLAwQUAAAACACHTuJAOiRzb9gAAAAF&#10;AQAADwAAAGRycy9kb3ducmV2LnhtbE2PzU7DMBCE70i8g7VI3KjTUtIoZFOJSq24INEW9ezG2zgl&#10;Xkex+0OeHsMFLiuNZjTzbTG/2lacqfeNY4TxKAFBXDndcI3wsV0+ZCB8UKxV65gQvsjDvLy9KVSu&#10;3YXXdN6EWsQS9rlCMCF0uZS+MmSVH7mOOHoH11sVouxrqXt1ieW2lZMkSaVVDccFozpaGKo+NyeL&#10;MOhs8f5qVsPby242PNV+u1ztjoj3d+PkGUSga/gLww9+RIcyMu3dibUXLUJ8JPze6GWT6QzEHmGa&#10;po8gy0L+py+/AVBLAwQUAAAACACHTuJAZhKk7QMCAADgAwAADgAAAGRycy9lMm9Eb2MueG1srVNL&#10;ctQwEN1TxR1U2jP2eDKJ4xpPimQIGz5TBRxAI8u2qvQrtTKfS3ABqtjBiiV7bkM4Bi3ZyUDYZMFG&#10;bvXnqd/r9uJirxXZCg/SmppOJzklwnDbSNPV9MP762clJRCYaZiyRtT0IIBeLJ8+WexcJQrbW9UI&#10;TxDEQLVzNe1DcFWWAe+FZjCxThgMttZrFvDqu6zxbIfoWmVFnp9mO+sb5y0XAOhdDUE6IvrHANq2&#10;lVysLL/RwoQB1QvFAlKCXjqgy9Rt2woe3rYtiEBUTZFpSCc+gvYmntlywarOM9dLPrbAHtPCA06a&#10;SYOP3kOtWGDkxst/oLTk3oJtw4RbnQ1EkiLIYpo/0OZdz5xIXFBqcPeiw/+D5W+2a09kU9MS526Y&#10;xonffvr+8+OXXz8+43n77SuZJZl2DirMvjJrj6LFG7i1j5z3rdfxi2zIvqazeTkvpijwoabFaTEr&#10;i1FmsQ+EY8K0PDkr55RwTEih7IjhPISXwmoSjZoqaaIArGLbVxDwXUy9S4luY6+lUmmIypBdTc/n&#10;RURmuJgtLgSa2iE5MB0lTHW48Tz4hAhWySZWRxzw3eZKebJluCcnz89eXF4OST1rxOA9n+f5SARY&#10;eG2bwT3N7/zY2giT2vwLP/a8YtAPNSkUVw9LlMHPUc1obWxzSCInPw4+JY5LGjfrz3uqPv6Yy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6JHNv2AAAAAUBAAAPAAAAAAAAAAEAIAAAACIAAABkcnMv&#10;ZG93bnJldi54bWxQSwECFAAUAAAACACHTuJAZhKk7QMCAADgAwAADgAAAAAAAAABACAAAAAnAQAA&#10;ZHJzL2Uyb0RvYy54bWxQSwUGAAAAAAYABgBZAQAAnAUAAAAA&#10;">
                  <v:fill on="f" focussize="0,0"/>
                  <v:stroke color="#4A7EBB [3204]" joinstyle="round"/>
                  <v:imagedata o:title=""/>
                  <o:lock v:ext="edit" aspectratio="f"/>
                </v:line>
                <v:shape id="文本框 29" o:spid="_x0000_s1026" o:spt="202" type="#_x0000_t202" style="position:absolute;left:3787140;top:2473960;height:283210;width:1282700;" fillcolor="#FFFFFF [3201]" filled="t" stroked="f" coordsize="21600,21600" o:gfxdata="UEsDBAoAAAAAAIdO4kAAAAAAAAAAAAAAAAAEAAAAZHJzL1BLAwQUAAAACACHTuJAs97Fg9IAAAAF&#10;AQAADwAAAGRycy9kb3ducmV2LnhtbE2PzU7DMBCE70i8g7VI3KiTEoUqjdMDElck2tLzNl7iqPY6&#10;st3fp8dwgctKoxnNfNuuLs6KE4U4elZQzgoQxL3XIw8Ktpu3pwWImJA1Ws+k4EoRVt39XYuN9mf+&#10;oNM6DSKXcGxQgUlpaqSMvSGHceYn4ux9+eAwZRkGqQOec7mzcl4UtXQ4cl4wONGrof6wPjoFu8Hd&#10;dp/lFIx2tuL323Wz9aNSjw9lsQSR6JL+wvCDn9Ghy0x7f2QdhVWQH0m/N3uLefUCYq+gqutnkF0r&#10;/9N331BLAwQUAAAACACHTuJAcAev4l0CAACdBAAADgAAAGRycy9lMm9Eb2MueG1srVTNbtswDL4P&#10;2DsIuq9OnLT5QZ0iS5BhQLEW6IadFVmOBUiiJimxuwfY3qCnXXbfc/U5RslO23U79LAcHEr8/JH8&#10;SPr8otWKHITzEkxBhycDSoThUEqzK+inj5s3U0p8YKZkCowo6K3w9GLx+tV5Y+cihxpUKRxBEuPn&#10;jS1oHYKdZ5nntdDMn4AVBp0VOM0CHt0uKx1rkF2rLB8MzrIGXGkdcOE93q47J+0Z3UsIoaokF2vg&#10;ey1M6FidUCxgSb6W1tNFyraqBA9XVeVFIKqgWGlITwyC9jY+s8U5m+8cs7XkfQrsJSk8q0kzaTDo&#10;A9WaBUb2Tv5FpSV34KEKJxx01hWSFMEqhoNn2tzUzIpUC0rt7YPo/v/R8g+Ha0dkWdAZSmKYxo7f&#10;332///Hr/uc3ks+iQI31c8TdWESG9i20ODbHe4+Xse62cjr+Y0UE/aPJdDIcI+NtQfPxZDQ766UW&#10;bSA8EuTTfDJAAI+I6SgfJkD2yGSdD+8EaBKNgjpsZVKYHS59wKwQeoTEwB6ULDdSqXRwu+1KOXJg&#10;2PZN+sWE8ZU/YMqQpqBno9NBYjYQ3+9wyiA8Ft4VGK3QbttejS2UtyiGg26evOUbiVleMh+umcMB&#10;wsJwxcIVPioFGAR6i5Ia3Nd/3Uc89hW9lDQ4kAX1X/bMCUrUe4Mdnw3HUdCQDuPTSY4H99Szfeox&#10;e70CLH6Iy2x5MiM+qKNZOdCfcROXMSq6mOEYu6DhaK5Ctya4yVwslwmEM2tZuDQ3lkfqKLWB5T5A&#10;JVNLokydNr16OLVJ9n7D4lo8PSfU41dl8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z3sWD0gAA&#10;AAUBAAAPAAAAAAAAAAEAIAAAACIAAABkcnMvZG93bnJldi54bWxQSwECFAAUAAAACACHTuJAcAev&#10;4l0CAACdBAAADgAAAAAAAAABACAAAAAhAQAAZHJzL2Uyb0RvYy54bWxQSwUGAAAAAAYABgBZAQAA&#10;8AUAAAAA&#10;">
                  <v:fill on="t" focussize="0,0"/>
                  <v:stroke on="f" weight="0.5pt"/>
                  <v:imagedata o:title=""/>
                  <o:lock v:ext="edit" aspectratio="f"/>
                  <v:textbox>
                    <w:txbxContent>
                      <w:p w14:paraId="4B2EB9B5">
                        <w:pPr>
                          <w:rPr>
                            <w:rFonts w:hint="default" w:eastAsia="宋体"/>
                            <w:lang w:val="en-US" w:eastAsia="zh-CN"/>
                          </w:rPr>
                        </w:pPr>
                        <w:r>
                          <w:rPr>
                            <w:rFonts w:hint="eastAsia"/>
                            <w:lang w:val="en-US" w:eastAsia="zh-CN"/>
                          </w:rPr>
                          <w:t>消防备用照明</w:t>
                        </w:r>
                      </w:p>
                    </w:txbxContent>
                  </v:textbox>
                </v:shape>
                <w10:wrap type="none"/>
                <w10:anchorlock/>
              </v:group>
            </w:pict>
          </mc:Fallback>
        </mc:AlternateContent>
      </w:r>
    </w:p>
    <w:p w14:paraId="7A1EA0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center"/>
        <w:textAlignment w:val="auto"/>
        <w:rPr>
          <w:rFonts w:hint="default"/>
          <w:b w:val="0"/>
          <w:bCs w:val="0"/>
          <w:color w:val="000000" w:themeColor="text1"/>
          <w:sz w:val="24"/>
          <w:szCs w:val="24"/>
          <w:highlight w:val="none"/>
          <w:lang w:val="en-US" w:eastAsia="zh-CN"/>
          <w14:textFill>
            <w14:solidFill>
              <w14:schemeClr w14:val="tx1"/>
            </w14:solidFill>
          </w14:textFill>
        </w:rPr>
      </w:pPr>
      <w:r>
        <w:rPr>
          <w:rFonts w:hint="eastAsia"/>
          <w:b w:val="0"/>
          <w:bCs w:val="0"/>
          <w:color w:val="000000" w:themeColor="text1"/>
          <w:sz w:val="24"/>
          <w:szCs w:val="24"/>
          <w:highlight w:val="none"/>
          <w:lang w:val="en-US" w:eastAsia="zh-CN"/>
          <w14:textFill>
            <w14:solidFill>
              <w14:schemeClr w14:val="tx1"/>
            </w14:solidFill>
          </w14:textFill>
        </w:rPr>
        <w:t>图 2.0.1</w:t>
      </w:r>
    </w:p>
    <w:p w14:paraId="425C616A">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2.0.2  正常照明 normal lighting</w:t>
      </w:r>
    </w:p>
    <w:p w14:paraId="6439D9E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在正常情况下使用的照明。</w:t>
      </w:r>
    </w:p>
    <w:p w14:paraId="2886DEE0">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2.0.3  应急照明 emergency lighting</w:t>
      </w:r>
    </w:p>
    <w:p w14:paraId="50475A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因正常照明供电电源失效启用的照明。</w:t>
      </w:r>
    </w:p>
    <w:p w14:paraId="189A3C36">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2.0.4  疏散照明 escape lighting</w:t>
      </w:r>
    </w:p>
    <w:p w14:paraId="0B88A5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用于确保人员疏散路径被有效辨认和使用所设置的照明。</w:t>
      </w:r>
    </w:p>
    <w:p w14:paraId="70693D57">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2.0.5  安全照明 safety lighting</w:t>
      </w:r>
    </w:p>
    <w:p w14:paraId="5B518FE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用于确保处于潜在危险之中人员安全所设置的照明。</w:t>
      </w:r>
    </w:p>
    <w:p w14:paraId="6B544107">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2.0.6  备用照明 stand-by lighting</w:t>
      </w:r>
    </w:p>
    <w:p w14:paraId="1B83CF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用于确保正常活动继续进行所设置的照明。</w:t>
      </w:r>
    </w:p>
    <w:p w14:paraId="471D6318">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2.0.7  值班照明 on-duty lighting</w:t>
      </w:r>
    </w:p>
    <w:p w14:paraId="07FB08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非工作时间，为值班所设置的照明。</w:t>
      </w:r>
    </w:p>
    <w:p w14:paraId="551EF53C">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2.0.8  警卫照明 security lighting</w:t>
      </w:r>
    </w:p>
    <w:p w14:paraId="26D4AF9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用于警戒而安装的照明。</w:t>
      </w:r>
    </w:p>
    <w:p w14:paraId="55F5E77D">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2.0.9  障碍照明 obstacle lighting</w:t>
      </w:r>
    </w:p>
    <w:p w14:paraId="7BA57B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在可能危及航行安全的建（构）筑物上安装的具备警示作用的照明。</w:t>
      </w:r>
    </w:p>
    <w:p w14:paraId="430CE825">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2.0.10  消防备用照明 stand-by lighting for fire fighting</w:t>
      </w:r>
    </w:p>
    <w:p w14:paraId="009EC3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一种备用照明并兼做正常照明，在正常电源失效且企业内同时有场所发生火灾的情况下，可以由备用电源供电，从而为</w:t>
      </w:r>
      <w:r>
        <w:rPr>
          <w:rFonts w:hint="eastAsia"/>
          <w:b w:val="0"/>
          <w:bCs w:val="0"/>
          <w:color w:val="000000" w:themeColor="text1"/>
          <w:sz w:val="24"/>
          <w:szCs w:val="24"/>
          <w:highlight w:val="none"/>
          <w:u w:val="single"/>
          <w:lang w:val="en-US" w:eastAsia="zh-CN"/>
          <w14:textFill>
            <w14:solidFill>
              <w14:schemeClr w14:val="tx1"/>
            </w14:solidFill>
          </w14:textFill>
        </w:rPr>
        <w:t>非火灾场所</w:t>
      </w:r>
      <w:r>
        <w:rPr>
          <w:rFonts w:hint="eastAsia"/>
          <w:b w:val="0"/>
          <w:bCs w:val="0"/>
          <w:color w:val="000000" w:themeColor="text1"/>
          <w:sz w:val="24"/>
          <w:szCs w:val="24"/>
          <w:highlight w:val="none"/>
          <w:lang w:val="en-US" w:eastAsia="zh-CN"/>
          <w14:textFill>
            <w14:solidFill>
              <w14:schemeClr w14:val="tx1"/>
            </w14:solidFill>
          </w14:textFill>
        </w:rPr>
        <w:t>进行的消防相关</w:t>
      </w:r>
      <w:r>
        <w:rPr>
          <w:rFonts w:hint="eastAsia"/>
          <w:color w:val="000000" w:themeColor="text1"/>
          <w:sz w:val="24"/>
          <w:szCs w:val="24"/>
          <w:highlight w:val="none"/>
          <w:lang w:val="en-US" w:eastAsia="zh-CN"/>
          <w14:textFill>
            <w14:solidFill>
              <w14:schemeClr w14:val="tx1"/>
            </w14:solidFill>
          </w14:textFill>
        </w:rPr>
        <w:t>活动提供照明。该种照明设置在化工企业的消防泵房及其配电室、消防控制室、泡沫站等公共消防设施安装场所。</w:t>
      </w:r>
    </w:p>
    <w:p w14:paraId="73F6CEB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2.0.11  非消防备用照明 stand-by lighting</w:t>
      </w:r>
    </w:p>
    <w:p w14:paraId="0666436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除消防备用照明以外的备用照明，指在正常照明工作电源失效时，用于非火灾情况下确保正常活动继续进行所设置的照明。</w:t>
      </w:r>
    </w:p>
    <w:p w14:paraId="657EAACE">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2.0.12  消防疏散指示和照明系统 fire evacuate indicating and lighting system</w:t>
      </w:r>
    </w:p>
    <w:p w14:paraId="247C5C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在火灾情况下，为火灾场所的人员疏散、消防作业提供疏散指示和疏散照明的系统，由消防应急灯具及相关装置组成。</w:t>
      </w:r>
    </w:p>
    <w:p w14:paraId="748022D6">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2.0.13  非消防疏散指示系统 non fire evacuate indicating system</w:t>
      </w:r>
    </w:p>
    <w:p w14:paraId="0B178E1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在危化品泄露等非火灾突发应急情况下，为企业内人员疏散指示厂内疏散主通道和疏散方向的系统。</w:t>
      </w:r>
    </w:p>
    <w:p w14:paraId="653CCB59">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2.0.14  一般照明 general lighting</w:t>
      </w:r>
    </w:p>
    <w:p w14:paraId="3D976F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为照亮整个场所而设置的均匀照明。</w:t>
      </w:r>
    </w:p>
    <w:p w14:paraId="3B061A6B">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2.0.15  分区一般照明 localized general lighting</w:t>
      </w:r>
    </w:p>
    <w:p w14:paraId="0855AEA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为照亮工作场所中特定区域设置的均匀照明。</w:t>
      </w:r>
    </w:p>
    <w:p w14:paraId="11D642A8">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2.0.16  局部照明 local lighting</w:t>
      </w:r>
    </w:p>
    <w:p w14:paraId="7F3EA2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用于特定视觉工作、为照亮某个局部所设置的照明。</w:t>
      </w:r>
    </w:p>
    <w:p w14:paraId="545BFE9E">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2.0.17  混合照明 mixed lighting</w:t>
      </w:r>
    </w:p>
    <w:p w14:paraId="2D0269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由一般照明与局部照明组成的照明。</w:t>
      </w:r>
    </w:p>
    <w:p w14:paraId="04C6EEE1">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2.0.18  封闭式厂房 enclosed industrial building</w:t>
      </w:r>
    </w:p>
    <w:p w14:paraId="78B98B6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设有屋顶，建筑外围护结构全部采用封闭式墙体（含门、窗）构造的生产性建筑物。</w:t>
      </w:r>
    </w:p>
    <w:p w14:paraId="7EA0E0FD">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2.0.19  半敞开式厂房 semi-enclosed industrial building</w:t>
      </w:r>
    </w:p>
    <w:p w14:paraId="38E18D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设有屋顶，建筑外围护结构局部采用封闭式墙体，所占面积不超过该建筑外国护体表面面积的 1/2 （不含屋顶的面积）且不应小于5%的生产性建筑物。</w:t>
      </w:r>
    </w:p>
    <w:p w14:paraId="4E24A6A4">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2.0.20  敞开式厂房 opened industrial building</w:t>
      </w:r>
    </w:p>
    <w:p w14:paraId="57DC6E1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strike w:val="0"/>
          <w:dstrike w:val="0"/>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设有屋顶，不设建筑外围护结构或任意一层仅很小的局部设有封闭式围护结构的功能房间，所占面积不超过该楼层面积的 5% 的生产性建筑物。</w:t>
      </w:r>
    </w:p>
    <w:p w14:paraId="5387870C">
      <w:pPr>
        <w:numPr>
          <w:ilvl w:val="0"/>
          <w:numId w:val="0"/>
        </w:numPr>
        <w:ind w:leftChars="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746DC4F5">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6" w:name="_Toc998"/>
      <w:r>
        <w:rPr>
          <w:rFonts w:hint="eastAsia"/>
          <w:color w:val="000000" w:themeColor="text1"/>
          <w:highlight w:val="none"/>
          <w:lang w:val="en-US" w:eastAsia="zh-CN"/>
          <w14:textFill>
            <w14:solidFill>
              <w14:schemeClr w14:val="tx1"/>
            </w14:solidFill>
          </w14:textFill>
        </w:rPr>
        <w:t>3   照明方式和照明种类</w:t>
      </w:r>
      <w:bookmarkEnd w:id="6"/>
    </w:p>
    <w:p w14:paraId="45BE8E70">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3.0.1  化工企业的照明方式分为一般照明、混合照明和局部照明。其适用原则宜按下列规定：</w:t>
      </w:r>
    </w:p>
    <w:p w14:paraId="7DB7B4D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一般照明应作为化工企业的主要照明方式。</w:t>
      </w:r>
    </w:p>
    <w:p w14:paraId="30C4D7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同一场地内的不同区域有不同照度要求时，宜采用分区一般照明。</w:t>
      </w:r>
    </w:p>
    <w:p w14:paraId="7E4DAFA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对于部分场地照度要求较高，只采用一般照明不合理时，宜采用混合照明。</w:t>
      </w:r>
    </w:p>
    <w:p w14:paraId="786080C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在工艺要求的阀门操作处、视频监控需要增强照明处应根据需要加装局部照明；在一个工作场所内不应仅装设局部照明。</w:t>
      </w:r>
    </w:p>
    <w:p w14:paraId="4C1CFE8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3.0.2  化工企业照明种类分类见详本规范图2.0.1所示；照明种类的确定应符合下列规定：</w:t>
      </w:r>
    </w:p>
    <w:p w14:paraId="19750C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工作及相关辅助场所、走道均应设置正常照明。</w:t>
      </w:r>
    </w:p>
    <w:p w14:paraId="474961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正常照明电源失效后仍需继续工作的场所应设置备用照明；平时有人巡检的储罐、塔器的上下出入口处、旋转爬梯中部等也应设置备用照明。</w:t>
      </w:r>
    </w:p>
    <w:p w14:paraId="4FD694E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消防水泵房及其配电室、消防控制室以及发生火灾后需要工作的其他消防设备房应设置消防备用照明，其维持时间不应小于3小时；消防备用照明的设置不应考虑其所处场所同时着火。</w:t>
      </w:r>
    </w:p>
    <w:p w14:paraId="718D816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正常照明电源失效后，有处于潜在危险中的人员的场所应设置安全照明。</w:t>
      </w:r>
    </w:p>
    <w:p w14:paraId="6F1850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除筒仓、敞开式厂房和火灾发展缓慢的场所外，下列建筑物应设置消防疏散指示，指示标志应设置于安全出口及可明确规定的疏散路径上。</w:t>
      </w:r>
    </w:p>
    <w:p w14:paraId="38E00272">
      <w:pPr>
        <w:numPr>
          <w:ilvl w:val="0"/>
          <w:numId w:val="2"/>
        </w:numPr>
        <w:spacing w:line="360" w:lineRule="auto"/>
        <w:ind w:left="840" w:leftChars="0" w:firstLine="0" w:firstLine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甲、乙、丙类封闭厂房及半敞开式厂房。</w:t>
      </w:r>
    </w:p>
    <w:p w14:paraId="0A122EA4">
      <w:pPr>
        <w:numPr>
          <w:ilvl w:val="0"/>
          <w:numId w:val="2"/>
        </w:numPr>
        <w:spacing w:line="360" w:lineRule="auto"/>
        <w:ind w:left="834" w:leftChars="397" w:firstLine="5" w:firstLine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高层丁、戊类封闭厂房及半敞开式厂房。</w:t>
      </w:r>
    </w:p>
    <w:p w14:paraId="26C05954">
      <w:pPr>
        <w:numPr>
          <w:ilvl w:val="0"/>
          <w:numId w:val="2"/>
        </w:numPr>
        <w:spacing w:line="360" w:lineRule="auto"/>
        <w:ind w:left="836" w:leftChars="398" w:firstLine="3" w:firstLine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丙类仓库，高层仓库。</w:t>
      </w:r>
    </w:p>
    <w:p w14:paraId="3F5DF477">
      <w:pPr>
        <w:numPr>
          <w:ilvl w:val="0"/>
          <w:numId w:val="2"/>
        </w:numPr>
        <w:spacing w:line="360" w:lineRule="auto"/>
        <w:ind w:left="836" w:leftChars="398" w:firstLine="3" w:firstLine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办公楼、控制室、化验楼等生产管理建筑。</w:t>
      </w:r>
    </w:p>
    <w:p w14:paraId="04A63235">
      <w:pPr>
        <w:numPr>
          <w:ilvl w:val="0"/>
          <w:numId w:val="0"/>
        </w:numPr>
        <w:spacing w:line="360" w:lineRule="auto"/>
        <w:ind w:leftChars="0" w:firstLine="480" w:firstLineChars="20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  除筒仓、敞开式厂房和火灾发展缓慢的场所外，下列建筑中的下列部位应设置消防疏散照明：</w:t>
      </w:r>
    </w:p>
    <w:p w14:paraId="4C97D9B0">
      <w:pPr>
        <w:numPr>
          <w:ilvl w:val="0"/>
          <w:numId w:val="3"/>
        </w:numPr>
        <w:spacing w:line="360" w:lineRule="auto"/>
        <w:ind w:left="836" w:leftChars="398" w:firstLine="3" w:firstLine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甲、乙、丙类封闭厂房及半敞开式厂房内的安全出口。</w:t>
      </w:r>
    </w:p>
    <w:p w14:paraId="3FA73AD9">
      <w:pPr>
        <w:numPr>
          <w:ilvl w:val="0"/>
          <w:numId w:val="3"/>
        </w:numPr>
        <w:spacing w:line="360" w:lineRule="auto"/>
        <w:ind w:left="836" w:leftChars="398" w:firstLine="3" w:firstLine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高层丁、戊类封闭厂房及半敞开式厂房内的安全出口。</w:t>
      </w:r>
    </w:p>
    <w:p w14:paraId="1A81B055">
      <w:pPr>
        <w:numPr>
          <w:ilvl w:val="0"/>
          <w:numId w:val="3"/>
        </w:numPr>
        <w:spacing w:line="360" w:lineRule="auto"/>
        <w:ind w:left="836" w:leftChars="398" w:firstLine="3" w:firstLine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丙类仓库内的安全出口。</w:t>
      </w:r>
    </w:p>
    <w:p w14:paraId="6B9449CA">
      <w:pPr>
        <w:numPr>
          <w:ilvl w:val="0"/>
          <w:numId w:val="3"/>
        </w:numPr>
        <w:spacing w:line="360" w:lineRule="auto"/>
        <w:ind w:left="1255" w:leftChars="399" w:hanging="417" w:firstLine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办公楼、控制室、化验楼等生产管理建筑内的安全出口、疏散楼梯(间)、疏散楼梯间的前室或合用前室、避难走道及其前室、避难层、避难间、消防专用通道、兼作人员疏散的天桥和连廊。</w:t>
      </w:r>
    </w:p>
    <w:p w14:paraId="30319C77">
      <w:pPr>
        <w:numPr>
          <w:ilvl w:val="0"/>
          <w:numId w:val="0"/>
        </w:numPr>
        <w:spacing w:line="360" w:lineRule="auto"/>
        <w:ind w:leftChars="0" w:firstLine="480" w:firstLineChars="200"/>
        <w:rPr>
          <w:rFonts w:hint="eastAsia"/>
          <w:color w:val="000000" w:themeColor="text1"/>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可能危及航行安全的设备和建构筑物上，应根据航行要求设置障碍照明。</w:t>
      </w:r>
    </w:p>
    <w:p w14:paraId="2E327E0B">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64F73C5E">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7" w:name="_Toc18153"/>
      <w:r>
        <w:rPr>
          <w:rFonts w:hint="eastAsia"/>
          <w:color w:val="000000" w:themeColor="text1"/>
          <w:highlight w:val="none"/>
          <w:lang w:val="en-US" w:eastAsia="zh-CN"/>
          <w14:textFill>
            <w14:solidFill>
              <w14:schemeClr w14:val="tx1"/>
            </w14:solidFill>
          </w14:textFill>
        </w:rPr>
        <w:t>4   光源和灯具</w:t>
      </w:r>
      <w:bookmarkEnd w:id="7"/>
    </w:p>
    <w:p w14:paraId="312101DD">
      <w:pPr>
        <w:pStyle w:val="2"/>
        <w:keepNext/>
        <w:keepLines/>
        <w:pageBreakBefore w:val="0"/>
        <w:widowControl w:val="0"/>
        <w:kinsoku/>
        <w:wordWrap/>
        <w:overflowPunct/>
        <w:topLinePunct w:val="0"/>
        <w:autoSpaceDE/>
        <w:autoSpaceDN/>
        <w:bidi w:val="0"/>
        <w:adjustRightInd/>
        <w:snapToGrid/>
        <w:spacing w:after="300"/>
        <w:ind w:firstLine="0" w:firstLineChars="0"/>
        <w:jc w:val="center"/>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bookmarkStart w:id="8" w:name="_Toc7547"/>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4.1 照明光源</w:t>
      </w:r>
      <w:bookmarkEnd w:id="8"/>
    </w:p>
    <w:p w14:paraId="01CB97FD">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4.1.1</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化工企业应根据使用场所的环境特性、光色要求、启动时间、电磁干扰、安装高度、绿色节能等要求进行</w:t>
      </w:r>
      <w:r>
        <w:rPr>
          <w:rFonts w:hint="eastAsia" w:cs="Times New Roman"/>
          <w:color w:val="000000" w:themeColor="text1"/>
          <w:sz w:val="24"/>
          <w:szCs w:val="24"/>
          <w:highlight w:val="none"/>
          <w:lang w:val="en-US" w:eastAsia="zh-CN"/>
          <w14:textFill>
            <w14:solidFill>
              <w14:schemeClr w14:val="tx1"/>
            </w14:solidFill>
          </w14:textFill>
        </w:rPr>
        <w:t>照明光源的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选择。</w:t>
      </w:r>
    </w:p>
    <w:p w14:paraId="3D9874B5">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4.1.2</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化工企业宜选用LED灯、荧光灯、金属卤化物灯、高压钠灯或其他新型高效节能光源。</w:t>
      </w:r>
    </w:p>
    <w:p w14:paraId="1F16EBD9">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4.1.3</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照明设计时应按下列条件选择光源：</w:t>
      </w:r>
    </w:p>
    <w:p w14:paraId="7AF8F09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灯具安装高度在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4m</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及以下时，宜采用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灯、细管径直管形三基色荧光灯。</w:t>
      </w:r>
    </w:p>
    <w:p w14:paraId="4FD5093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2</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灯具安装高度大于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4m</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时，宜采用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灯、高压钠灯、金属卤化物灯或大功率细管径直管形荧光灯。</w:t>
      </w:r>
    </w:p>
    <w:p w14:paraId="6684BB0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3</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道路和室外生产装置场所，宜采用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灯、高压钠灯、金属卤化物灯。</w:t>
      </w:r>
    </w:p>
    <w:p w14:paraId="05592D1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4</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特别寒冷地区的室外照明，宜优先采用耐低温型</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灯、高压钠灯、金属卤化物灯，不宜采用受温度变化影响较大的荧光灯和普通</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等。</w:t>
      </w:r>
    </w:p>
    <w:p w14:paraId="5D466D2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5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高温场所，宜采用耐高温</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LED</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冷光光源，不宜采用高压钠灯、金属卤化物灯、荧光灯等高热光源。</w:t>
      </w:r>
    </w:p>
    <w:p w14:paraId="230711F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6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化肥厂造粒塔内部等多雾环境，宜采用高压钠灯。</w:t>
      </w:r>
    </w:p>
    <w:p w14:paraId="489A63F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7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不宜采用荧光高压汞灯，不应采用自镇流荧光高压汞灯。</w:t>
      </w:r>
    </w:p>
    <w:p w14:paraId="485A2DF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8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除对电磁干扰有严格要求，且其他光源无法满足的特殊场所外，不应采用普通照明用白炽灯。</w:t>
      </w:r>
    </w:p>
    <w:p w14:paraId="1367AD9B">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4.1.4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照明设计时应根据识别光色要求和场所特点，选用相应显色指数的光源。在灯具安装高度大于8m的场所，Ra可低于80，但必须能够辨别安全色。</w:t>
      </w:r>
    </w:p>
    <w:p w14:paraId="6E42D4CE">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4.1.5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应急照明应选用能快速点亮的光源。</w:t>
      </w:r>
    </w:p>
    <w:p w14:paraId="549F19C8">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4.1.6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选用LED灯的电气性能、光度性能应符合现行国家标准《建筑照明设计标准》GB/T 50034-2024</w:t>
      </w:r>
      <w:r>
        <w:rPr>
          <w:rFonts w:hint="eastAsia" w:cs="Times New Roman"/>
          <w:color w:val="000000" w:themeColor="text1"/>
          <w:sz w:val="24"/>
          <w:szCs w:val="24"/>
          <w:highlight w:val="none"/>
          <w:lang w:val="en-US" w:eastAsia="zh-CN"/>
          <w14:textFill>
            <w14:solidFill>
              <w14:schemeClr w14:val="tx1"/>
            </w14:solidFill>
          </w14:textFill>
        </w:rPr>
        <w:t>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3.2.5条、3.2.6条</w:t>
      </w:r>
      <w:r>
        <w:rPr>
          <w:rFonts w:hint="eastAsia" w:cs="Times New Roman"/>
          <w:color w:val="000000" w:themeColor="text1"/>
          <w:sz w:val="24"/>
          <w:szCs w:val="24"/>
          <w:highlight w:val="none"/>
          <w:lang w:val="en-US" w:eastAsia="zh-CN"/>
          <w14:textFill>
            <w14:solidFill>
              <w14:schemeClr w14:val="tx1"/>
            </w14:solidFill>
          </w14:textFill>
        </w:rPr>
        <w:t>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要求。</w:t>
      </w:r>
    </w:p>
    <w:p w14:paraId="3787ADF5">
      <w:pPr>
        <w:spacing w:line="360" w:lineRule="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4.1.7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照明光源的选择除符合上述规定外，</w:t>
      </w:r>
      <w:r>
        <w:rPr>
          <w:rFonts w:hint="eastAsia" w:cs="Times New Roman"/>
          <w:color w:val="000000" w:themeColor="text1"/>
          <w:sz w:val="24"/>
          <w:szCs w:val="24"/>
          <w:highlight w:val="none"/>
          <w:lang w:val="en-US" w:eastAsia="zh-CN"/>
          <w14:textFill>
            <w14:solidFill>
              <w14:schemeClr w14:val="tx1"/>
            </w14:solidFill>
          </w14:textFill>
        </w:rPr>
        <w:t>尚</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应符合国家现行相关标准和规范的要求。</w:t>
      </w:r>
    </w:p>
    <w:p w14:paraId="232E0F29">
      <w:pPr>
        <w:pStyle w:val="2"/>
        <w:ind w:firstLine="0" w:firstLineChars="0"/>
        <w:jc w:val="center"/>
        <w:rPr>
          <w:rFonts w:hint="default" w:ascii="Times New Roman" w:hAnsi="Times New Roman" w:eastAsia="宋体" w:cs="Times New Roman"/>
          <w:color w:val="000000" w:themeColor="text1"/>
          <w:sz w:val="28"/>
          <w:szCs w:val="28"/>
          <w:highlight w:val="none"/>
          <w:lang w:val="en-US" w:eastAsia="zh-CN"/>
          <w14:textFill>
            <w14:solidFill>
              <w14:schemeClr w14:val="tx1"/>
            </w14:solidFill>
          </w14:textFill>
        </w:rPr>
      </w:pPr>
      <w:bookmarkStart w:id="9" w:name="_Toc31016"/>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4.2 照明灯具及附属装置</w:t>
      </w:r>
      <w:bookmarkEnd w:id="9"/>
    </w:p>
    <w:p w14:paraId="21C674FE">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4.2.1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灯具选择应根据使用场所的环境特性、照明种类、安装高度、供电条件、光源性能和寿命等进行综合技术经济分析后确定。</w:t>
      </w:r>
    </w:p>
    <w:p w14:paraId="5E718D6E">
      <w:pPr>
        <w:spacing w:line="360" w:lineRule="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4.2.2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在满足环境特性，保证安全、视觉要求、配光要求和限制眩光的条件下，应选用绿色环保、效率高、维护方便的灯具。</w:t>
      </w:r>
    </w:p>
    <w:p w14:paraId="28E08BE1">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4.2.3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LED灯功率因数不应低于0.95，荧光灯、高强气体放电灯、无极灯功率因数不应低于0.9。</w:t>
      </w:r>
    </w:p>
    <w:p w14:paraId="73080415">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4.2.4</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照明设计时灯具</w:t>
      </w:r>
      <w:r>
        <w:rPr>
          <w:rFonts w:hint="eastAsia" w:cs="Times New Roman"/>
          <w:color w:val="000000" w:themeColor="text1"/>
          <w:sz w:val="24"/>
          <w:szCs w:val="24"/>
          <w:highlight w:val="none"/>
          <w:lang w:val="en-US" w:eastAsia="zh-CN"/>
          <w14:textFill>
            <w14:solidFill>
              <w14:schemeClr w14:val="tx1"/>
            </w14:solidFill>
          </w14:textFill>
        </w:rPr>
        <w:t>的选择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应符合下列</w:t>
      </w:r>
      <w:r>
        <w:rPr>
          <w:rFonts w:hint="eastAsia" w:cs="Times New Roman"/>
          <w:color w:val="000000" w:themeColor="text1"/>
          <w:sz w:val="24"/>
          <w:szCs w:val="24"/>
          <w:highlight w:val="none"/>
          <w:lang w:val="en-US" w:eastAsia="zh-CN"/>
          <w14:textFill>
            <w14:solidFill>
              <w14:schemeClr w14:val="tx1"/>
            </w14:solidFill>
          </w14:textFill>
        </w:rPr>
        <w:t>原则</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68AD801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厂房、仓库及室外场所，应采用防水防尘型灯具，防护等级不宜低于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IP54</w:t>
      </w:r>
      <w:r>
        <w:rPr>
          <w:rFonts w:hint="eastAsia" w:cs="Times New Roman"/>
          <w:color w:val="000000" w:themeColor="text1"/>
          <w:sz w:val="24"/>
          <w:szCs w:val="24"/>
          <w:highlight w:val="none"/>
          <w:lang w:val="en-US" w:eastAsia="zh-CN"/>
          <w14:textFill>
            <w14:solidFill>
              <w14:schemeClr w14:val="tx1"/>
            </w14:solidFill>
          </w14:textFill>
        </w:rPr>
        <w:t>。</w:t>
      </w:r>
    </w:p>
    <w:p w14:paraId="0A5AE06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2  </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有腐蚀性气体或蒸汽场所，应</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按现行行业标准</w:t>
      </w:r>
      <w:r>
        <w:rPr>
          <w:rFonts w:ascii="Segoe UI" w:hAnsi="Segoe UI" w:eastAsia="Segoe UI" w:cs="Segoe UI"/>
          <w:i w:val="0"/>
          <w:caps w:val="0"/>
          <w:color w:val="000000" w:themeColor="text1"/>
          <w:spacing w:val="0"/>
          <w:sz w:val="24"/>
          <w:szCs w:val="24"/>
          <w:highlight w:val="none"/>
          <w:shd w:val="clear" w:fill="FFFFFF"/>
          <w14:textFill>
            <w14:solidFill>
              <w14:schemeClr w14:val="tx1"/>
            </w14:solidFill>
          </w14:textFill>
        </w:rPr>
        <w:t>《化工企业腐蚀环境电力设计规程》</w:t>
      </w:r>
      <w:r>
        <w:rPr>
          <w:rFonts w:hint="default" w:ascii="Times New Roman" w:hAnsi="Times New Roman" w:cs="Times New Roman"/>
          <w:i w:val="0"/>
          <w:caps w:val="0"/>
          <w:color w:val="000000" w:themeColor="text1"/>
          <w:spacing w:val="0"/>
          <w:sz w:val="24"/>
          <w:szCs w:val="24"/>
          <w:highlight w:val="none"/>
          <w:shd w:val="clear" w:fill="FFFFFF"/>
          <w:lang w:val="en-US" w:eastAsia="zh-CN"/>
          <w14:textFill>
            <w14:solidFill>
              <w14:schemeClr w14:val="tx1"/>
            </w14:solidFill>
          </w14:textFill>
        </w:rPr>
        <w:t>HG/T 20666</w:t>
      </w:r>
      <w:r>
        <w:rPr>
          <w:rFonts w:hint="eastAsia" w:cs="Times New Roman"/>
          <w:i w:val="0"/>
          <w:caps w:val="0"/>
          <w:color w:val="000000" w:themeColor="text1"/>
          <w:spacing w:val="0"/>
          <w:sz w:val="24"/>
          <w:szCs w:val="24"/>
          <w:highlight w:val="none"/>
          <w:shd w:val="clear" w:fill="FFFFFF"/>
          <w:lang w:val="en-US" w:eastAsia="zh-CN"/>
          <w14:textFill>
            <w14:solidFill>
              <w14:schemeClr w14:val="tx1"/>
            </w14:solidFill>
          </w14:textFill>
        </w:rPr>
        <w:t>的有关</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规定，</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采用</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相应防腐蚀等级的灯具。</w:t>
      </w:r>
    </w:p>
    <w:p w14:paraId="209C1A9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3  </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有盐雾腐蚀场所，</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应</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采用</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耐腐蚀材料制成的密闭式</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灯具</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，防护等级不宜低于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IP65</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w:t>
      </w:r>
    </w:p>
    <w:p w14:paraId="02E09CD7">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4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高温场所，</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应</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采用散热性能好、耐高温的</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冷光源</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灯具</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w:t>
      </w:r>
    </w:p>
    <w:p w14:paraId="45BA53F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5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有爆炸性气体、粉尘</w:t>
      </w:r>
      <w:r>
        <w:rPr>
          <w:rFonts w:hint="eastAsia" w:asciiTheme="minorEastAsia" w:hAnsiTheme="minorEastAsia" w:cstheme="minorEastAsia"/>
          <w:strike w:val="0"/>
          <w:dstrike w:val="0"/>
          <w:color w:val="000000" w:themeColor="text1"/>
          <w:sz w:val="24"/>
          <w:szCs w:val="24"/>
          <w:highlight w:val="none"/>
          <w:lang w:val="en-US" w:eastAsia="zh-CN"/>
          <w14:textFill>
            <w14:solidFill>
              <w14:schemeClr w14:val="tx1"/>
            </w14:solidFill>
          </w14:textFill>
        </w:rPr>
        <w:t>场所</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，应采用符合国家</w:t>
      </w:r>
      <w:r>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t>现行标准</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、规范要求的灯具。</w:t>
      </w:r>
    </w:p>
    <w:p w14:paraId="3024A3A7">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6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在振动、摆动环境下使用的灯具，应有防振和防脱落措施。</w:t>
      </w:r>
    </w:p>
    <w:p w14:paraId="708E615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7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室外大面积工作场所，宜采用高效投光灯；当技术经济合理时，宜采用半高杆或高杆照明灯具。</w:t>
      </w:r>
    </w:p>
    <w:p w14:paraId="7B38153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8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室内选用同类灯或灯具的色容差不应大于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5SDCM</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；室外选用同类灯或灯具的色容差不应大于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7SDCM</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w:t>
      </w:r>
    </w:p>
    <w:p w14:paraId="5828594A">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9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不应选用</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类灯具。</w:t>
      </w:r>
    </w:p>
    <w:p w14:paraId="7AE4FFB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10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消防应急照明灯具的选择除符合本规范要求外，尚应符合现行国家标准《消防应急照明和疏散指示系统》</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 17945</w:t>
      </w:r>
      <w:r>
        <w:rPr>
          <w:rFonts w:hint="eastAsia" w:cs="Times New Roman"/>
          <w:color w:val="000000" w:themeColor="text1"/>
          <w:sz w:val="24"/>
          <w:szCs w:val="24"/>
          <w:highlight w:val="none"/>
          <w:lang w:val="en-US" w:eastAsia="zh-CN"/>
          <w14:textFill>
            <w14:solidFill>
              <w14:schemeClr w14:val="tx1"/>
            </w14:solidFill>
          </w14:textFill>
        </w:rPr>
        <w:t>和《消防应急照明和疏散指示系统技术标准》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GB51309</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的有关规定。</w:t>
      </w:r>
    </w:p>
    <w:p w14:paraId="3E6AFD75">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11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航空障碍照明灯具的选择除符合本规范要求外，尚应符合现行行业标准《航空障碍灯》</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MH/T 6012</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的有关规定。</w:t>
      </w:r>
    </w:p>
    <w:p w14:paraId="407811BA">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4.2.5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照明灯具镇流器的选择应符合下列</w:t>
      </w:r>
      <w:r>
        <w:rPr>
          <w:rFonts w:hint="eastAsia" w:cs="Times New Roman"/>
          <w:color w:val="000000" w:themeColor="text1"/>
          <w:sz w:val="24"/>
          <w:szCs w:val="24"/>
          <w:highlight w:val="none"/>
          <w:lang w:val="en-US" w:eastAsia="zh-CN"/>
          <w14:textFill>
            <w14:solidFill>
              <w14:schemeClr w14:val="tx1"/>
            </w14:solidFill>
          </w14:textFill>
        </w:rPr>
        <w:t>规定</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BB4633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1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直管型荧光灯应配用电子镇流器或节能型电感镇流器。</w:t>
      </w:r>
    </w:p>
    <w:p w14:paraId="1A2C3EF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2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对频闪效应有限制的场合，应采用高频电子镇流器。</w:t>
      </w:r>
    </w:p>
    <w:p w14:paraId="64AB5170">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3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高压钠灯、金属卤化物灯应配用节能型电感镇流器；功率较小的灯具可配用电子镇流器；在电压偏差较大的场地,宜配用恒功率镇流器。</w:t>
      </w:r>
    </w:p>
    <w:p w14:paraId="1ABB0414">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4.2.6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对人员可触及的照明设备，应对其表面温度进行限制，当表面温度高于70℃时，应按</w:t>
      </w:r>
      <w:r>
        <w:rPr>
          <w:rFonts w:hint="eastAsia" w:cs="Times New Roman"/>
          <w:color w:val="000000" w:themeColor="text1"/>
          <w:sz w:val="24"/>
          <w:szCs w:val="24"/>
          <w:highlight w:val="none"/>
          <w:lang w:val="en-US" w:eastAsia="zh-CN"/>
          <w14:textFill>
            <w14:solidFill>
              <w14:schemeClr w14:val="tx1"/>
            </w14:solidFill>
          </w14:textFill>
        </w:rPr>
        <w:t>现行国家标准《建筑环境通用规范》</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GB 55016的</w:t>
      </w:r>
      <w:r>
        <w:rPr>
          <w:rFonts w:hint="eastAsia" w:cs="Times New Roman"/>
          <w:color w:val="000000" w:themeColor="text1"/>
          <w:sz w:val="24"/>
          <w:szCs w:val="24"/>
          <w:highlight w:val="none"/>
          <w:lang w:val="en-US" w:eastAsia="zh-CN"/>
          <w14:textFill>
            <w14:solidFill>
              <w14:schemeClr w14:val="tx1"/>
            </w14:solidFill>
          </w14:textFill>
        </w:rPr>
        <w:t>有关规定</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进行隔离保护。</w:t>
      </w:r>
    </w:p>
    <w:p w14:paraId="2C42AF91">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4.2.7 </w:t>
      </w:r>
      <w:r>
        <w:rPr>
          <w:rFonts w:hint="eastAsia" w:cs="Times New Roman"/>
          <w:color w:val="000000" w:themeColor="text1"/>
          <w:sz w:val="24"/>
          <w:szCs w:val="24"/>
          <w:highlight w:val="none"/>
          <w:lang w:val="en-US" w:eastAsia="zh-CN"/>
          <w14:textFill>
            <w14:solidFill>
              <w14:schemeClr w14:val="tx1"/>
            </w14:solidFill>
          </w14:textFill>
        </w:rPr>
        <w:t xml:space="preserve"> 消防疏散指示和照明</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灯具自带蓄电池时，蓄电池的选择应符合</w:t>
      </w:r>
      <w:r>
        <w:rPr>
          <w:rFonts w:hint="eastAsia" w:cs="Times New Roman"/>
          <w:color w:val="000000" w:themeColor="text1"/>
          <w:sz w:val="24"/>
          <w:szCs w:val="24"/>
          <w:highlight w:val="none"/>
          <w:lang w:val="en-US" w:eastAsia="zh-CN"/>
          <w14:textFill>
            <w14:solidFill>
              <w14:schemeClr w14:val="tx1"/>
            </w14:solidFill>
          </w14:textFill>
        </w:rPr>
        <w:t>现行国家标准</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《消防应急照明和疏散指示系统》GB 17945的</w:t>
      </w:r>
      <w:r>
        <w:rPr>
          <w:rFonts w:hint="eastAsia" w:cs="Times New Roman"/>
          <w:color w:val="000000" w:themeColor="text1"/>
          <w:sz w:val="24"/>
          <w:szCs w:val="24"/>
          <w:highlight w:val="none"/>
          <w:lang w:val="en-US" w:eastAsia="zh-CN"/>
          <w14:textFill>
            <w14:solidFill>
              <w14:schemeClr w14:val="tx1"/>
            </w14:solidFill>
          </w14:textFill>
        </w:rPr>
        <w:t>有关</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规定。</w:t>
      </w:r>
    </w:p>
    <w:p w14:paraId="2516A284">
      <w:pPr>
        <w:spacing w:line="360" w:lineRule="auto"/>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4.2.8</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选用LED灯具的初始光通量</w:t>
      </w:r>
      <w:r>
        <w:rPr>
          <w:rFonts w:hint="eastAsia"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不应低于额定光通量的90%，且不应高于额定光通量的120%；LED灯具工作3000h的光通量维持率不应小于96%，6000h的光通量维持率不应小于92%。</w:t>
      </w:r>
    </w:p>
    <w:p w14:paraId="32DD9D3E">
      <w:pPr>
        <w:spacing w:line="360" w:lineRule="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4.2.9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在满足眩光限制和配光要求条件下，优先选用灯具效率或灯具效能值高的灯具，并应符合</w:t>
      </w:r>
      <w:r>
        <w:rPr>
          <w:rFonts w:hint="eastAsia" w:cs="Times New Roman"/>
          <w:color w:val="000000" w:themeColor="text1"/>
          <w:sz w:val="24"/>
          <w:szCs w:val="24"/>
          <w:highlight w:val="none"/>
          <w:lang w:val="en-US" w:eastAsia="zh-CN"/>
          <w14:textFill>
            <w14:solidFill>
              <w14:schemeClr w14:val="tx1"/>
            </w14:solidFill>
          </w14:textFill>
        </w:rPr>
        <w:t>现行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国家标准《建筑照明设计标准》GB/T 50034-2024中3.3.10条</w:t>
      </w:r>
      <w:r>
        <w:rPr>
          <w:rFonts w:hint="eastAsia" w:cs="Times New Roman"/>
          <w:color w:val="000000" w:themeColor="text1"/>
          <w:sz w:val="24"/>
          <w:szCs w:val="24"/>
          <w:highlight w:val="none"/>
          <w:lang w:val="en-US" w:eastAsia="zh-CN"/>
          <w14:textFill>
            <w14:solidFill>
              <w14:schemeClr w14:val="tx1"/>
            </w14:solidFill>
          </w14:textFill>
        </w:rPr>
        <w:t>的有关规定</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6F3B9DA6">
      <w:pPr>
        <w:numPr>
          <w:ilvl w:val="-1"/>
          <w:numId w:val="0"/>
        </w:numPr>
        <w:spacing w:line="360" w:lineRule="auto"/>
        <w:ind w:leftChars="0"/>
        <w:rPr>
          <w:rFonts w:hint="eastAsia"/>
          <w:color w:val="000000" w:themeColor="text1"/>
          <w:sz w:val="28"/>
          <w:szCs w:val="28"/>
          <w:highlight w:val="none"/>
          <w:lang w:val="en-US" w:eastAsia="zh-CN"/>
          <w14:textFill>
            <w14:solidFill>
              <w14:schemeClr w14:val="tx1"/>
            </w14:solidFill>
          </w14:textFill>
        </w:rPr>
      </w:pPr>
      <w:r>
        <w:rPr>
          <w:rFonts w:hint="eastAsia" w:cs="Times New Roman"/>
          <w:color w:val="000000" w:themeColor="text1"/>
          <w:sz w:val="24"/>
          <w:szCs w:val="24"/>
          <w:highlight w:val="none"/>
          <w:lang w:val="en-US" w:eastAsia="zh-CN"/>
          <w14:textFill>
            <w14:solidFill>
              <w14:schemeClr w14:val="tx1"/>
            </w14:solidFill>
          </w14:textFill>
        </w:rPr>
        <w:t xml:space="preserve">4.2.10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控制室、化验室、办公楼</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应选用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类危险</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RG</w:t>
      </w:r>
      <w:r>
        <w:rPr>
          <w:rFonts w:hint="eastAsia"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灯具或满足灯具标记的视看距离要求的</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类危险</w:t>
      </w:r>
      <w:r>
        <w:rPr>
          <w:rFonts w:hint="eastAsia"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RG</w:t>
      </w:r>
      <w:r>
        <w:rPr>
          <w:rFonts w:hint="eastAsia"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灯具。</w:t>
      </w:r>
    </w:p>
    <w:p w14:paraId="31286657">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68D9F588">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10" w:name="_Toc19817"/>
      <w:r>
        <w:rPr>
          <w:rFonts w:hint="eastAsia"/>
          <w:color w:val="000000" w:themeColor="text1"/>
          <w:highlight w:val="none"/>
          <w:lang w:val="en-US" w:eastAsia="zh-CN"/>
          <w14:textFill>
            <w14:solidFill>
              <w14:schemeClr w14:val="tx1"/>
            </w14:solidFill>
          </w14:textFill>
        </w:rPr>
        <w:t>5   照明质量</w:t>
      </w:r>
      <w:bookmarkEnd w:id="10"/>
    </w:p>
    <w:p w14:paraId="52CA5E52">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5.0.1  化工企业各场所正常照明的照度标准值宜符合</w:t>
      </w:r>
      <w:r>
        <w:rPr>
          <w:rFonts w:hint="eastAsia" w:cs="Times New Roman"/>
          <w:color w:val="000000" w:themeColor="text1"/>
          <w:sz w:val="24"/>
          <w:szCs w:val="24"/>
          <w:highlight w:val="none"/>
          <w:lang w:val="en-US" w:eastAsia="zh-CN"/>
          <w14:textFill>
            <w14:solidFill>
              <w14:schemeClr w14:val="tx1"/>
            </w14:solidFill>
          </w14:textFill>
        </w:rPr>
        <w:t>现行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国家标准《建筑照明设计标准》</w:t>
      </w:r>
      <w:r>
        <w:rPr>
          <w:rFonts w:hint="eastAsia"/>
          <w:color w:val="000000" w:themeColor="text1"/>
          <w:sz w:val="24"/>
          <w:szCs w:val="24"/>
          <w:highlight w:val="none"/>
          <w:lang w:val="en-US" w:eastAsia="zh-CN"/>
          <w14:textFill>
            <w14:solidFill>
              <w14:schemeClr w14:val="tx1"/>
            </w14:solidFill>
          </w14:textFill>
        </w:rPr>
        <w:t>GB/T 50034相应场所的有关规定。</w:t>
      </w:r>
    </w:p>
    <w:p w14:paraId="1205E5CE">
      <w:pPr>
        <w:numPr>
          <w:ilvl w:val="0"/>
          <w:numId w:val="0"/>
        </w:numPr>
        <w:spacing w:line="360" w:lineRule="auto"/>
        <w:ind w:leftChars="0"/>
        <w:rPr>
          <w:rFonts w:hint="default"/>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5.0.2  需要备用照明的场所，其备用照明的照度标准值不应低于该场所正常照明照度值的10%。本规范第3.0.2条第3款规定的需要设置备用照明的场所，其备用照明照度值应与正常照明照度值相同。</w:t>
      </w:r>
    </w:p>
    <w:p w14:paraId="32A672F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5.0.3  化工企业消防疏散照明的照度标准值应符合</w:t>
      </w:r>
      <w:r>
        <w:rPr>
          <w:rFonts w:hint="eastAsia" w:cs="Times New Roman"/>
          <w:color w:val="000000" w:themeColor="text1"/>
          <w:sz w:val="24"/>
          <w:szCs w:val="24"/>
          <w:highlight w:val="none"/>
          <w:lang w:val="en-US" w:eastAsia="zh-CN"/>
          <w14:textFill>
            <w14:solidFill>
              <w14:schemeClr w14:val="tx1"/>
            </w14:solidFill>
          </w14:textFill>
        </w:rPr>
        <w:t>现行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国家标准《建筑防火通用规范》</w:t>
      </w:r>
      <w:r>
        <w:rPr>
          <w:rFonts w:hint="eastAsia"/>
          <w:color w:val="000000" w:themeColor="text1"/>
          <w:sz w:val="24"/>
          <w:szCs w:val="24"/>
          <w:highlight w:val="none"/>
          <w:lang w:val="en-US" w:eastAsia="zh-CN"/>
          <w14:textFill>
            <w14:solidFill>
              <w14:schemeClr w14:val="tx1"/>
            </w14:solidFill>
          </w14:textFill>
        </w:rPr>
        <w:t>GB 55037的有关规定。</w:t>
      </w:r>
    </w:p>
    <w:p w14:paraId="52A35914">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0" w:firstLineChars="0"/>
        <w:textAlignment w:val="auto"/>
        <w:rPr>
          <w:rFonts w:hint="default"/>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5.0.4  化工企业生产装置区作业面的照度均匀度宜符合</w:t>
      </w:r>
      <w:r>
        <w:rPr>
          <w:rFonts w:hint="eastAsia" w:cs="Times New Roman"/>
          <w:color w:val="000000" w:themeColor="text1"/>
          <w:sz w:val="24"/>
          <w:szCs w:val="24"/>
          <w:highlight w:val="none"/>
          <w:lang w:val="en-US" w:eastAsia="zh-CN"/>
          <w14:textFill>
            <w14:solidFill>
              <w14:schemeClr w14:val="tx1"/>
            </w14:solidFill>
          </w14:textFill>
        </w:rPr>
        <w:t>现行</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国家标准《建筑照明设计标准》</w:t>
      </w:r>
      <w:r>
        <w:rPr>
          <w:rFonts w:hint="eastAsia"/>
          <w:color w:val="000000" w:themeColor="text1"/>
          <w:sz w:val="24"/>
          <w:szCs w:val="24"/>
          <w:highlight w:val="none"/>
          <w:lang w:val="en-US" w:eastAsia="zh-CN"/>
          <w14:textFill>
            <w14:solidFill>
              <w14:schemeClr w14:val="tx1"/>
            </w14:solidFill>
          </w14:textFill>
        </w:rPr>
        <w:t>GB/T 50034的有关规定，户外作业面邻近区域的照度均匀度不应低于0.1。</w:t>
      </w:r>
    </w:p>
    <w:p w14:paraId="570564F0">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5.0.5  化工企业照度计算宜采用利用系数法，户外也可采用逐点计算法。</w:t>
      </w:r>
    </w:p>
    <w:p w14:paraId="1AEF1869">
      <w:pPr>
        <w:numPr>
          <w:ilvl w:val="0"/>
          <w:numId w:val="0"/>
        </w:numPr>
        <w:spacing w:after="157" w:afterLines="50"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5.0.6  化工企业典型场所的正常照明照度宜符合表5.0.6的规定。</w:t>
      </w:r>
    </w:p>
    <w:p w14:paraId="52526D32">
      <w:pPr>
        <w:keepNext w:val="0"/>
        <w:keepLines w:val="0"/>
        <w:pageBreakBefore w:val="0"/>
        <w:widowControl w:val="0"/>
        <w:kinsoku/>
        <w:wordWrap/>
        <w:overflowPunct/>
        <w:topLinePunct w:val="0"/>
        <w:autoSpaceDE/>
        <w:autoSpaceDN/>
        <w:bidi w:val="0"/>
        <w:adjustRightInd/>
        <w:snapToGrid/>
        <w:spacing w:line="360" w:lineRule="auto"/>
        <w:ind w:firstLine="2409" w:firstLineChars="1000"/>
        <w:textAlignment w:val="auto"/>
        <w:rPr>
          <w:color w:val="000000" w:themeColor="text1"/>
          <w:sz w:val="24"/>
          <w:szCs w:val="24"/>
          <w:highlight w:val="none"/>
          <w14:textFill>
            <w14:solidFill>
              <w14:schemeClr w14:val="tx1"/>
            </w14:solidFill>
          </w14:textFill>
        </w:rPr>
      </w:pPr>
      <w:r>
        <w:rPr>
          <w:rFonts w:hint="eastAsia"/>
          <w:b/>
          <w:bCs/>
          <w:color w:val="000000" w:themeColor="text1"/>
          <w:sz w:val="24"/>
          <w:highlight w:val="none"/>
          <w14:textFill>
            <w14:solidFill>
              <w14:schemeClr w14:val="tx1"/>
            </w14:solidFill>
          </w14:textFill>
        </w:rPr>
        <w:t>表5.</w:t>
      </w:r>
      <w:r>
        <w:rPr>
          <w:rFonts w:hint="eastAsia"/>
          <w:b/>
          <w:bCs/>
          <w:color w:val="000000" w:themeColor="text1"/>
          <w:sz w:val="24"/>
          <w:highlight w:val="none"/>
          <w:lang w:val="en-US" w:eastAsia="zh-CN"/>
          <w14:textFill>
            <w14:solidFill>
              <w14:schemeClr w14:val="tx1"/>
            </w14:solidFill>
          </w14:textFill>
        </w:rPr>
        <w:t>0.6</w:t>
      </w:r>
      <w:r>
        <w:rPr>
          <w:rFonts w:hint="eastAsia"/>
          <w:b/>
          <w:bCs/>
          <w:color w:val="000000" w:themeColor="text1"/>
          <w:sz w:val="24"/>
          <w:highlight w:val="none"/>
          <w14:textFill>
            <w14:solidFill>
              <w14:schemeClr w14:val="tx1"/>
            </w14:solidFill>
          </w14:textFill>
        </w:rPr>
        <w:t xml:space="preserve">  化工典型场所照明标准值</w:t>
      </w:r>
    </w:p>
    <w:tbl>
      <w:tblPr>
        <w:tblStyle w:val="20"/>
        <w:tblW w:w="49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2016"/>
        <w:gridCol w:w="1565"/>
        <w:gridCol w:w="1695"/>
        <w:gridCol w:w="694"/>
        <w:gridCol w:w="711"/>
        <w:gridCol w:w="645"/>
      </w:tblGrid>
      <w:tr w14:paraId="78B8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blHeader/>
        </w:trPr>
        <w:tc>
          <w:tcPr>
            <w:tcW w:w="1848" w:type="pct"/>
            <w:gridSpan w:val="2"/>
            <w:vAlign w:val="center"/>
          </w:tcPr>
          <w:p w14:paraId="61EF59A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场所</w:t>
            </w:r>
          </w:p>
        </w:tc>
        <w:tc>
          <w:tcPr>
            <w:tcW w:w="929" w:type="pct"/>
            <w:vAlign w:val="center"/>
          </w:tcPr>
          <w:p w14:paraId="73BF967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工作面</w:t>
            </w:r>
          </w:p>
        </w:tc>
        <w:tc>
          <w:tcPr>
            <w:tcW w:w="1006" w:type="pct"/>
            <w:vAlign w:val="center"/>
          </w:tcPr>
          <w:p w14:paraId="5C74562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w w:val="100"/>
                <w:sz w:val="21"/>
                <w:szCs w:val="21"/>
                <w:highlight w:val="none"/>
                <w14:textFill>
                  <w14:solidFill>
                    <w14:schemeClr w14:val="tx1"/>
                  </w14:solidFill>
                </w14:textFill>
              </w:rPr>
              <w:t>水平照度值（lx）</w:t>
            </w:r>
          </w:p>
        </w:tc>
        <w:tc>
          <w:tcPr>
            <w:tcW w:w="412" w:type="pct"/>
            <w:vAlign w:val="center"/>
          </w:tcPr>
          <w:p w14:paraId="3A870BF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UGR</w:t>
            </w:r>
          </w:p>
        </w:tc>
        <w:tc>
          <w:tcPr>
            <w:tcW w:w="422" w:type="pct"/>
            <w:vAlign w:val="center"/>
          </w:tcPr>
          <w:p w14:paraId="530BD1B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w:t>
            </w:r>
            <w:r>
              <w:rPr>
                <w:rFonts w:hint="eastAsia"/>
                <w:color w:val="000000" w:themeColor="text1"/>
                <w:sz w:val="21"/>
                <w:szCs w:val="21"/>
                <w:highlight w:val="none"/>
                <w:vertAlign w:val="subscript"/>
                <w14:textFill>
                  <w14:solidFill>
                    <w14:schemeClr w14:val="tx1"/>
                  </w14:solidFill>
                </w14:textFill>
              </w:rPr>
              <w:t>0</w:t>
            </w:r>
          </w:p>
        </w:tc>
        <w:tc>
          <w:tcPr>
            <w:tcW w:w="381" w:type="pct"/>
            <w:vAlign w:val="center"/>
          </w:tcPr>
          <w:p w14:paraId="2877EC9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Ra</w:t>
            </w:r>
          </w:p>
        </w:tc>
      </w:tr>
      <w:tr w14:paraId="4CA3E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5000" w:type="pct"/>
            <w:gridSpan w:val="7"/>
            <w:vAlign w:val="center"/>
          </w:tcPr>
          <w:p w14:paraId="1C0D6378">
            <w:pPr>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工艺生产装置区</w:t>
            </w:r>
          </w:p>
        </w:tc>
      </w:tr>
      <w:tr w14:paraId="143C5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restart"/>
            <w:vAlign w:val="center"/>
          </w:tcPr>
          <w:p w14:paraId="5DF832A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装置</w:t>
            </w:r>
          </w:p>
          <w:p w14:paraId="0F94E74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变电所</w:t>
            </w:r>
          </w:p>
        </w:tc>
        <w:tc>
          <w:tcPr>
            <w:tcW w:w="1196" w:type="pct"/>
            <w:vAlign w:val="center"/>
          </w:tcPr>
          <w:p w14:paraId="0785765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配电室</w:t>
            </w:r>
          </w:p>
        </w:tc>
        <w:tc>
          <w:tcPr>
            <w:tcW w:w="929" w:type="pct"/>
            <w:vAlign w:val="center"/>
          </w:tcPr>
          <w:p w14:paraId="2105027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1006" w:type="pct"/>
            <w:vAlign w:val="center"/>
          </w:tcPr>
          <w:p w14:paraId="6D6A561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w:t>
            </w:r>
          </w:p>
        </w:tc>
        <w:tc>
          <w:tcPr>
            <w:tcW w:w="412" w:type="pct"/>
            <w:vAlign w:val="center"/>
          </w:tcPr>
          <w:p w14:paraId="3CC5C6D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3C8132C5">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7C29CCB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18F78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31A7597C">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2DE171E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电缆间</w:t>
            </w:r>
          </w:p>
        </w:tc>
        <w:tc>
          <w:tcPr>
            <w:tcW w:w="929" w:type="pct"/>
            <w:vAlign w:val="center"/>
          </w:tcPr>
          <w:p w14:paraId="7765CDD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1006" w:type="pct"/>
            <w:vAlign w:val="center"/>
          </w:tcPr>
          <w:p w14:paraId="1C3D600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100</w:t>
            </w:r>
          </w:p>
        </w:tc>
        <w:tc>
          <w:tcPr>
            <w:tcW w:w="412" w:type="pct"/>
            <w:vAlign w:val="center"/>
          </w:tcPr>
          <w:p w14:paraId="29EAFE4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63A0C152">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0.4</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0F59046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60</w:t>
            </w:r>
          </w:p>
        </w:tc>
      </w:tr>
      <w:tr w14:paraId="50822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5ACCCDC4">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2F42A8E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变压器室</w:t>
            </w:r>
          </w:p>
        </w:tc>
        <w:tc>
          <w:tcPr>
            <w:tcW w:w="929" w:type="pct"/>
            <w:vAlign w:val="center"/>
          </w:tcPr>
          <w:p w14:paraId="39E2023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2509089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100</w:t>
            </w:r>
          </w:p>
        </w:tc>
        <w:tc>
          <w:tcPr>
            <w:tcW w:w="412" w:type="pct"/>
            <w:vAlign w:val="center"/>
          </w:tcPr>
          <w:p w14:paraId="231C08A4">
            <w:pPr>
              <w:spacing w:line="240" w:lineRule="auto"/>
              <w:jc w:val="center"/>
              <w:rPr>
                <w:color w:val="000000" w:themeColor="text1"/>
                <w:sz w:val="21"/>
                <w:szCs w:val="21"/>
                <w:highlight w:val="none"/>
                <w14:textFill>
                  <w14:solidFill>
                    <w14:schemeClr w14:val="tx1"/>
                  </w14:solidFill>
                </w14:textFill>
              </w:rPr>
            </w:pPr>
            <w:bookmarkStart w:id="11" w:name="OLE_LINK5"/>
            <w:r>
              <w:rPr>
                <w:rFonts w:hint="eastAsia"/>
                <w:color w:val="000000" w:themeColor="text1"/>
                <w:sz w:val="21"/>
                <w:szCs w:val="21"/>
                <w:highlight w:val="none"/>
                <w14:textFill>
                  <w14:solidFill>
                    <w14:schemeClr w14:val="tx1"/>
                  </w14:solidFill>
                </w14:textFill>
              </w:rPr>
              <w:t>—</w:t>
            </w:r>
            <w:bookmarkEnd w:id="11"/>
          </w:p>
        </w:tc>
        <w:tc>
          <w:tcPr>
            <w:tcW w:w="422" w:type="pct"/>
            <w:vAlign w:val="center"/>
          </w:tcPr>
          <w:p w14:paraId="424420C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174B145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60</w:t>
            </w:r>
          </w:p>
        </w:tc>
      </w:tr>
      <w:tr w14:paraId="0B340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3DCAF978">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2801505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发电机房</w:t>
            </w:r>
          </w:p>
        </w:tc>
        <w:tc>
          <w:tcPr>
            <w:tcW w:w="929" w:type="pct"/>
            <w:vAlign w:val="center"/>
          </w:tcPr>
          <w:p w14:paraId="417F4C8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7D8D0E6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w:t>
            </w:r>
          </w:p>
        </w:tc>
        <w:tc>
          <w:tcPr>
            <w:tcW w:w="412" w:type="pct"/>
            <w:vAlign w:val="center"/>
          </w:tcPr>
          <w:p w14:paraId="344B73C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5025604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7CCC65B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72EA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restart"/>
            <w:vAlign w:val="center"/>
          </w:tcPr>
          <w:p w14:paraId="4AA64B8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现场</w:t>
            </w:r>
          </w:p>
          <w:p w14:paraId="3380024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机柜间</w:t>
            </w:r>
          </w:p>
        </w:tc>
        <w:tc>
          <w:tcPr>
            <w:tcW w:w="1196" w:type="pct"/>
            <w:vAlign w:val="center"/>
          </w:tcPr>
          <w:p w14:paraId="5E0FF6D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机柜间</w:t>
            </w:r>
          </w:p>
        </w:tc>
        <w:tc>
          <w:tcPr>
            <w:tcW w:w="929" w:type="pct"/>
            <w:vAlign w:val="center"/>
          </w:tcPr>
          <w:p w14:paraId="065DA5C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1006" w:type="pct"/>
            <w:vAlign w:val="center"/>
          </w:tcPr>
          <w:p w14:paraId="67EC2DE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300</w:t>
            </w:r>
          </w:p>
        </w:tc>
        <w:tc>
          <w:tcPr>
            <w:tcW w:w="412" w:type="pct"/>
            <w:vAlign w:val="center"/>
          </w:tcPr>
          <w:p w14:paraId="257EC8F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22</w:t>
            </w:r>
          </w:p>
        </w:tc>
        <w:tc>
          <w:tcPr>
            <w:tcW w:w="422" w:type="pct"/>
            <w:vAlign w:val="center"/>
          </w:tcPr>
          <w:p w14:paraId="7CF65F84">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288E126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67CA8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45EB9995">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58E6C0F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UPS间</w:t>
            </w:r>
          </w:p>
        </w:tc>
        <w:tc>
          <w:tcPr>
            <w:tcW w:w="929" w:type="pct"/>
            <w:vAlign w:val="center"/>
          </w:tcPr>
          <w:p w14:paraId="0666AB8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0881316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w:t>
            </w:r>
          </w:p>
        </w:tc>
        <w:tc>
          <w:tcPr>
            <w:tcW w:w="412" w:type="pct"/>
            <w:vAlign w:val="center"/>
          </w:tcPr>
          <w:p w14:paraId="570CADCD">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25</w:t>
            </w:r>
          </w:p>
        </w:tc>
        <w:tc>
          <w:tcPr>
            <w:tcW w:w="422" w:type="pct"/>
            <w:vAlign w:val="center"/>
          </w:tcPr>
          <w:p w14:paraId="25FD9C6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060A693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074DE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2376888E">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1913FE2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工程师站</w:t>
            </w:r>
          </w:p>
        </w:tc>
        <w:tc>
          <w:tcPr>
            <w:tcW w:w="929" w:type="pct"/>
            <w:vAlign w:val="center"/>
          </w:tcPr>
          <w:p w14:paraId="6C8758E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1006" w:type="pct"/>
            <w:vAlign w:val="center"/>
          </w:tcPr>
          <w:p w14:paraId="7ECF7F2B">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r>
              <w:rPr>
                <w:rFonts w:hint="eastAsia"/>
                <w:color w:val="000000" w:themeColor="text1"/>
                <w:sz w:val="21"/>
                <w:szCs w:val="21"/>
                <w:highlight w:val="none"/>
                <w14:textFill>
                  <w14:solidFill>
                    <w14:schemeClr w14:val="tx1"/>
                  </w14:solidFill>
                </w14:textFill>
              </w:rPr>
              <w:t>00</w:t>
            </w:r>
          </w:p>
        </w:tc>
        <w:tc>
          <w:tcPr>
            <w:tcW w:w="412" w:type="pct"/>
            <w:vAlign w:val="center"/>
          </w:tcPr>
          <w:p w14:paraId="7332B66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2</w:t>
            </w:r>
          </w:p>
        </w:tc>
        <w:tc>
          <w:tcPr>
            <w:tcW w:w="422" w:type="pct"/>
            <w:vAlign w:val="center"/>
          </w:tcPr>
          <w:p w14:paraId="2D08A51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129FC00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10643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restart"/>
            <w:vAlign w:val="center"/>
          </w:tcPr>
          <w:p w14:paraId="6A3F7AE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一般工艺生产区域</w:t>
            </w:r>
          </w:p>
        </w:tc>
        <w:tc>
          <w:tcPr>
            <w:tcW w:w="1196" w:type="pct"/>
            <w:vAlign w:val="center"/>
          </w:tcPr>
          <w:p w14:paraId="5591F12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泵组、阀门、操作柱</w:t>
            </w:r>
          </w:p>
        </w:tc>
        <w:tc>
          <w:tcPr>
            <w:tcW w:w="929" w:type="pct"/>
            <w:vAlign w:val="center"/>
          </w:tcPr>
          <w:p w14:paraId="295DB04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作业面</w:t>
            </w:r>
          </w:p>
        </w:tc>
        <w:tc>
          <w:tcPr>
            <w:tcW w:w="1006" w:type="pct"/>
            <w:vAlign w:val="center"/>
          </w:tcPr>
          <w:p w14:paraId="2742BD27">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100</w:t>
            </w:r>
          </w:p>
        </w:tc>
        <w:tc>
          <w:tcPr>
            <w:tcW w:w="412" w:type="pct"/>
            <w:vAlign w:val="center"/>
          </w:tcPr>
          <w:p w14:paraId="5F2522C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2F1D3EF0">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084F8C7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4556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5C7C67B9">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5CA896C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换热器</w:t>
            </w:r>
          </w:p>
        </w:tc>
        <w:tc>
          <w:tcPr>
            <w:tcW w:w="929" w:type="pct"/>
            <w:vAlign w:val="center"/>
          </w:tcPr>
          <w:p w14:paraId="020CD35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3200CF6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w:t>
            </w:r>
          </w:p>
        </w:tc>
        <w:tc>
          <w:tcPr>
            <w:tcW w:w="412" w:type="pct"/>
            <w:vAlign w:val="center"/>
          </w:tcPr>
          <w:p w14:paraId="43EA90C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54D30EE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381" w:type="pct"/>
            <w:vAlign w:val="center"/>
          </w:tcPr>
          <w:p w14:paraId="789A814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304E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460548EA">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140D5EC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一般平台</w:t>
            </w:r>
          </w:p>
        </w:tc>
        <w:tc>
          <w:tcPr>
            <w:tcW w:w="929" w:type="pct"/>
            <w:vAlign w:val="center"/>
          </w:tcPr>
          <w:p w14:paraId="322B839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地面、台面</w:t>
            </w:r>
          </w:p>
        </w:tc>
        <w:tc>
          <w:tcPr>
            <w:tcW w:w="1006" w:type="pct"/>
            <w:vAlign w:val="center"/>
          </w:tcPr>
          <w:p w14:paraId="43A78A6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p>
        </w:tc>
        <w:tc>
          <w:tcPr>
            <w:tcW w:w="412" w:type="pct"/>
            <w:vAlign w:val="center"/>
          </w:tcPr>
          <w:p w14:paraId="68CCFAC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20B8399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381" w:type="pct"/>
            <w:vAlign w:val="center"/>
          </w:tcPr>
          <w:p w14:paraId="2AD1992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C940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70352FAF">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0F21FAF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操作平台</w:t>
            </w:r>
          </w:p>
        </w:tc>
        <w:tc>
          <w:tcPr>
            <w:tcW w:w="929" w:type="pct"/>
            <w:vAlign w:val="center"/>
          </w:tcPr>
          <w:p w14:paraId="4D8122A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地面、台面</w:t>
            </w:r>
          </w:p>
        </w:tc>
        <w:tc>
          <w:tcPr>
            <w:tcW w:w="1006" w:type="pct"/>
            <w:vAlign w:val="center"/>
          </w:tcPr>
          <w:p w14:paraId="5F14B36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12" w:type="pct"/>
            <w:vAlign w:val="center"/>
          </w:tcPr>
          <w:p w14:paraId="2E5B22C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2A5A5C4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35ED3DF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72012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734B7E98">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6D86C70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冷却水塔</w:t>
            </w:r>
          </w:p>
        </w:tc>
        <w:tc>
          <w:tcPr>
            <w:tcW w:w="929" w:type="pct"/>
            <w:vAlign w:val="center"/>
          </w:tcPr>
          <w:p w14:paraId="275EC0E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40EB5CB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12" w:type="pct"/>
            <w:vAlign w:val="center"/>
          </w:tcPr>
          <w:p w14:paraId="7535583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3A8E75E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381" w:type="pct"/>
            <w:vAlign w:val="center"/>
          </w:tcPr>
          <w:p w14:paraId="427273F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7EBE5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26CD6736">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21361BB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工业炉</w:t>
            </w:r>
          </w:p>
        </w:tc>
        <w:tc>
          <w:tcPr>
            <w:tcW w:w="929" w:type="pct"/>
            <w:vAlign w:val="center"/>
          </w:tcPr>
          <w:p w14:paraId="50BA98E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1006" w:type="pct"/>
            <w:vAlign w:val="center"/>
          </w:tcPr>
          <w:p w14:paraId="3D8169B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w:t>
            </w:r>
          </w:p>
        </w:tc>
        <w:tc>
          <w:tcPr>
            <w:tcW w:w="412" w:type="pct"/>
            <w:vAlign w:val="center"/>
          </w:tcPr>
          <w:p w14:paraId="3A2BA99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6C6B5943">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088FED5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1EF4A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0FED81C5">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0B0DC9D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一般爬梯、楼梯</w:t>
            </w:r>
          </w:p>
        </w:tc>
        <w:tc>
          <w:tcPr>
            <w:tcW w:w="929" w:type="pct"/>
            <w:vAlign w:val="center"/>
          </w:tcPr>
          <w:p w14:paraId="050DE78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地面、台面</w:t>
            </w:r>
          </w:p>
        </w:tc>
        <w:tc>
          <w:tcPr>
            <w:tcW w:w="1006" w:type="pct"/>
            <w:vAlign w:val="center"/>
          </w:tcPr>
          <w:p w14:paraId="1273198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p>
        </w:tc>
        <w:tc>
          <w:tcPr>
            <w:tcW w:w="412" w:type="pct"/>
            <w:vAlign w:val="center"/>
          </w:tcPr>
          <w:p w14:paraId="52E4B3B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61973BF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7072C46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0196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3615B542">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514C0F0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常用爬梯、楼梯</w:t>
            </w:r>
          </w:p>
        </w:tc>
        <w:tc>
          <w:tcPr>
            <w:tcW w:w="929" w:type="pct"/>
            <w:vAlign w:val="center"/>
          </w:tcPr>
          <w:p w14:paraId="1130A8D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地面、台面</w:t>
            </w:r>
          </w:p>
        </w:tc>
        <w:tc>
          <w:tcPr>
            <w:tcW w:w="1006" w:type="pct"/>
            <w:vAlign w:val="center"/>
          </w:tcPr>
          <w:p w14:paraId="5430A5C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12" w:type="pct"/>
            <w:vAlign w:val="center"/>
          </w:tcPr>
          <w:p w14:paraId="3EC3166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5B076D3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7B487CA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0FA7C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1" w:type="pct"/>
            <w:vMerge w:val="continue"/>
            <w:vAlign w:val="center"/>
          </w:tcPr>
          <w:p w14:paraId="70BBA992">
            <w:pPr>
              <w:spacing w:line="240" w:lineRule="auto"/>
              <w:jc w:val="center"/>
              <w:rPr>
                <w:color w:val="000000" w:themeColor="text1"/>
                <w:sz w:val="21"/>
                <w:szCs w:val="21"/>
                <w:highlight w:val="none"/>
                <w14:textFill>
                  <w14:solidFill>
                    <w14:schemeClr w14:val="tx1"/>
                  </w14:solidFill>
                </w14:textFill>
              </w:rPr>
            </w:pPr>
          </w:p>
        </w:tc>
        <w:tc>
          <w:tcPr>
            <w:tcW w:w="1196" w:type="pct"/>
            <w:vAlign w:val="center"/>
          </w:tcPr>
          <w:p w14:paraId="5BDC1DC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指示表盘</w:t>
            </w:r>
          </w:p>
        </w:tc>
        <w:tc>
          <w:tcPr>
            <w:tcW w:w="929" w:type="pct"/>
            <w:vAlign w:val="center"/>
          </w:tcPr>
          <w:p w14:paraId="7116CD2C">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测控点高度</w:t>
            </w:r>
          </w:p>
        </w:tc>
        <w:tc>
          <w:tcPr>
            <w:tcW w:w="1006" w:type="pct"/>
            <w:vAlign w:val="center"/>
          </w:tcPr>
          <w:p w14:paraId="410B501E">
            <w:pPr>
              <w:spacing w:line="240" w:lineRule="auto"/>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Style w:val="26"/>
                <w:color w:val="000000" w:themeColor="text1"/>
                <w:sz w:val="21"/>
                <w:szCs w:val="21"/>
                <w:highlight w:val="none"/>
                <w14:textFill>
                  <w14:solidFill>
                    <w14:schemeClr w14:val="tx1"/>
                  </w14:solidFill>
                </w14:textFill>
              </w:rPr>
              <w:footnoteReference w:id="0"/>
            </w:r>
          </w:p>
        </w:tc>
        <w:tc>
          <w:tcPr>
            <w:tcW w:w="412" w:type="pct"/>
            <w:vAlign w:val="center"/>
          </w:tcPr>
          <w:p w14:paraId="0B36428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2" w:type="pct"/>
            <w:vAlign w:val="center"/>
          </w:tcPr>
          <w:p w14:paraId="3C4C955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w:t>
            </w:r>
            <w:r>
              <w:rPr>
                <w:rFonts w:hint="eastAsia"/>
                <w:color w:val="000000" w:themeColor="text1"/>
                <w:sz w:val="21"/>
                <w:szCs w:val="21"/>
                <w:highlight w:val="none"/>
                <w:lang w:val="en-US" w:eastAsia="zh-CN"/>
                <w14:textFill>
                  <w14:solidFill>
                    <w14:schemeClr w14:val="tx1"/>
                  </w14:solidFill>
                </w14:textFill>
              </w:rPr>
              <w:t>0</w:t>
            </w:r>
          </w:p>
        </w:tc>
        <w:tc>
          <w:tcPr>
            <w:tcW w:w="381" w:type="pct"/>
            <w:vAlign w:val="center"/>
          </w:tcPr>
          <w:p w14:paraId="62E4D5EA">
            <w:pPr>
              <w:spacing w:line="240" w:lineRule="auto"/>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60</w:t>
            </w:r>
          </w:p>
        </w:tc>
      </w:tr>
    </w:tbl>
    <w:p w14:paraId="4F2D4542">
      <w:pPr>
        <w:numPr>
          <w:ilvl w:val="-1"/>
          <w:numId w:val="0"/>
        </w:numPr>
        <w:spacing w:line="360" w:lineRule="auto"/>
        <w:ind w:leftChars="0" w:firstLine="0" w:firstLineChars="0"/>
        <w:jc w:val="center"/>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续</w:t>
      </w:r>
      <w:r>
        <w:rPr>
          <w:rFonts w:hint="eastAsia"/>
          <w:b/>
          <w:bCs/>
          <w:color w:val="000000" w:themeColor="text1"/>
          <w:sz w:val="24"/>
          <w:highlight w:val="none"/>
          <w14:textFill>
            <w14:solidFill>
              <w14:schemeClr w14:val="tx1"/>
            </w14:solidFill>
          </w14:textFill>
        </w:rPr>
        <w:t>表5.</w:t>
      </w:r>
      <w:r>
        <w:rPr>
          <w:rFonts w:hint="eastAsia"/>
          <w:b/>
          <w:bCs/>
          <w:color w:val="000000" w:themeColor="text1"/>
          <w:sz w:val="24"/>
          <w:highlight w:val="none"/>
          <w:lang w:val="en-US" w:eastAsia="zh-CN"/>
          <w14:textFill>
            <w14:solidFill>
              <w14:schemeClr w14:val="tx1"/>
            </w14:solidFill>
          </w14:textFill>
        </w:rPr>
        <w:t>0.6</w:t>
      </w:r>
      <w:r>
        <w:rPr>
          <w:rFonts w:hint="eastAsia"/>
          <w:b/>
          <w:bCs/>
          <w:color w:val="000000" w:themeColor="text1"/>
          <w:sz w:val="24"/>
          <w:highlight w:val="none"/>
          <w14:textFill>
            <w14:solidFill>
              <w14:schemeClr w14:val="tx1"/>
            </w14:solidFill>
          </w14:textFill>
        </w:rPr>
        <w:t xml:space="preserve">  化工典型场所照明标准值</w:t>
      </w:r>
    </w:p>
    <w:tbl>
      <w:tblPr>
        <w:tblStyle w:val="20"/>
        <w:tblW w:w="492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014"/>
        <w:gridCol w:w="1564"/>
        <w:gridCol w:w="1549"/>
        <w:gridCol w:w="709"/>
        <w:gridCol w:w="717"/>
        <w:gridCol w:w="744"/>
      </w:tblGrid>
      <w:tr w14:paraId="000F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trPr>
        <w:tc>
          <w:tcPr>
            <w:tcW w:w="1855" w:type="pct"/>
            <w:gridSpan w:val="2"/>
            <w:vAlign w:val="center"/>
          </w:tcPr>
          <w:p w14:paraId="1C96390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场所</w:t>
            </w:r>
          </w:p>
        </w:tc>
        <w:tc>
          <w:tcPr>
            <w:tcW w:w="931" w:type="pct"/>
            <w:vAlign w:val="center"/>
          </w:tcPr>
          <w:p w14:paraId="598DA14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工作面</w:t>
            </w:r>
          </w:p>
        </w:tc>
        <w:tc>
          <w:tcPr>
            <w:tcW w:w="922" w:type="pct"/>
            <w:vAlign w:val="center"/>
          </w:tcPr>
          <w:p w14:paraId="65E43AC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水平照度值（lx）</w:t>
            </w:r>
          </w:p>
        </w:tc>
        <w:tc>
          <w:tcPr>
            <w:tcW w:w="422" w:type="pct"/>
            <w:vAlign w:val="center"/>
          </w:tcPr>
          <w:p w14:paraId="10EED10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UGR</w:t>
            </w:r>
          </w:p>
        </w:tc>
        <w:tc>
          <w:tcPr>
            <w:tcW w:w="427" w:type="pct"/>
            <w:vAlign w:val="center"/>
          </w:tcPr>
          <w:p w14:paraId="2BC46A8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w:t>
            </w:r>
            <w:r>
              <w:rPr>
                <w:rFonts w:hint="eastAsia"/>
                <w:color w:val="000000" w:themeColor="text1"/>
                <w:sz w:val="21"/>
                <w:szCs w:val="21"/>
                <w:highlight w:val="none"/>
                <w:vertAlign w:val="subscript"/>
                <w14:textFill>
                  <w14:solidFill>
                    <w14:schemeClr w14:val="tx1"/>
                  </w14:solidFill>
                </w14:textFill>
              </w:rPr>
              <w:t>0</w:t>
            </w:r>
          </w:p>
        </w:tc>
        <w:tc>
          <w:tcPr>
            <w:tcW w:w="441" w:type="pct"/>
            <w:vAlign w:val="center"/>
          </w:tcPr>
          <w:p w14:paraId="07EFC8E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Ra</w:t>
            </w:r>
          </w:p>
        </w:tc>
      </w:tr>
      <w:tr w14:paraId="70C1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5000" w:type="pct"/>
            <w:gridSpan w:val="7"/>
            <w:vAlign w:val="center"/>
          </w:tcPr>
          <w:p w14:paraId="1E975C68">
            <w:pPr>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工艺生产装置区</w:t>
            </w:r>
          </w:p>
        </w:tc>
      </w:tr>
      <w:tr w14:paraId="1284D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656" w:type="pct"/>
            <w:vMerge w:val="restart"/>
            <w:vAlign w:val="center"/>
          </w:tcPr>
          <w:p w14:paraId="6E6533F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一般工艺生产区域</w:t>
            </w:r>
          </w:p>
        </w:tc>
        <w:tc>
          <w:tcPr>
            <w:tcW w:w="1199" w:type="pct"/>
            <w:vAlign w:val="center"/>
          </w:tcPr>
          <w:p w14:paraId="012AB99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仪器仪表</w:t>
            </w:r>
          </w:p>
        </w:tc>
        <w:tc>
          <w:tcPr>
            <w:tcW w:w="931" w:type="pct"/>
            <w:vAlign w:val="center"/>
          </w:tcPr>
          <w:p w14:paraId="2B75FAA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测控点高度</w:t>
            </w:r>
          </w:p>
        </w:tc>
        <w:tc>
          <w:tcPr>
            <w:tcW w:w="922" w:type="pct"/>
            <w:vAlign w:val="center"/>
          </w:tcPr>
          <w:p w14:paraId="021F2C68">
            <w:pPr>
              <w:widowControl/>
              <w:spacing w:line="240" w:lineRule="auto"/>
              <w:jc w:val="center"/>
              <w:rPr>
                <w:rFonts w:ascii="宋体" w:hAnsi="宋体" w:cs="宋体"/>
                <w:color w:val="000000" w:themeColor="text1"/>
                <w:kern w:val="0"/>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w:t>
            </w:r>
            <w:r>
              <w:rPr>
                <w:rStyle w:val="26"/>
                <w:color w:val="000000" w:themeColor="text1"/>
                <w:sz w:val="21"/>
                <w:szCs w:val="21"/>
                <w:highlight w:val="none"/>
                <w14:textFill>
                  <w14:solidFill>
                    <w14:schemeClr w14:val="tx1"/>
                  </w14:solidFill>
                </w14:textFill>
              </w:rPr>
              <w:footnoteReference w:id="1" w:customMarkFollows="1"/>
              <w:t>1</w:t>
            </w:r>
          </w:p>
        </w:tc>
        <w:tc>
          <w:tcPr>
            <w:tcW w:w="422" w:type="pct"/>
            <w:vAlign w:val="center"/>
          </w:tcPr>
          <w:p w14:paraId="51FBE0F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11D0463">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0375EFAC">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60</w:t>
            </w:r>
          </w:p>
        </w:tc>
      </w:tr>
      <w:tr w14:paraId="749AE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4A77D101">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7913A61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压缩机厂房</w:t>
            </w:r>
          </w:p>
        </w:tc>
        <w:tc>
          <w:tcPr>
            <w:tcW w:w="931" w:type="pct"/>
            <w:vAlign w:val="center"/>
          </w:tcPr>
          <w:p w14:paraId="4FCE8AB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水平面</w:t>
            </w:r>
          </w:p>
        </w:tc>
        <w:tc>
          <w:tcPr>
            <w:tcW w:w="922" w:type="pct"/>
            <w:vAlign w:val="center"/>
          </w:tcPr>
          <w:p w14:paraId="0DEBC4E4">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150</w:t>
            </w:r>
          </w:p>
        </w:tc>
        <w:tc>
          <w:tcPr>
            <w:tcW w:w="422" w:type="pct"/>
            <w:vAlign w:val="center"/>
          </w:tcPr>
          <w:p w14:paraId="4C4410B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024AA1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1CDB8B23">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60</w:t>
            </w:r>
          </w:p>
        </w:tc>
      </w:tr>
      <w:tr w14:paraId="3D97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0F56AFA9">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0610474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分离器</w:t>
            </w:r>
          </w:p>
        </w:tc>
        <w:tc>
          <w:tcPr>
            <w:tcW w:w="931" w:type="pct"/>
            <w:vAlign w:val="center"/>
          </w:tcPr>
          <w:p w14:paraId="2B9B552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坝顶</w:t>
            </w:r>
          </w:p>
        </w:tc>
        <w:tc>
          <w:tcPr>
            <w:tcW w:w="922" w:type="pct"/>
            <w:vAlign w:val="center"/>
          </w:tcPr>
          <w:p w14:paraId="60A0F5E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22" w:type="pct"/>
            <w:vAlign w:val="center"/>
          </w:tcPr>
          <w:p w14:paraId="7F4AB10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55ED749C">
            <w:pPr>
              <w:spacing w:line="240" w:lineRule="auto"/>
              <w:jc w:val="center"/>
              <w:rPr>
                <w:rFonts w:hint="default"/>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06477A6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1901B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274378A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特殊工艺生产区</w:t>
            </w:r>
          </w:p>
        </w:tc>
        <w:tc>
          <w:tcPr>
            <w:tcW w:w="1199" w:type="pct"/>
            <w:vAlign w:val="center"/>
          </w:tcPr>
          <w:p w14:paraId="3E07B9B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电解厂房</w:t>
            </w:r>
          </w:p>
        </w:tc>
        <w:tc>
          <w:tcPr>
            <w:tcW w:w="931" w:type="pct"/>
            <w:vAlign w:val="center"/>
          </w:tcPr>
          <w:p w14:paraId="1BDE54D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060D4692">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100</w:t>
            </w:r>
          </w:p>
        </w:tc>
        <w:tc>
          <w:tcPr>
            <w:tcW w:w="422" w:type="pct"/>
            <w:vAlign w:val="center"/>
          </w:tcPr>
          <w:p w14:paraId="660B3F1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1FE14BE9">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60</w:t>
            </w:r>
          </w:p>
        </w:tc>
        <w:tc>
          <w:tcPr>
            <w:tcW w:w="441" w:type="pct"/>
            <w:vAlign w:val="center"/>
          </w:tcPr>
          <w:p w14:paraId="21B32729">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60</w:t>
            </w:r>
          </w:p>
        </w:tc>
      </w:tr>
      <w:tr w14:paraId="569A4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4FE3C0D6">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2A6C488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电炉</w:t>
            </w:r>
          </w:p>
        </w:tc>
        <w:tc>
          <w:tcPr>
            <w:tcW w:w="931" w:type="pct"/>
            <w:vAlign w:val="center"/>
          </w:tcPr>
          <w:p w14:paraId="2B7562F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B3FC83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100</w:t>
            </w:r>
          </w:p>
        </w:tc>
        <w:tc>
          <w:tcPr>
            <w:tcW w:w="422" w:type="pct"/>
            <w:vAlign w:val="center"/>
          </w:tcPr>
          <w:p w14:paraId="378260E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06287DA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60</w:t>
            </w:r>
          </w:p>
        </w:tc>
        <w:tc>
          <w:tcPr>
            <w:tcW w:w="441" w:type="pct"/>
            <w:vAlign w:val="center"/>
          </w:tcPr>
          <w:p w14:paraId="62ECF2A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60</w:t>
            </w:r>
          </w:p>
        </w:tc>
      </w:tr>
      <w:tr w14:paraId="6285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033B3994">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29A05B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栈桥</w:t>
            </w:r>
          </w:p>
        </w:tc>
        <w:tc>
          <w:tcPr>
            <w:tcW w:w="931" w:type="pct"/>
            <w:vAlign w:val="center"/>
          </w:tcPr>
          <w:p w14:paraId="60271DD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19D0904E">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50</w:t>
            </w:r>
          </w:p>
        </w:tc>
        <w:tc>
          <w:tcPr>
            <w:tcW w:w="422" w:type="pct"/>
            <w:vAlign w:val="center"/>
          </w:tcPr>
          <w:p w14:paraId="032317B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325B2148">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0.60</w:t>
            </w:r>
          </w:p>
        </w:tc>
        <w:tc>
          <w:tcPr>
            <w:tcW w:w="441" w:type="pct"/>
            <w:vAlign w:val="center"/>
          </w:tcPr>
          <w:p w14:paraId="70D7BC42">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40</w:t>
            </w:r>
          </w:p>
        </w:tc>
      </w:tr>
      <w:tr w14:paraId="656AB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7C481E45">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0540791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栈桥转运站</w:t>
            </w:r>
          </w:p>
        </w:tc>
        <w:tc>
          <w:tcPr>
            <w:tcW w:w="931" w:type="pct"/>
            <w:vAlign w:val="center"/>
          </w:tcPr>
          <w:p w14:paraId="30FF5C7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表面</w:t>
            </w:r>
          </w:p>
        </w:tc>
        <w:tc>
          <w:tcPr>
            <w:tcW w:w="922" w:type="pct"/>
            <w:vAlign w:val="center"/>
          </w:tcPr>
          <w:p w14:paraId="175B00C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22" w:type="pct"/>
            <w:vAlign w:val="center"/>
          </w:tcPr>
          <w:p w14:paraId="274A65B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33D041C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441" w:type="pct"/>
            <w:vAlign w:val="center"/>
          </w:tcPr>
          <w:p w14:paraId="77973A1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5772C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B436456">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210AD94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挤出机</w:t>
            </w:r>
          </w:p>
        </w:tc>
        <w:tc>
          <w:tcPr>
            <w:tcW w:w="931" w:type="pct"/>
            <w:vAlign w:val="center"/>
          </w:tcPr>
          <w:p w14:paraId="7FA0CC2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1B7BAFD5">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150</w:t>
            </w:r>
          </w:p>
        </w:tc>
        <w:tc>
          <w:tcPr>
            <w:tcW w:w="422" w:type="pct"/>
            <w:vAlign w:val="center"/>
          </w:tcPr>
          <w:p w14:paraId="6A7A770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5480D55F">
            <w:pPr>
              <w:spacing w:line="240" w:lineRule="auto"/>
              <w:jc w:val="center"/>
              <w:rPr>
                <w:rFonts w:hint="default"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60</w:t>
            </w:r>
          </w:p>
        </w:tc>
        <w:tc>
          <w:tcPr>
            <w:tcW w:w="441" w:type="pct"/>
            <w:vAlign w:val="center"/>
          </w:tcPr>
          <w:p w14:paraId="2B76C2D4">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60</w:t>
            </w:r>
          </w:p>
        </w:tc>
      </w:tr>
      <w:tr w14:paraId="12CB9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trPr>
        <w:tc>
          <w:tcPr>
            <w:tcW w:w="5000" w:type="pct"/>
            <w:gridSpan w:val="7"/>
            <w:vAlign w:val="center"/>
          </w:tcPr>
          <w:p w14:paraId="61240AD7">
            <w:pPr>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公用工程及辅助设施</w:t>
            </w:r>
          </w:p>
        </w:tc>
      </w:tr>
      <w:tr w14:paraId="40A96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00A1199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水处理系统、泵房</w:t>
            </w:r>
          </w:p>
        </w:tc>
        <w:tc>
          <w:tcPr>
            <w:tcW w:w="1199" w:type="pct"/>
            <w:vAlign w:val="center"/>
          </w:tcPr>
          <w:p w14:paraId="0279A25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一般区域</w:t>
            </w:r>
          </w:p>
        </w:tc>
        <w:tc>
          <w:tcPr>
            <w:tcW w:w="931" w:type="pct"/>
            <w:vAlign w:val="center"/>
          </w:tcPr>
          <w:p w14:paraId="7CD6C00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75E315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22" w:type="pct"/>
            <w:vAlign w:val="center"/>
          </w:tcPr>
          <w:p w14:paraId="1965DBC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79BC948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441" w:type="pct"/>
            <w:vAlign w:val="center"/>
          </w:tcPr>
          <w:p w14:paraId="46D555D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06976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5C8DA0B0">
            <w:pPr>
              <w:spacing w:line="240" w:lineRule="auto"/>
              <w:jc w:val="center"/>
              <w:rPr>
                <w:rFonts w:hint="eastAsia"/>
                <w:color w:val="000000" w:themeColor="text1"/>
                <w:sz w:val="21"/>
                <w:szCs w:val="21"/>
                <w:highlight w:val="none"/>
                <w14:textFill>
                  <w14:solidFill>
                    <w14:schemeClr w14:val="tx1"/>
                  </w14:solidFill>
                </w14:textFill>
              </w:rPr>
            </w:pPr>
          </w:p>
        </w:tc>
        <w:tc>
          <w:tcPr>
            <w:tcW w:w="1199" w:type="pct"/>
            <w:vAlign w:val="center"/>
          </w:tcPr>
          <w:p w14:paraId="71FD37E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泵区</w:t>
            </w:r>
          </w:p>
        </w:tc>
        <w:tc>
          <w:tcPr>
            <w:tcW w:w="931" w:type="pct"/>
            <w:vAlign w:val="center"/>
          </w:tcPr>
          <w:p w14:paraId="2CB7C6C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5B3CDC2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22" w:type="pct"/>
            <w:vAlign w:val="center"/>
          </w:tcPr>
          <w:p w14:paraId="030D646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1CF35B1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017A235B">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2FA9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D01A18C">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F266C0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一般操作区域</w:t>
            </w:r>
          </w:p>
        </w:tc>
        <w:tc>
          <w:tcPr>
            <w:tcW w:w="931" w:type="pct"/>
            <w:vAlign w:val="center"/>
          </w:tcPr>
          <w:p w14:paraId="5D99BF2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AC1434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50</w:t>
            </w:r>
          </w:p>
        </w:tc>
        <w:tc>
          <w:tcPr>
            <w:tcW w:w="422" w:type="pct"/>
            <w:vAlign w:val="center"/>
          </w:tcPr>
          <w:p w14:paraId="0052513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1C7E0C9A">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3318E86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5F8A8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B60B6AC">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10340A1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控制盘</w:t>
            </w:r>
          </w:p>
        </w:tc>
        <w:tc>
          <w:tcPr>
            <w:tcW w:w="931" w:type="pct"/>
            <w:vAlign w:val="center"/>
          </w:tcPr>
          <w:p w14:paraId="212D244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作业面</w:t>
            </w:r>
          </w:p>
        </w:tc>
        <w:tc>
          <w:tcPr>
            <w:tcW w:w="922" w:type="pct"/>
            <w:vAlign w:val="center"/>
          </w:tcPr>
          <w:p w14:paraId="7739CB7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00</w:t>
            </w:r>
          </w:p>
        </w:tc>
        <w:tc>
          <w:tcPr>
            <w:tcW w:w="422" w:type="pct"/>
            <w:vAlign w:val="center"/>
          </w:tcPr>
          <w:p w14:paraId="5F418E8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789B7F19">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1A1176A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43B81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9780BB2">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25DCA60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水池区域</w:t>
            </w:r>
          </w:p>
        </w:tc>
        <w:tc>
          <w:tcPr>
            <w:tcW w:w="931" w:type="pct"/>
            <w:vAlign w:val="center"/>
          </w:tcPr>
          <w:p w14:paraId="30F085B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33BB819C">
            <w:pPr>
              <w:spacing w:line="240" w:lineRule="auto"/>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10</w:t>
            </w:r>
          </w:p>
        </w:tc>
        <w:tc>
          <w:tcPr>
            <w:tcW w:w="422" w:type="pct"/>
            <w:vAlign w:val="center"/>
          </w:tcPr>
          <w:p w14:paraId="633365B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F5604B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441" w:type="pct"/>
            <w:vAlign w:val="center"/>
          </w:tcPr>
          <w:p w14:paraId="217CC3C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23778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1235C0D2">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空分</w:t>
            </w:r>
          </w:p>
          <w:p w14:paraId="629DBFC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空压</w:t>
            </w:r>
          </w:p>
        </w:tc>
        <w:tc>
          <w:tcPr>
            <w:tcW w:w="1199" w:type="pct"/>
            <w:vAlign w:val="center"/>
          </w:tcPr>
          <w:p w14:paraId="1774636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厂房内</w:t>
            </w:r>
          </w:p>
        </w:tc>
        <w:tc>
          <w:tcPr>
            <w:tcW w:w="931" w:type="pct"/>
            <w:vAlign w:val="center"/>
          </w:tcPr>
          <w:p w14:paraId="559ECD7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16DADB00">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150</w:t>
            </w:r>
          </w:p>
        </w:tc>
        <w:tc>
          <w:tcPr>
            <w:tcW w:w="422" w:type="pct"/>
            <w:vAlign w:val="center"/>
          </w:tcPr>
          <w:p w14:paraId="7B1795D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6FB5A68F">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0.60</w:t>
            </w:r>
          </w:p>
        </w:tc>
        <w:tc>
          <w:tcPr>
            <w:tcW w:w="441" w:type="pct"/>
            <w:vAlign w:val="center"/>
          </w:tcPr>
          <w:p w14:paraId="39C5555B">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60</w:t>
            </w:r>
          </w:p>
        </w:tc>
      </w:tr>
      <w:tr w14:paraId="7548F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7C899B45">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1882E80D">
            <w:pPr>
              <w:spacing w:line="240" w:lineRule="auto"/>
              <w:jc w:val="center"/>
              <w:rPr>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户外</w:t>
            </w:r>
          </w:p>
        </w:tc>
        <w:tc>
          <w:tcPr>
            <w:tcW w:w="931" w:type="pct"/>
            <w:vAlign w:val="center"/>
          </w:tcPr>
          <w:p w14:paraId="1A8AF086">
            <w:pPr>
              <w:spacing w:line="240" w:lineRule="auto"/>
              <w:jc w:val="center"/>
              <w:rPr>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地面</w:t>
            </w:r>
          </w:p>
        </w:tc>
        <w:tc>
          <w:tcPr>
            <w:tcW w:w="922" w:type="pct"/>
            <w:vAlign w:val="center"/>
          </w:tcPr>
          <w:p w14:paraId="523F1566">
            <w:pPr>
              <w:spacing w:line="240" w:lineRule="auto"/>
              <w:jc w:val="center"/>
              <w:rPr>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5</w:t>
            </w:r>
            <w:r>
              <w:rPr>
                <w:strike w:val="0"/>
                <w:dstrike w:val="0"/>
                <w:color w:val="000000" w:themeColor="text1"/>
                <w:sz w:val="21"/>
                <w:szCs w:val="21"/>
                <w:highlight w:val="none"/>
                <w14:textFill>
                  <w14:solidFill>
                    <w14:schemeClr w14:val="tx1"/>
                  </w14:solidFill>
                </w14:textFill>
              </w:rPr>
              <w:t>0</w:t>
            </w:r>
          </w:p>
        </w:tc>
        <w:tc>
          <w:tcPr>
            <w:tcW w:w="422" w:type="pct"/>
            <w:vAlign w:val="center"/>
          </w:tcPr>
          <w:p w14:paraId="1081E17C">
            <w:pPr>
              <w:spacing w:line="240" w:lineRule="auto"/>
              <w:jc w:val="center"/>
              <w:rPr>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w:t>
            </w:r>
          </w:p>
        </w:tc>
        <w:tc>
          <w:tcPr>
            <w:tcW w:w="427" w:type="pct"/>
            <w:vAlign w:val="center"/>
          </w:tcPr>
          <w:p w14:paraId="6BDADBDC">
            <w:pPr>
              <w:spacing w:line="240" w:lineRule="auto"/>
              <w:jc w:val="center"/>
              <w:rPr>
                <w:rFonts w:hint="eastAsia"/>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0</w:t>
            </w:r>
            <w:r>
              <w:rPr>
                <w:strike w:val="0"/>
                <w:dstrike w:val="0"/>
                <w:color w:val="000000" w:themeColor="text1"/>
                <w:sz w:val="21"/>
                <w:szCs w:val="21"/>
                <w:highlight w:val="none"/>
                <w14:textFill>
                  <w14:solidFill>
                    <w14:schemeClr w14:val="tx1"/>
                  </w14:solidFill>
                </w14:textFill>
              </w:rPr>
              <w:t>.4</w:t>
            </w:r>
            <w:r>
              <w:rPr>
                <w:rFonts w:hint="eastAsia"/>
                <w:strike w:val="0"/>
                <w:dstrike w:val="0"/>
                <w:color w:val="000000" w:themeColor="text1"/>
                <w:sz w:val="21"/>
                <w:szCs w:val="21"/>
                <w:highlight w:val="none"/>
                <w:lang w:val="en-US" w:eastAsia="zh-CN"/>
                <w14:textFill>
                  <w14:solidFill>
                    <w14:schemeClr w14:val="tx1"/>
                  </w14:solidFill>
                </w14:textFill>
              </w:rPr>
              <w:t>0</w:t>
            </w:r>
          </w:p>
        </w:tc>
        <w:tc>
          <w:tcPr>
            <w:tcW w:w="441" w:type="pct"/>
            <w:vAlign w:val="center"/>
          </w:tcPr>
          <w:p w14:paraId="7DD32170">
            <w:pPr>
              <w:spacing w:line="240" w:lineRule="auto"/>
              <w:jc w:val="center"/>
              <w:rPr>
                <w:strike w:val="0"/>
                <w:dstrike w:val="0"/>
                <w:color w:val="000000" w:themeColor="text1"/>
                <w:sz w:val="21"/>
                <w:szCs w:val="21"/>
                <w:highlight w:val="none"/>
                <w14:textFill>
                  <w14:solidFill>
                    <w14:schemeClr w14:val="tx1"/>
                  </w14:solidFill>
                </w14:textFill>
              </w:rPr>
            </w:pPr>
            <w:r>
              <w:rPr>
                <w:rFonts w:hint="eastAsia"/>
                <w:strike w:val="0"/>
                <w:dstrike w:val="0"/>
                <w:color w:val="000000" w:themeColor="text1"/>
                <w:sz w:val="21"/>
                <w:szCs w:val="21"/>
                <w:highlight w:val="none"/>
                <w14:textFill>
                  <w14:solidFill>
                    <w14:schemeClr w14:val="tx1"/>
                  </w14:solidFill>
                </w14:textFill>
              </w:rPr>
              <w:t>2</w:t>
            </w:r>
            <w:r>
              <w:rPr>
                <w:strike w:val="0"/>
                <w:dstrike w:val="0"/>
                <w:color w:val="000000" w:themeColor="text1"/>
                <w:sz w:val="21"/>
                <w:szCs w:val="21"/>
                <w:highlight w:val="none"/>
                <w14:textFill>
                  <w14:solidFill>
                    <w14:schemeClr w14:val="tx1"/>
                  </w14:solidFill>
                </w14:textFill>
              </w:rPr>
              <w:t>0</w:t>
            </w:r>
          </w:p>
        </w:tc>
      </w:tr>
      <w:tr w14:paraId="4DD2B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2270D17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罐区</w:t>
            </w:r>
          </w:p>
        </w:tc>
        <w:tc>
          <w:tcPr>
            <w:tcW w:w="1199" w:type="pct"/>
            <w:vAlign w:val="center"/>
          </w:tcPr>
          <w:p w14:paraId="3DE853A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爬梯和楼梯</w:t>
            </w:r>
          </w:p>
        </w:tc>
        <w:tc>
          <w:tcPr>
            <w:tcW w:w="931" w:type="pct"/>
            <w:vAlign w:val="center"/>
          </w:tcPr>
          <w:p w14:paraId="7C0C576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地面、台面</w:t>
            </w:r>
          </w:p>
        </w:tc>
        <w:tc>
          <w:tcPr>
            <w:tcW w:w="922" w:type="pct"/>
            <w:vAlign w:val="center"/>
          </w:tcPr>
          <w:p w14:paraId="5E69749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p>
        </w:tc>
        <w:tc>
          <w:tcPr>
            <w:tcW w:w="422" w:type="pct"/>
            <w:vAlign w:val="center"/>
          </w:tcPr>
          <w:p w14:paraId="03CC964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51790705">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26516E2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26906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19F7C9E8">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019E2B6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监测区域</w:t>
            </w:r>
          </w:p>
        </w:tc>
        <w:tc>
          <w:tcPr>
            <w:tcW w:w="931" w:type="pct"/>
            <w:vAlign w:val="center"/>
          </w:tcPr>
          <w:p w14:paraId="1468610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测控点高度</w:t>
            </w:r>
          </w:p>
        </w:tc>
        <w:tc>
          <w:tcPr>
            <w:tcW w:w="922" w:type="pct"/>
            <w:vAlign w:val="center"/>
          </w:tcPr>
          <w:p w14:paraId="60AE337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p>
        </w:tc>
        <w:tc>
          <w:tcPr>
            <w:tcW w:w="422" w:type="pct"/>
            <w:vAlign w:val="center"/>
          </w:tcPr>
          <w:p w14:paraId="43AE16E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4942DD4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6ED047F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5186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2106A958">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1D94774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集合管</w:t>
            </w:r>
          </w:p>
        </w:tc>
        <w:tc>
          <w:tcPr>
            <w:tcW w:w="931" w:type="pct"/>
            <w:vAlign w:val="center"/>
          </w:tcPr>
          <w:p w14:paraId="1C8FE8A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216758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p>
        </w:tc>
        <w:tc>
          <w:tcPr>
            <w:tcW w:w="422" w:type="pct"/>
            <w:vAlign w:val="center"/>
          </w:tcPr>
          <w:p w14:paraId="307F1DF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7F31E0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09CA144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1C34E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7A1CA83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汽车</w:t>
            </w:r>
          </w:p>
          <w:p w14:paraId="7673E75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装卸站</w:t>
            </w:r>
          </w:p>
        </w:tc>
        <w:tc>
          <w:tcPr>
            <w:tcW w:w="1199" w:type="pct"/>
            <w:vAlign w:val="center"/>
          </w:tcPr>
          <w:p w14:paraId="656BD22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一般区域</w:t>
            </w:r>
          </w:p>
        </w:tc>
        <w:tc>
          <w:tcPr>
            <w:tcW w:w="931" w:type="pct"/>
            <w:vAlign w:val="center"/>
          </w:tcPr>
          <w:p w14:paraId="4D244CD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0968C5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w:t>
            </w:r>
          </w:p>
        </w:tc>
        <w:tc>
          <w:tcPr>
            <w:tcW w:w="422" w:type="pct"/>
            <w:vAlign w:val="center"/>
          </w:tcPr>
          <w:p w14:paraId="3725FFC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B0540A2">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7C1AC5E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48B3A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4E096B7C">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635CD43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罐车</w:t>
            </w:r>
          </w:p>
        </w:tc>
        <w:tc>
          <w:tcPr>
            <w:tcW w:w="931" w:type="pct"/>
            <w:vAlign w:val="center"/>
          </w:tcPr>
          <w:p w14:paraId="71AE6D3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作业面</w:t>
            </w:r>
          </w:p>
        </w:tc>
        <w:tc>
          <w:tcPr>
            <w:tcW w:w="922" w:type="pct"/>
            <w:vAlign w:val="center"/>
          </w:tcPr>
          <w:p w14:paraId="0ED08F7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00</w:t>
            </w:r>
          </w:p>
        </w:tc>
        <w:tc>
          <w:tcPr>
            <w:tcW w:w="422" w:type="pct"/>
            <w:vAlign w:val="center"/>
          </w:tcPr>
          <w:p w14:paraId="4B494D4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D2745C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3A737D1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2FFBF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25ACB211">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064553F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装卸点</w:t>
            </w:r>
          </w:p>
        </w:tc>
        <w:tc>
          <w:tcPr>
            <w:tcW w:w="931" w:type="pct"/>
            <w:vAlign w:val="center"/>
          </w:tcPr>
          <w:p w14:paraId="4F318CB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475F430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00</w:t>
            </w:r>
          </w:p>
        </w:tc>
        <w:tc>
          <w:tcPr>
            <w:tcW w:w="422" w:type="pct"/>
            <w:vAlign w:val="center"/>
          </w:tcPr>
          <w:p w14:paraId="236AC6F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6E39106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3E76C98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64BEA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34B327F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厂区道路和广场</w:t>
            </w:r>
          </w:p>
        </w:tc>
        <w:tc>
          <w:tcPr>
            <w:tcW w:w="1199" w:type="pct"/>
            <w:vAlign w:val="center"/>
          </w:tcPr>
          <w:p w14:paraId="6C00CB9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主要道路</w:t>
            </w:r>
          </w:p>
        </w:tc>
        <w:tc>
          <w:tcPr>
            <w:tcW w:w="931" w:type="pct"/>
            <w:vAlign w:val="center"/>
          </w:tcPr>
          <w:p w14:paraId="0F96948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69254AC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p>
        </w:tc>
        <w:tc>
          <w:tcPr>
            <w:tcW w:w="422" w:type="pct"/>
            <w:vAlign w:val="center"/>
          </w:tcPr>
          <w:p w14:paraId="7111894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6B0CE1F">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4EF67A0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3EA3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72CC6A7D">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38CBEF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次要道路</w:t>
            </w:r>
          </w:p>
        </w:tc>
        <w:tc>
          <w:tcPr>
            <w:tcW w:w="931" w:type="pct"/>
            <w:vAlign w:val="center"/>
          </w:tcPr>
          <w:p w14:paraId="25F5B2D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E070DD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p>
        </w:tc>
        <w:tc>
          <w:tcPr>
            <w:tcW w:w="422" w:type="pct"/>
            <w:vAlign w:val="center"/>
          </w:tcPr>
          <w:p w14:paraId="19091C9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3D85ACC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441" w:type="pct"/>
            <w:vAlign w:val="center"/>
          </w:tcPr>
          <w:p w14:paraId="3217EBF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4CFC8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5ED894E1">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69DD26C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厂前区</w:t>
            </w:r>
          </w:p>
        </w:tc>
        <w:tc>
          <w:tcPr>
            <w:tcW w:w="931" w:type="pct"/>
            <w:vAlign w:val="center"/>
          </w:tcPr>
          <w:p w14:paraId="36DB21C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8AF47B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5</w:t>
            </w:r>
          </w:p>
        </w:tc>
        <w:tc>
          <w:tcPr>
            <w:tcW w:w="422" w:type="pct"/>
            <w:vAlign w:val="center"/>
          </w:tcPr>
          <w:p w14:paraId="25476D5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7D6D9E5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68AD4FB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r>
      <w:tr w14:paraId="3345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69659594">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880A17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停车场</w:t>
            </w:r>
          </w:p>
        </w:tc>
        <w:tc>
          <w:tcPr>
            <w:tcW w:w="931" w:type="pct"/>
            <w:vAlign w:val="center"/>
          </w:tcPr>
          <w:p w14:paraId="0B7DCF73">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7EAC17B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w:t>
            </w:r>
          </w:p>
        </w:tc>
        <w:tc>
          <w:tcPr>
            <w:tcW w:w="422" w:type="pct"/>
            <w:vAlign w:val="center"/>
          </w:tcPr>
          <w:p w14:paraId="26485D0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4FA3051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41" w:type="pct"/>
            <w:vAlign w:val="center"/>
          </w:tcPr>
          <w:p w14:paraId="520C430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4159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0C439C0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包装仓库及堆场</w:t>
            </w:r>
          </w:p>
        </w:tc>
        <w:tc>
          <w:tcPr>
            <w:tcW w:w="1199" w:type="pct"/>
            <w:vAlign w:val="center"/>
          </w:tcPr>
          <w:p w14:paraId="77F29F0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包装厂房</w:t>
            </w:r>
          </w:p>
        </w:tc>
        <w:tc>
          <w:tcPr>
            <w:tcW w:w="931" w:type="pct"/>
            <w:vAlign w:val="center"/>
          </w:tcPr>
          <w:p w14:paraId="014563E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r>
              <w:rPr>
                <w:rFonts w:hint="eastAsia"/>
                <w:color w:val="000000" w:themeColor="text1"/>
                <w:sz w:val="21"/>
                <w:szCs w:val="21"/>
                <w:highlight w:val="none"/>
                <w14:textFill>
                  <w14:solidFill>
                    <w14:schemeClr w14:val="tx1"/>
                  </w14:solidFill>
                </w14:textFill>
              </w:rPr>
              <w:t>m水平面</w:t>
            </w:r>
          </w:p>
        </w:tc>
        <w:tc>
          <w:tcPr>
            <w:tcW w:w="922" w:type="pct"/>
            <w:vAlign w:val="center"/>
          </w:tcPr>
          <w:p w14:paraId="3DB48E9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00</w:t>
            </w:r>
          </w:p>
        </w:tc>
        <w:tc>
          <w:tcPr>
            <w:tcW w:w="422" w:type="pct"/>
            <w:vAlign w:val="center"/>
          </w:tcPr>
          <w:p w14:paraId="7B3584E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1DB024D2">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78847BE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0A112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2D4FA810">
            <w:pPr>
              <w:spacing w:line="240" w:lineRule="auto"/>
              <w:jc w:val="center"/>
              <w:rPr>
                <w:rFonts w:hint="eastAsia"/>
                <w:color w:val="000000" w:themeColor="text1"/>
                <w:sz w:val="21"/>
                <w:szCs w:val="21"/>
                <w:highlight w:val="none"/>
                <w14:textFill>
                  <w14:solidFill>
                    <w14:schemeClr w14:val="tx1"/>
                  </w14:solidFill>
                </w14:textFill>
              </w:rPr>
            </w:pPr>
          </w:p>
        </w:tc>
        <w:tc>
          <w:tcPr>
            <w:tcW w:w="1199" w:type="pct"/>
            <w:vAlign w:val="center"/>
          </w:tcPr>
          <w:p w14:paraId="0912B24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料仓</w:t>
            </w:r>
          </w:p>
        </w:tc>
        <w:tc>
          <w:tcPr>
            <w:tcW w:w="931" w:type="pct"/>
            <w:vAlign w:val="center"/>
          </w:tcPr>
          <w:p w14:paraId="6799082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作业面</w:t>
            </w:r>
          </w:p>
        </w:tc>
        <w:tc>
          <w:tcPr>
            <w:tcW w:w="922" w:type="pct"/>
            <w:vAlign w:val="center"/>
          </w:tcPr>
          <w:p w14:paraId="7B65687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50</w:t>
            </w:r>
          </w:p>
        </w:tc>
        <w:tc>
          <w:tcPr>
            <w:tcW w:w="422" w:type="pct"/>
            <w:vAlign w:val="center"/>
          </w:tcPr>
          <w:p w14:paraId="18C406C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2184D672">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6E9821B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358EA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49F5099B">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41330B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仓库</w:t>
            </w:r>
          </w:p>
        </w:tc>
        <w:tc>
          <w:tcPr>
            <w:tcW w:w="931" w:type="pct"/>
            <w:vAlign w:val="center"/>
          </w:tcPr>
          <w:p w14:paraId="3879BC4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w:t>
            </w:r>
            <w:r>
              <w:rPr>
                <w:rFonts w:hint="eastAsia"/>
                <w:color w:val="000000" w:themeColor="text1"/>
                <w:sz w:val="21"/>
                <w:szCs w:val="21"/>
                <w:highlight w:val="none"/>
                <w14:textFill>
                  <w14:solidFill>
                    <w14:schemeClr w14:val="tx1"/>
                  </w14:solidFill>
                </w14:textFill>
              </w:rPr>
              <w:t>m水平面</w:t>
            </w:r>
          </w:p>
        </w:tc>
        <w:tc>
          <w:tcPr>
            <w:tcW w:w="922" w:type="pct"/>
            <w:vAlign w:val="center"/>
          </w:tcPr>
          <w:p w14:paraId="736B3A5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00</w:t>
            </w:r>
          </w:p>
        </w:tc>
        <w:tc>
          <w:tcPr>
            <w:tcW w:w="422" w:type="pct"/>
            <w:vAlign w:val="center"/>
          </w:tcPr>
          <w:p w14:paraId="44D67C0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0208A9B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0589553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55624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D3F86AC">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3141934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露天堆场</w:t>
            </w:r>
          </w:p>
        </w:tc>
        <w:tc>
          <w:tcPr>
            <w:tcW w:w="931" w:type="pct"/>
            <w:vAlign w:val="center"/>
          </w:tcPr>
          <w:p w14:paraId="7BEF8A2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0CC3DF5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p>
        </w:tc>
        <w:tc>
          <w:tcPr>
            <w:tcW w:w="422" w:type="pct"/>
            <w:vAlign w:val="center"/>
          </w:tcPr>
          <w:p w14:paraId="283E46D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7" w:type="pct"/>
            <w:vAlign w:val="center"/>
          </w:tcPr>
          <w:p w14:paraId="09B48FC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.25</w:t>
            </w:r>
          </w:p>
        </w:tc>
        <w:tc>
          <w:tcPr>
            <w:tcW w:w="441" w:type="pct"/>
            <w:vAlign w:val="center"/>
          </w:tcPr>
          <w:p w14:paraId="7118CA71">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20</w:t>
            </w:r>
          </w:p>
        </w:tc>
      </w:tr>
      <w:tr w14:paraId="5AEF9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23FD252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检维修</w:t>
            </w:r>
          </w:p>
          <w:p w14:paraId="3F45A35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车间</w:t>
            </w:r>
          </w:p>
        </w:tc>
        <w:tc>
          <w:tcPr>
            <w:tcW w:w="1199" w:type="pct"/>
            <w:vAlign w:val="center"/>
          </w:tcPr>
          <w:p w14:paraId="4D55FEDB">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电修车间</w:t>
            </w:r>
          </w:p>
        </w:tc>
        <w:tc>
          <w:tcPr>
            <w:tcW w:w="931" w:type="pct"/>
            <w:vAlign w:val="center"/>
          </w:tcPr>
          <w:p w14:paraId="33C45F6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22" w:type="pct"/>
            <w:vAlign w:val="center"/>
          </w:tcPr>
          <w:p w14:paraId="012B29B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00</w:t>
            </w:r>
          </w:p>
        </w:tc>
        <w:tc>
          <w:tcPr>
            <w:tcW w:w="422" w:type="pct"/>
            <w:vAlign w:val="center"/>
          </w:tcPr>
          <w:p w14:paraId="11EC7E6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5</w:t>
            </w:r>
          </w:p>
        </w:tc>
        <w:tc>
          <w:tcPr>
            <w:tcW w:w="427" w:type="pct"/>
            <w:vAlign w:val="center"/>
          </w:tcPr>
          <w:p w14:paraId="70713BF7">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1172441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4813D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56BD2074">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7C63BB4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仪修车间</w:t>
            </w:r>
          </w:p>
        </w:tc>
        <w:tc>
          <w:tcPr>
            <w:tcW w:w="931" w:type="pct"/>
            <w:vAlign w:val="center"/>
          </w:tcPr>
          <w:p w14:paraId="53428FB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22" w:type="pct"/>
            <w:vAlign w:val="center"/>
          </w:tcPr>
          <w:p w14:paraId="38F9E88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00</w:t>
            </w:r>
          </w:p>
        </w:tc>
        <w:tc>
          <w:tcPr>
            <w:tcW w:w="422" w:type="pct"/>
            <w:vAlign w:val="center"/>
          </w:tcPr>
          <w:p w14:paraId="16F0BAE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5</w:t>
            </w:r>
          </w:p>
        </w:tc>
        <w:tc>
          <w:tcPr>
            <w:tcW w:w="427" w:type="pct"/>
            <w:vAlign w:val="center"/>
          </w:tcPr>
          <w:p w14:paraId="035BB852">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3A597B4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29CA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06F86205">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6A916D5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机修车间</w:t>
            </w:r>
          </w:p>
        </w:tc>
        <w:tc>
          <w:tcPr>
            <w:tcW w:w="931" w:type="pct"/>
            <w:vAlign w:val="center"/>
          </w:tcPr>
          <w:p w14:paraId="78785A7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22" w:type="pct"/>
            <w:vAlign w:val="center"/>
          </w:tcPr>
          <w:p w14:paraId="503BC81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00</w:t>
            </w:r>
          </w:p>
        </w:tc>
        <w:tc>
          <w:tcPr>
            <w:tcW w:w="422" w:type="pct"/>
            <w:vAlign w:val="center"/>
          </w:tcPr>
          <w:p w14:paraId="21B5B85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5</w:t>
            </w:r>
          </w:p>
        </w:tc>
        <w:tc>
          <w:tcPr>
            <w:tcW w:w="427" w:type="pct"/>
            <w:vAlign w:val="center"/>
          </w:tcPr>
          <w:p w14:paraId="6010D15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6BDFE27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w:t>
            </w:r>
            <w:r>
              <w:rPr>
                <w:color w:val="000000" w:themeColor="text1"/>
                <w:sz w:val="21"/>
                <w:szCs w:val="21"/>
                <w:highlight w:val="none"/>
                <w14:textFill>
                  <w14:solidFill>
                    <w14:schemeClr w14:val="tx1"/>
                  </w14:solidFill>
                </w14:textFill>
              </w:rPr>
              <w:t>0</w:t>
            </w:r>
          </w:p>
        </w:tc>
      </w:tr>
      <w:tr w14:paraId="4502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restart"/>
            <w:vAlign w:val="center"/>
          </w:tcPr>
          <w:p w14:paraId="50DED3E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中心</w:t>
            </w:r>
          </w:p>
          <w:p w14:paraId="19D0C94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控制室</w:t>
            </w:r>
          </w:p>
        </w:tc>
        <w:tc>
          <w:tcPr>
            <w:tcW w:w="1199" w:type="pct"/>
            <w:vAlign w:val="center"/>
          </w:tcPr>
          <w:p w14:paraId="5346F444">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机柜间</w:t>
            </w:r>
          </w:p>
        </w:tc>
        <w:tc>
          <w:tcPr>
            <w:tcW w:w="931" w:type="pct"/>
            <w:vAlign w:val="center"/>
          </w:tcPr>
          <w:p w14:paraId="2734B9B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22" w:type="pct"/>
            <w:vAlign w:val="center"/>
          </w:tcPr>
          <w:p w14:paraId="72496993">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5</w:t>
            </w:r>
            <w:r>
              <w:rPr>
                <w:rFonts w:hint="eastAsia"/>
                <w:color w:val="000000" w:themeColor="text1"/>
                <w:sz w:val="21"/>
                <w:szCs w:val="21"/>
                <w:highlight w:val="none"/>
                <w14:textFill>
                  <w14:solidFill>
                    <w14:schemeClr w14:val="tx1"/>
                  </w14:solidFill>
                </w14:textFill>
              </w:rPr>
              <w:t>00</w:t>
            </w:r>
          </w:p>
        </w:tc>
        <w:tc>
          <w:tcPr>
            <w:tcW w:w="422" w:type="pct"/>
            <w:vAlign w:val="center"/>
          </w:tcPr>
          <w:p w14:paraId="778EAFFB">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19</w:t>
            </w:r>
          </w:p>
        </w:tc>
        <w:tc>
          <w:tcPr>
            <w:tcW w:w="427" w:type="pct"/>
            <w:vAlign w:val="center"/>
          </w:tcPr>
          <w:p w14:paraId="05E1D6E0">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3E5B356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08A89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153214DC">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149BFBC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UPS间</w:t>
            </w:r>
          </w:p>
        </w:tc>
        <w:tc>
          <w:tcPr>
            <w:tcW w:w="931" w:type="pct"/>
            <w:vAlign w:val="center"/>
          </w:tcPr>
          <w:p w14:paraId="48649F1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22" w:type="pct"/>
            <w:vAlign w:val="center"/>
          </w:tcPr>
          <w:p w14:paraId="5381ECD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w:t>
            </w:r>
          </w:p>
        </w:tc>
        <w:tc>
          <w:tcPr>
            <w:tcW w:w="422" w:type="pct"/>
            <w:vAlign w:val="center"/>
          </w:tcPr>
          <w:p w14:paraId="4B544B22">
            <w:pPr>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25</w:t>
            </w:r>
          </w:p>
        </w:tc>
        <w:tc>
          <w:tcPr>
            <w:tcW w:w="427" w:type="pct"/>
            <w:vAlign w:val="center"/>
          </w:tcPr>
          <w:p w14:paraId="275065C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14B363F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4B91A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6" w:type="pct"/>
            <w:vMerge w:val="continue"/>
            <w:vAlign w:val="center"/>
          </w:tcPr>
          <w:p w14:paraId="3C3C209D">
            <w:pPr>
              <w:spacing w:line="240" w:lineRule="auto"/>
              <w:jc w:val="center"/>
              <w:rPr>
                <w:color w:val="000000" w:themeColor="text1"/>
                <w:sz w:val="21"/>
                <w:szCs w:val="21"/>
                <w:highlight w:val="none"/>
                <w14:textFill>
                  <w14:solidFill>
                    <w14:schemeClr w14:val="tx1"/>
                  </w14:solidFill>
                </w14:textFill>
              </w:rPr>
            </w:pPr>
          </w:p>
        </w:tc>
        <w:tc>
          <w:tcPr>
            <w:tcW w:w="1199" w:type="pct"/>
            <w:vAlign w:val="center"/>
          </w:tcPr>
          <w:p w14:paraId="4A3F61D6">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工程师站</w:t>
            </w:r>
          </w:p>
        </w:tc>
        <w:tc>
          <w:tcPr>
            <w:tcW w:w="931" w:type="pct"/>
            <w:vAlign w:val="center"/>
          </w:tcPr>
          <w:p w14:paraId="7484A99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22" w:type="pct"/>
            <w:vAlign w:val="center"/>
          </w:tcPr>
          <w:p w14:paraId="051D1869">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5</w:t>
            </w:r>
            <w:r>
              <w:rPr>
                <w:rFonts w:hint="eastAsia"/>
                <w:color w:val="000000" w:themeColor="text1"/>
                <w:sz w:val="21"/>
                <w:szCs w:val="21"/>
                <w:highlight w:val="none"/>
                <w14:textFill>
                  <w14:solidFill>
                    <w14:schemeClr w14:val="tx1"/>
                  </w14:solidFill>
                </w14:textFill>
              </w:rPr>
              <w:t>00</w:t>
            </w:r>
          </w:p>
        </w:tc>
        <w:tc>
          <w:tcPr>
            <w:tcW w:w="422" w:type="pct"/>
            <w:vAlign w:val="center"/>
          </w:tcPr>
          <w:p w14:paraId="7D8D2A40">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19</w:t>
            </w:r>
          </w:p>
        </w:tc>
        <w:tc>
          <w:tcPr>
            <w:tcW w:w="427" w:type="pct"/>
            <w:vAlign w:val="center"/>
          </w:tcPr>
          <w:p w14:paraId="772D255C">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41" w:type="pct"/>
            <w:vAlign w:val="center"/>
          </w:tcPr>
          <w:p w14:paraId="467FD6A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bl>
    <w:p w14:paraId="15E1F981">
      <w:pPr>
        <w:numPr>
          <w:ilvl w:val="-1"/>
          <w:numId w:val="0"/>
        </w:numPr>
        <w:spacing w:line="360" w:lineRule="auto"/>
        <w:ind w:leftChars="0" w:firstLine="0" w:firstLineChars="0"/>
        <w:jc w:val="center"/>
        <w:rPr>
          <w:rFonts w:hint="eastAsia"/>
          <w:b/>
          <w:bCs/>
          <w:color w:val="000000" w:themeColor="text1"/>
          <w:sz w:val="24"/>
          <w:szCs w:val="24"/>
          <w:highlight w:val="none"/>
          <w:lang w:val="en-US" w:eastAsia="zh-CN"/>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续</w:t>
      </w:r>
      <w:r>
        <w:rPr>
          <w:rFonts w:hint="eastAsia"/>
          <w:b/>
          <w:bCs/>
          <w:color w:val="000000" w:themeColor="text1"/>
          <w:sz w:val="24"/>
          <w:highlight w:val="none"/>
          <w14:textFill>
            <w14:solidFill>
              <w14:schemeClr w14:val="tx1"/>
            </w14:solidFill>
          </w14:textFill>
        </w:rPr>
        <w:t>表5.</w:t>
      </w:r>
      <w:r>
        <w:rPr>
          <w:rFonts w:hint="eastAsia"/>
          <w:b/>
          <w:bCs/>
          <w:color w:val="000000" w:themeColor="text1"/>
          <w:sz w:val="24"/>
          <w:highlight w:val="none"/>
          <w:lang w:val="en-US" w:eastAsia="zh-CN"/>
          <w14:textFill>
            <w14:solidFill>
              <w14:schemeClr w14:val="tx1"/>
            </w14:solidFill>
          </w14:textFill>
        </w:rPr>
        <w:t>0.6</w:t>
      </w:r>
      <w:r>
        <w:rPr>
          <w:rFonts w:hint="eastAsia"/>
          <w:b/>
          <w:bCs/>
          <w:color w:val="000000" w:themeColor="text1"/>
          <w:sz w:val="24"/>
          <w:highlight w:val="none"/>
          <w14:textFill>
            <w14:solidFill>
              <w14:schemeClr w14:val="tx1"/>
            </w14:solidFill>
          </w14:textFill>
        </w:rPr>
        <w:t xml:space="preserve">  化工典型场所照明标准值</w:t>
      </w:r>
    </w:p>
    <w:tbl>
      <w:tblPr>
        <w:tblStyle w:val="20"/>
        <w:tblW w:w="494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2015"/>
        <w:gridCol w:w="1568"/>
        <w:gridCol w:w="1551"/>
        <w:gridCol w:w="783"/>
        <w:gridCol w:w="714"/>
        <w:gridCol w:w="702"/>
      </w:tblGrid>
      <w:tr w14:paraId="2A66B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1849" w:type="pct"/>
            <w:gridSpan w:val="2"/>
            <w:vAlign w:val="center"/>
          </w:tcPr>
          <w:p w14:paraId="360BD32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场所</w:t>
            </w:r>
          </w:p>
        </w:tc>
        <w:tc>
          <w:tcPr>
            <w:tcW w:w="929" w:type="pct"/>
            <w:vAlign w:val="center"/>
          </w:tcPr>
          <w:p w14:paraId="0C5ED70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工作面</w:t>
            </w:r>
          </w:p>
        </w:tc>
        <w:tc>
          <w:tcPr>
            <w:tcW w:w="919" w:type="pct"/>
            <w:vAlign w:val="center"/>
          </w:tcPr>
          <w:p w14:paraId="0E453EBA">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水平照度值（lx）</w:t>
            </w:r>
          </w:p>
        </w:tc>
        <w:tc>
          <w:tcPr>
            <w:tcW w:w="464" w:type="pct"/>
            <w:vAlign w:val="center"/>
          </w:tcPr>
          <w:p w14:paraId="68EE97B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UGR</w:t>
            </w:r>
          </w:p>
        </w:tc>
        <w:tc>
          <w:tcPr>
            <w:tcW w:w="423" w:type="pct"/>
            <w:vAlign w:val="center"/>
          </w:tcPr>
          <w:p w14:paraId="5669024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U</w:t>
            </w:r>
            <w:r>
              <w:rPr>
                <w:rFonts w:hint="eastAsia"/>
                <w:color w:val="000000" w:themeColor="text1"/>
                <w:sz w:val="21"/>
                <w:szCs w:val="21"/>
                <w:highlight w:val="none"/>
                <w:vertAlign w:val="subscript"/>
                <w14:textFill>
                  <w14:solidFill>
                    <w14:schemeClr w14:val="tx1"/>
                  </w14:solidFill>
                </w14:textFill>
              </w:rPr>
              <w:t>0</w:t>
            </w:r>
          </w:p>
        </w:tc>
        <w:tc>
          <w:tcPr>
            <w:tcW w:w="414" w:type="pct"/>
            <w:vAlign w:val="center"/>
          </w:tcPr>
          <w:p w14:paraId="6BFA49D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Ra</w:t>
            </w:r>
          </w:p>
        </w:tc>
      </w:tr>
      <w:tr w14:paraId="279F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5000" w:type="pct"/>
            <w:gridSpan w:val="7"/>
            <w:vAlign w:val="center"/>
          </w:tcPr>
          <w:p w14:paraId="629B862B">
            <w:pPr>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工艺生产装置区</w:t>
            </w:r>
          </w:p>
        </w:tc>
      </w:tr>
      <w:tr w14:paraId="28D29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restart"/>
            <w:vAlign w:val="center"/>
          </w:tcPr>
          <w:p w14:paraId="2643AFE0">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中心</w:t>
            </w:r>
          </w:p>
          <w:p w14:paraId="749D637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化验室</w:t>
            </w:r>
          </w:p>
        </w:tc>
        <w:tc>
          <w:tcPr>
            <w:tcW w:w="1194" w:type="pct"/>
            <w:vAlign w:val="center"/>
          </w:tcPr>
          <w:p w14:paraId="136A280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一般分析间</w:t>
            </w:r>
          </w:p>
        </w:tc>
        <w:tc>
          <w:tcPr>
            <w:tcW w:w="929" w:type="pct"/>
            <w:vAlign w:val="center"/>
          </w:tcPr>
          <w:p w14:paraId="3A9E4C6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19" w:type="pct"/>
            <w:vAlign w:val="center"/>
          </w:tcPr>
          <w:p w14:paraId="7854695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00</w:t>
            </w:r>
          </w:p>
        </w:tc>
        <w:tc>
          <w:tcPr>
            <w:tcW w:w="464" w:type="pct"/>
            <w:vAlign w:val="center"/>
          </w:tcPr>
          <w:p w14:paraId="289C28F8">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22</w:t>
            </w:r>
          </w:p>
        </w:tc>
        <w:tc>
          <w:tcPr>
            <w:tcW w:w="423" w:type="pct"/>
            <w:vAlign w:val="center"/>
          </w:tcPr>
          <w:p w14:paraId="0DF8F75C">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4A24332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44709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3DC7F07F">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072D9C3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研究、试验间</w:t>
            </w:r>
          </w:p>
        </w:tc>
        <w:tc>
          <w:tcPr>
            <w:tcW w:w="929" w:type="pct"/>
            <w:vAlign w:val="center"/>
          </w:tcPr>
          <w:p w14:paraId="11C8228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19" w:type="pct"/>
            <w:vAlign w:val="center"/>
          </w:tcPr>
          <w:p w14:paraId="79F36D9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00</w:t>
            </w:r>
          </w:p>
        </w:tc>
        <w:tc>
          <w:tcPr>
            <w:tcW w:w="464" w:type="pct"/>
            <w:vAlign w:val="center"/>
          </w:tcPr>
          <w:p w14:paraId="33BC3BA0">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19</w:t>
            </w:r>
          </w:p>
        </w:tc>
        <w:tc>
          <w:tcPr>
            <w:tcW w:w="423" w:type="pct"/>
            <w:vAlign w:val="center"/>
          </w:tcPr>
          <w:p w14:paraId="379C1B1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0827A09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3DF20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restart"/>
            <w:vAlign w:val="center"/>
          </w:tcPr>
          <w:p w14:paraId="42D7B11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全厂总变</w:t>
            </w:r>
          </w:p>
        </w:tc>
        <w:tc>
          <w:tcPr>
            <w:tcW w:w="1194" w:type="pct"/>
            <w:vAlign w:val="center"/>
          </w:tcPr>
          <w:p w14:paraId="795B81A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户外配电装置</w:t>
            </w:r>
          </w:p>
        </w:tc>
        <w:tc>
          <w:tcPr>
            <w:tcW w:w="929" w:type="pct"/>
            <w:vAlign w:val="center"/>
          </w:tcPr>
          <w:p w14:paraId="25818DD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19" w:type="pct"/>
            <w:vAlign w:val="center"/>
          </w:tcPr>
          <w:p w14:paraId="7BB23A9F">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c>
          <w:tcPr>
            <w:tcW w:w="464" w:type="pct"/>
            <w:vAlign w:val="center"/>
          </w:tcPr>
          <w:p w14:paraId="0FAE89E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1E454B9B">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1C93264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6CE6D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7DDBADAD">
            <w:pPr>
              <w:spacing w:line="240" w:lineRule="auto"/>
              <w:jc w:val="center"/>
              <w:rPr>
                <w:rFonts w:hint="eastAsia"/>
                <w:color w:val="000000" w:themeColor="text1"/>
                <w:sz w:val="21"/>
                <w:szCs w:val="21"/>
                <w:highlight w:val="none"/>
                <w14:textFill>
                  <w14:solidFill>
                    <w14:schemeClr w14:val="tx1"/>
                  </w14:solidFill>
                </w14:textFill>
              </w:rPr>
            </w:pPr>
          </w:p>
        </w:tc>
        <w:tc>
          <w:tcPr>
            <w:tcW w:w="1194" w:type="pct"/>
            <w:vAlign w:val="center"/>
          </w:tcPr>
          <w:p w14:paraId="32F1D0F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户外一般场所</w:t>
            </w:r>
          </w:p>
        </w:tc>
        <w:tc>
          <w:tcPr>
            <w:tcW w:w="929" w:type="pct"/>
            <w:vAlign w:val="center"/>
          </w:tcPr>
          <w:p w14:paraId="2ED92A6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19" w:type="pct"/>
            <w:vAlign w:val="center"/>
          </w:tcPr>
          <w:p w14:paraId="54008D5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w:t>
            </w:r>
            <w:r>
              <w:rPr>
                <w:color w:val="000000" w:themeColor="text1"/>
                <w:sz w:val="21"/>
                <w:szCs w:val="21"/>
                <w:highlight w:val="none"/>
                <w14:textFill>
                  <w14:solidFill>
                    <w14:schemeClr w14:val="tx1"/>
                  </w14:solidFill>
                </w14:textFill>
              </w:rPr>
              <w:t>0</w:t>
            </w:r>
          </w:p>
        </w:tc>
        <w:tc>
          <w:tcPr>
            <w:tcW w:w="464" w:type="pct"/>
            <w:vAlign w:val="center"/>
          </w:tcPr>
          <w:p w14:paraId="761DBD2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0A3D913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68CFD93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262E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15782343">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15A9E4CE">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户内配电装置</w:t>
            </w:r>
          </w:p>
        </w:tc>
        <w:tc>
          <w:tcPr>
            <w:tcW w:w="929" w:type="pct"/>
            <w:vAlign w:val="center"/>
          </w:tcPr>
          <w:p w14:paraId="67364C4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19" w:type="pct"/>
            <w:vAlign w:val="center"/>
          </w:tcPr>
          <w:p w14:paraId="1A5E94F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200</w:t>
            </w:r>
          </w:p>
        </w:tc>
        <w:tc>
          <w:tcPr>
            <w:tcW w:w="464" w:type="pct"/>
            <w:vAlign w:val="center"/>
          </w:tcPr>
          <w:p w14:paraId="0A03590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1BB8F77A">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4615B9D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5692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3CD4E64C">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38E55DB7">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电气调度集控室</w:t>
            </w:r>
          </w:p>
        </w:tc>
        <w:tc>
          <w:tcPr>
            <w:tcW w:w="929" w:type="pct"/>
            <w:vAlign w:val="center"/>
          </w:tcPr>
          <w:p w14:paraId="3F96296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.75</w:t>
            </w:r>
            <w:r>
              <w:rPr>
                <w:rFonts w:hint="eastAsia"/>
                <w:color w:val="000000" w:themeColor="text1"/>
                <w:sz w:val="21"/>
                <w:szCs w:val="21"/>
                <w:highlight w:val="none"/>
                <w14:textFill>
                  <w14:solidFill>
                    <w14:schemeClr w14:val="tx1"/>
                  </w14:solidFill>
                </w14:textFill>
              </w:rPr>
              <w:t>m水平面</w:t>
            </w:r>
          </w:p>
        </w:tc>
        <w:tc>
          <w:tcPr>
            <w:tcW w:w="919" w:type="pct"/>
            <w:vAlign w:val="center"/>
          </w:tcPr>
          <w:p w14:paraId="12BC9CB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3</w:t>
            </w:r>
            <w:r>
              <w:rPr>
                <w:color w:val="000000" w:themeColor="text1"/>
                <w:sz w:val="21"/>
                <w:szCs w:val="21"/>
                <w:highlight w:val="none"/>
                <w14:textFill>
                  <w14:solidFill>
                    <w14:schemeClr w14:val="tx1"/>
                  </w14:solidFill>
                </w14:textFill>
              </w:rPr>
              <w:t>00</w:t>
            </w:r>
          </w:p>
        </w:tc>
        <w:tc>
          <w:tcPr>
            <w:tcW w:w="464" w:type="pct"/>
            <w:vAlign w:val="center"/>
          </w:tcPr>
          <w:p w14:paraId="4CCBACA4">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22</w:t>
            </w:r>
          </w:p>
        </w:tc>
        <w:tc>
          <w:tcPr>
            <w:tcW w:w="423" w:type="pct"/>
            <w:vAlign w:val="center"/>
          </w:tcPr>
          <w:p w14:paraId="346AA40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67DCD482">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80</w:t>
            </w:r>
          </w:p>
        </w:tc>
      </w:tr>
      <w:tr w14:paraId="1B166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50410507">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4F1286F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变压器室</w:t>
            </w:r>
          </w:p>
        </w:tc>
        <w:tc>
          <w:tcPr>
            <w:tcW w:w="929" w:type="pct"/>
            <w:vAlign w:val="center"/>
          </w:tcPr>
          <w:p w14:paraId="72541DE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地面</w:t>
            </w:r>
          </w:p>
        </w:tc>
        <w:tc>
          <w:tcPr>
            <w:tcW w:w="919" w:type="pct"/>
            <w:vAlign w:val="center"/>
          </w:tcPr>
          <w:p w14:paraId="6813379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100</w:t>
            </w:r>
          </w:p>
        </w:tc>
        <w:tc>
          <w:tcPr>
            <w:tcW w:w="464" w:type="pct"/>
            <w:vAlign w:val="center"/>
          </w:tcPr>
          <w:p w14:paraId="155F1FF9">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5B0D26F1">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72C1FB22">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60</w:t>
            </w:r>
          </w:p>
        </w:tc>
      </w:tr>
      <w:tr w14:paraId="61F2D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0C67E870">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569AB52C">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电缆间</w:t>
            </w:r>
          </w:p>
        </w:tc>
        <w:tc>
          <w:tcPr>
            <w:tcW w:w="929" w:type="pct"/>
            <w:vAlign w:val="center"/>
          </w:tcPr>
          <w:p w14:paraId="1E86945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2FED9FD5">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100</w:t>
            </w:r>
          </w:p>
        </w:tc>
        <w:tc>
          <w:tcPr>
            <w:tcW w:w="464" w:type="pct"/>
            <w:vAlign w:val="center"/>
          </w:tcPr>
          <w:p w14:paraId="6C2473C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66116D4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0.4</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7269D23B">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60</w:t>
            </w:r>
          </w:p>
        </w:tc>
      </w:tr>
      <w:tr w14:paraId="490FF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restart"/>
            <w:vAlign w:val="center"/>
          </w:tcPr>
          <w:p w14:paraId="0955C0C9">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办公楼</w:t>
            </w:r>
          </w:p>
        </w:tc>
        <w:tc>
          <w:tcPr>
            <w:tcW w:w="1194" w:type="pct"/>
            <w:vAlign w:val="center"/>
          </w:tcPr>
          <w:p w14:paraId="5F2B603B">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制图、设计室</w:t>
            </w:r>
          </w:p>
        </w:tc>
        <w:tc>
          <w:tcPr>
            <w:tcW w:w="929" w:type="pct"/>
            <w:vAlign w:val="center"/>
          </w:tcPr>
          <w:p w14:paraId="56B398B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1A80A2E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00</w:t>
            </w:r>
          </w:p>
        </w:tc>
        <w:tc>
          <w:tcPr>
            <w:tcW w:w="464" w:type="pct"/>
            <w:vAlign w:val="center"/>
          </w:tcPr>
          <w:p w14:paraId="472CED4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9</w:t>
            </w:r>
          </w:p>
        </w:tc>
        <w:tc>
          <w:tcPr>
            <w:tcW w:w="423" w:type="pct"/>
            <w:vAlign w:val="center"/>
          </w:tcPr>
          <w:p w14:paraId="73336E7E">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2917848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r w14:paraId="59100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57FBB94B">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1AF35F3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视频会议室</w:t>
            </w:r>
          </w:p>
        </w:tc>
        <w:tc>
          <w:tcPr>
            <w:tcW w:w="929" w:type="pct"/>
            <w:vAlign w:val="center"/>
          </w:tcPr>
          <w:p w14:paraId="01ED87A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24FDD700">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750</w:t>
            </w:r>
          </w:p>
        </w:tc>
        <w:tc>
          <w:tcPr>
            <w:tcW w:w="464" w:type="pct"/>
            <w:vAlign w:val="center"/>
          </w:tcPr>
          <w:p w14:paraId="720DC9A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9</w:t>
            </w:r>
          </w:p>
        </w:tc>
        <w:tc>
          <w:tcPr>
            <w:tcW w:w="423" w:type="pct"/>
            <w:vAlign w:val="center"/>
          </w:tcPr>
          <w:p w14:paraId="2D749A9F">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29E3F55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r w14:paraId="3ABAC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4218B2C6">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10BEE59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普通办公室、</w:t>
            </w:r>
          </w:p>
          <w:p w14:paraId="3FD10E17">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会议室</w:t>
            </w:r>
          </w:p>
        </w:tc>
        <w:tc>
          <w:tcPr>
            <w:tcW w:w="929" w:type="pct"/>
            <w:vAlign w:val="center"/>
          </w:tcPr>
          <w:p w14:paraId="562F242E">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50AC7D66">
            <w:pPr>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300</w:t>
            </w:r>
          </w:p>
        </w:tc>
        <w:tc>
          <w:tcPr>
            <w:tcW w:w="464" w:type="pct"/>
            <w:vAlign w:val="center"/>
          </w:tcPr>
          <w:p w14:paraId="6C92BB4C">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9</w:t>
            </w:r>
          </w:p>
        </w:tc>
        <w:tc>
          <w:tcPr>
            <w:tcW w:w="423" w:type="pct"/>
            <w:vAlign w:val="center"/>
          </w:tcPr>
          <w:p w14:paraId="3984A604">
            <w:pPr>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036A000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r w14:paraId="23104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33AB4234">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141F5368">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高级办公室</w:t>
            </w:r>
          </w:p>
        </w:tc>
        <w:tc>
          <w:tcPr>
            <w:tcW w:w="929" w:type="pct"/>
            <w:vAlign w:val="center"/>
          </w:tcPr>
          <w:p w14:paraId="39FFC480">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42C5E261">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5</w:t>
            </w:r>
            <w:r>
              <w:rPr>
                <w:color w:val="000000" w:themeColor="text1"/>
                <w:sz w:val="21"/>
                <w:szCs w:val="21"/>
                <w:highlight w:val="none"/>
                <w14:textFill>
                  <w14:solidFill>
                    <w14:schemeClr w14:val="tx1"/>
                  </w14:solidFill>
                </w14:textFill>
              </w:rPr>
              <w:t>00</w:t>
            </w:r>
          </w:p>
        </w:tc>
        <w:tc>
          <w:tcPr>
            <w:tcW w:w="464" w:type="pct"/>
            <w:vAlign w:val="center"/>
          </w:tcPr>
          <w:p w14:paraId="0B3B86F3">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9</w:t>
            </w:r>
          </w:p>
        </w:tc>
        <w:tc>
          <w:tcPr>
            <w:tcW w:w="423" w:type="pct"/>
            <w:vAlign w:val="center"/>
          </w:tcPr>
          <w:p w14:paraId="087F460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.6</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712C45DD">
            <w:pPr>
              <w:spacing w:line="240" w:lineRule="auto"/>
              <w:jc w:val="center"/>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r w14:paraId="61D0D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135BD5C7">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1054A24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接待室、前台</w:t>
            </w:r>
          </w:p>
        </w:tc>
        <w:tc>
          <w:tcPr>
            <w:tcW w:w="929" w:type="pct"/>
            <w:vAlign w:val="center"/>
          </w:tcPr>
          <w:p w14:paraId="46243A73">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654AFAEC">
            <w:pPr>
              <w:spacing w:line="240" w:lineRule="auto"/>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200</w:t>
            </w:r>
          </w:p>
        </w:tc>
        <w:tc>
          <w:tcPr>
            <w:tcW w:w="464" w:type="pct"/>
            <w:vAlign w:val="center"/>
          </w:tcPr>
          <w:p w14:paraId="3FF9ED0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1BAA5CB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2DDF9E78">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r w14:paraId="4570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55" w:type="pct"/>
            <w:vMerge w:val="continue"/>
            <w:vAlign w:val="center"/>
          </w:tcPr>
          <w:p w14:paraId="70356023">
            <w:pPr>
              <w:spacing w:line="240" w:lineRule="auto"/>
              <w:jc w:val="center"/>
              <w:rPr>
                <w:color w:val="000000" w:themeColor="text1"/>
                <w:sz w:val="21"/>
                <w:szCs w:val="21"/>
                <w:highlight w:val="none"/>
                <w14:textFill>
                  <w14:solidFill>
                    <w14:schemeClr w14:val="tx1"/>
                  </w14:solidFill>
                </w14:textFill>
              </w:rPr>
            </w:pPr>
          </w:p>
        </w:tc>
        <w:tc>
          <w:tcPr>
            <w:tcW w:w="1194" w:type="pct"/>
            <w:vAlign w:val="center"/>
          </w:tcPr>
          <w:p w14:paraId="22A3A153">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资料、档案室</w:t>
            </w:r>
          </w:p>
        </w:tc>
        <w:tc>
          <w:tcPr>
            <w:tcW w:w="929" w:type="pct"/>
            <w:vAlign w:val="center"/>
          </w:tcPr>
          <w:p w14:paraId="44C47504">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0.75m水平面</w:t>
            </w:r>
          </w:p>
        </w:tc>
        <w:tc>
          <w:tcPr>
            <w:tcW w:w="919" w:type="pct"/>
            <w:vAlign w:val="center"/>
          </w:tcPr>
          <w:p w14:paraId="3857405B">
            <w:pPr>
              <w:spacing w:line="240" w:lineRule="auto"/>
              <w:jc w:val="center"/>
              <w:rPr>
                <w:rFonts w:hint="eastAsia"/>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200</w:t>
            </w:r>
          </w:p>
        </w:tc>
        <w:tc>
          <w:tcPr>
            <w:tcW w:w="464" w:type="pct"/>
            <w:vAlign w:val="center"/>
          </w:tcPr>
          <w:p w14:paraId="019A7385">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w:t>
            </w:r>
          </w:p>
        </w:tc>
        <w:tc>
          <w:tcPr>
            <w:tcW w:w="423" w:type="pct"/>
            <w:vAlign w:val="center"/>
          </w:tcPr>
          <w:p w14:paraId="5D59868D">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0</w:t>
            </w:r>
            <w:r>
              <w:rPr>
                <w:color w:val="000000" w:themeColor="text1"/>
                <w:sz w:val="21"/>
                <w:szCs w:val="21"/>
                <w:highlight w:val="none"/>
                <w14:textFill>
                  <w14:solidFill>
                    <w14:schemeClr w14:val="tx1"/>
                  </w14:solidFill>
                </w14:textFill>
              </w:rPr>
              <w:t>.4</w:t>
            </w:r>
            <w:r>
              <w:rPr>
                <w:rFonts w:hint="eastAsia"/>
                <w:color w:val="000000" w:themeColor="text1"/>
                <w:sz w:val="21"/>
                <w:szCs w:val="21"/>
                <w:highlight w:val="none"/>
                <w:lang w:val="en-US" w:eastAsia="zh-CN"/>
                <w14:textFill>
                  <w14:solidFill>
                    <w14:schemeClr w14:val="tx1"/>
                  </w14:solidFill>
                </w14:textFill>
              </w:rPr>
              <w:t>0</w:t>
            </w:r>
          </w:p>
        </w:tc>
        <w:tc>
          <w:tcPr>
            <w:tcW w:w="414" w:type="pct"/>
            <w:vAlign w:val="center"/>
          </w:tcPr>
          <w:p w14:paraId="6FBD78E6">
            <w:pPr>
              <w:spacing w:line="240" w:lineRule="auto"/>
              <w:jc w:val="center"/>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8</w:t>
            </w:r>
            <w:r>
              <w:rPr>
                <w:color w:val="000000" w:themeColor="text1"/>
                <w:sz w:val="21"/>
                <w:szCs w:val="21"/>
                <w:highlight w:val="none"/>
                <w14:textFill>
                  <w14:solidFill>
                    <w14:schemeClr w14:val="tx1"/>
                  </w14:solidFill>
                </w14:textFill>
              </w:rPr>
              <w:t>0</w:t>
            </w:r>
          </w:p>
        </w:tc>
      </w:tr>
    </w:tbl>
    <w:p w14:paraId="4417942C">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568B4DF4">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12" w:name="_Toc5396"/>
      <w:r>
        <w:rPr>
          <w:rFonts w:hint="eastAsia"/>
          <w:color w:val="000000" w:themeColor="text1"/>
          <w:highlight w:val="none"/>
          <w:lang w:val="en-US" w:eastAsia="zh-CN"/>
          <w14:textFill>
            <w14:solidFill>
              <w14:schemeClr w14:val="tx1"/>
            </w14:solidFill>
          </w14:textFill>
        </w:rPr>
        <w:t>6   灯具布置</w:t>
      </w:r>
      <w:bookmarkEnd w:id="12"/>
    </w:p>
    <w:p w14:paraId="3DD927BC">
      <w:pPr>
        <w:pStyle w:val="2"/>
        <w:bidi w:val="0"/>
        <w:ind w:firstLine="0" w:firstLineChars="0"/>
        <w:jc w:val="center"/>
        <w:rPr>
          <w:rFonts w:hint="eastAsia"/>
          <w:color w:val="000000" w:themeColor="text1"/>
          <w:sz w:val="28"/>
          <w:szCs w:val="28"/>
          <w:highlight w:val="none"/>
          <w:lang w:val="en-US" w:eastAsia="zh-CN"/>
          <w14:textFill>
            <w14:solidFill>
              <w14:schemeClr w14:val="tx1"/>
            </w14:solidFill>
          </w14:textFill>
        </w:rPr>
      </w:pPr>
      <w:bookmarkStart w:id="13" w:name="_Toc21582"/>
      <w:r>
        <w:rPr>
          <w:rFonts w:hint="eastAsia"/>
          <w:color w:val="000000" w:themeColor="text1"/>
          <w:sz w:val="28"/>
          <w:szCs w:val="28"/>
          <w:highlight w:val="none"/>
          <w:lang w:val="en-US" w:eastAsia="zh-CN"/>
          <w14:textFill>
            <w14:solidFill>
              <w14:schemeClr w14:val="tx1"/>
            </w14:solidFill>
          </w14:textFill>
        </w:rPr>
        <w:t>6.1   灯具布置</w:t>
      </w:r>
      <w:bookmarkEnd w:id="13"/>
    </w:p>
    <w:p w14:paraId="37BEB42A">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 xml:space="preserve">.1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室外宜利用</w:t>
      </w:r>
      <w:r>
        <w:rPr>
          <w:rFonts w:hint="eastAsia"/>
          <w:color w:val="000000" w:themeColor="text1"/>
          <w:sz w:val="24"/>
          <w:szCs w:val="24"/>
          <w:highlight w:val="none"/>
          <w:lang w:val="en-US" w:eastAsia="zh-CN"/>
          <w14:textFill>
            <w14:solidFill>
              <w14:schemeClr w14:val="tx1"/>
            </w14:solidFill>
          </w14:textFill>
        </w:rPr>
        <w:t>护栏</w:t>
      </w:r>
      <w:r>
        <w:rPr>
          <w:rFonts w:hint="default"/>
          <w:color w:val="000000" w:themeColor="text1"/>
          <w:sz w:val="24"/>
          <w:szCs w:val="24"/>
          <w:highlight w:val="none"/>
          <w:lang w:val="en-US" w:eastAsia="zh-CN"/>
          <w14:textFill>
            <w14:solidFill>
              <w14:schemeClr w14:val="tx1"/>
            </w14:solidFill>
          </w14:textFill>
        </w:rPr>
        <w:t>、平台、</w:t>
      </w:r>
      <w:r>
        <w:rPr>
          <w:rFonts w:hint="eastAsia"/>
          <w:color w:val="000000" w:themeColor="text1"/>
          <w:sz w:val="24"/>
          <w:szCs w:val="24"/>
          <w:highlight w:val="none"/>
          <w:lang w:val="en-US" w:eastAsia="zh-CN"/>
          <w14:textFill>
            <w14:solidFill>
              <w14:schemeClr w14:val="tx1"/>
            </w14:solidFill>
          </w14:textFill>
        </w:rPr>
        <w:t>柱</w:t>
      </w:r>
      <w:r>
        <w:rPr>
          <w:rFonts w:hint="default"/>
          <w:color w:val="000000" w:themeColor="text1"/>
          <w:sz w:val="24"/>
          <w:szCs w:val="24"/>
          <w:highlight w:val="none"/>
          <w:lang w:val="en-US" w:eastAsia="zh-CN"/>
          <w14:textFill>
            <w14:solidFill>
              <w14:schemeClr w14:val="tx1"/>
            </w14:solidFill>
          </w14:textFill>
        </w:rPr>
        <w:t>、爬梯、管架、钢结构等设施安装灯具。</w:t>
      </w:r>
    </w:p>
    <w:p w14:paraId="6756968D">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 xml:space="preserve">.2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厂房内灯具宜在屋面下或柱上安装</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屋面下安装的灯具应高于吊车梁，其光线不应受屋面架或梁</w:t>
      </w:r>
      <w:r>
        <w:rPr>
          <w:rFonts w:hint="eastAsia"/>
          <w:color w:val="000000" w:themeColor="text1"/>
          <w:sz w:val="24"/>
          <w:szCs w:val="24"/>
          <w:highlight w:val="none"/>
          <w:lang w:val="en-US" w:eastAsia="zh-CN"/>
          <w14:textFill>
            <w14:solidFill>
              <w14:schemeClr w14:val="tx1"/>
            </w14:solidFill>
          </w14:textFill>
        </w:rPr>
        <w:t>的</w:t>
      </w:r>
      <w:r>
        <w:rPr>
          <w:rFonts w:hint="default"/>
          <w:color w:val="000000" w:themeColor="text1"/>
          <w:sz w:val="24"/>
          <w:szCs w:val="24"/>
          <w:highlight w:val="none"/>
          <w:lang w:val="en-US" w:eastAsia="zh-CN"/>
          <w14:textFill>
            <w14:solidFill>
              <w14:schemeClr w14:val="tx1"/>
            </w14:solidFill>
          </w14:textFill>
        </w:rPr>
        <w:t>遮挡。</w:t>
      </w:r>
    </w:p>
    <w:p w14:paraId="28E82BE5">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 xml:space="preserve">.3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厂房内多行均匀布置灯具时</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最靠近墙一行的灯具与墙的距离应为灯具行间距的40%~50%。靠近墙有工作面时</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可减少</w:t>
      </w:r>
      <w:r>
        <w:rPr>
          <w:rFonts w:hint="eastAsia"/>
          <w:color w:val="000000" w:themeColor="text1"/>
          <w:sz w:val="24"/>
          <w:szCs w:val="24"/>
          <w:highlight w:val="none"/>
          <w:lang w:val="en-US" w:eastAsia="zh-CN"/>
          <w14:textFill>
            <w14:solidFill>
              <w14:schemeClr w14:val="tx1"/>
            </w14:solidFill>
          </w14:textFill>
        </w:rPr>
        <w:t>至</w:t>
      </w:r>
      <w:r>
        <w:rPr>
          <w:rFonts w:hint="default"/>
          <w:color w:val="000000" w:themeColor="text1"/>
          <w:sz w:val="24"/>
          <w:szCs w:val="24"/>
          <w:highlight w:val="none"/>
          <w:lang w:val="en-US" w:eastAsia="zh-CN"/>
          <w14:textFill>
            <w14:solidFill>
              <w14:schemeClr w14:val="tx1"/>
            </w14:solidFill>
          </w14:textFill>
        </w:rPr>
        <w:t>行间距的25%~30%。</w:t>
      </w:r>
    </w:p>
    <w:p w14:paraId="78D2756A">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 xml:space="preserve">.4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有洁净要求的生产厂房内一般照明灯具应为吸顶明装。当灯具嵌入顶棚暗装时，安装缝应有可靠的密封措施。</w:t>
      </w:r>
    </w:p>
    <w:p w14:paraId="3CBCF184">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 xml:space="preserve">.5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当道路宽度小于或等于9m时，路灯宜采用单侧布置，档距为25m~40m，高度为距地面6m~8m；</w:t>
      </w:r>
      <w:r>
        <w:rPr>
          <w:rFonts w:hint="eastAsia"/>
          <w:color w:val="000000" w:themeColor="text1"/>
          <w:sz w:val="24"/>
          <w:szCs w:val="24"/>
          <w:highlight w:val="none"/>
          <w:lang w:val="en-US" w:eastAsia="zh-CN"/>
          <w14:textFill>
            <w14:solidFill>
              <w14:schemeClr w14:val="tx1"/>
            </w14:solidFill>
          </w14:textFill>
        </w:rPr>
        <w:t>当</w:t>
      </w:r>
      <w:r>
        <w:rPr>
          <w:rFonts w:hint="default"/>
          <w:color w:val="000000" w:themeColor="text1"/>
          <w:sz w:val="24"/>
          <w:szCs w:val="24"/>
          <w:highlight w:val="none"/>
          <w:lang w:val="en-US" w:eastAsia="zh-CN"/>
          <w14:textFill>
            <w14:solidFill>
              <w14:schemeClr w14:val="tx1"/>
            </w14:solidFill>
          </w14:textFill>
        </w:rPr>
        <w:t>道路宽度大于9m时，路灯宜采用双侧布置</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道路</w:t>
      </w:r>
      <w:r>
        <w:rPr>
          <w:rFonts w:hint="eastAsia"/>
          <w:color w:val="000000" w:themeColor="text1"/>
          <w:sz w:val="24"/>
          <w:szCs w:val="24"/>
          <w:highlight w:val="none"/>
          <w:lang w:val="en-US" w:eastAsia="zh-CN"/>
          <w14:textFill>
            <w14:solidFill>
              <w14:schemeClr w14:val="tx1"/>
            </w14:solidFill>
          </w14:textFill>
        </w:rPr>
        <w:t>边有管廊时，可在管廊上安装面向道路的照明代替路灯，安装高度距地不应小于6m</w:t>
      </w:r>
      <w:r>
        <w:rPr>
          <w:rFonts w:hint="default"/>
          <w:color w:val="000000" w:themeColor="text1"/>
          <w:sz w:val="24"/>
          <w:szCs w:val="24"/>
          <w:highlight w:val="none"/>
          <w:lang w:val="en-US" w:eastAsia="zh-CN"/>
          <w14:textFill>
            <w14:solidFill>
              <w14:schemeClr w14:val="tx1"/>
            </w14:solidFill>
          </w14:textFill>
        </w:rPr>
        <w:t>。</w:t>
      </w:r>
    </w:p>
    <w:p w14:paraId="1F544E76">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6</w:t>
      </w:r>
      <w:r>
        <w:rPr>
          <w:rFonts w:hint="default"/>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灯具的布置应方便维护检修。</w:t>
      </w:r>
    </w:p>
    <w:p w14:paraId="66C21896">
      <w:pPr>
        <w:numPr>
          <w:ilvl w:val="0"/>
          <w:numId w:val="0"/>
        </w:numPr>
        <w:spacing w:line="360" w:lineRule="auto"/>
        <w:ind w:leftChars="0"/>
        <w:rPr>
          <w:rFonts w:hint="default"/>
          <w:color w:val="000000" w:themeColor="text1"/>
          <w:sz w:val="28"/>
          <w:szCs w:val="28"/>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6.1.7  室外大面积的工作场所，可采用半高杆或高杆照明，但灯杆高度不应超过35m。</w:t>
      </w:r>
    </w:p>
    <w:p w14:paraId="0A069144">
      <w:pPr>
        <w:pStyle w:val="2"/>
        <w:bidi w:val="0"/>
        <w:ind w:firstLine="0" w:firstLineChars="0"/>
        <w:jc w:val="center"/>
        <w:rPr>
          <w:rFonts w:hint="default"/>
          <w:color w:val="000000" w:themeColor="text1"/>
          <w:sz w:val="28"/>
          <w:szCs w:val="28"/>
          <w:highlight w:val="none"/>
          <w:lang w:val="en-US" w:eastAsia="zh-CN"/>
          <w14:textFill>
            <w14:solidFill>
              <w14:schemeClr w14:val="tx1"/>
            </w14:solidFill>
          </w14:textFill>
        </w:rPr>
      </w:pPr>
      <w:bookmarkStart w:id="14" w:name="_Toc6101"/>
      <w:r>
        <w:rPr>
          <w:rFonts w:hint="eastAsia"/>
          <w:color w:val="000000" w:themeColor="text1"/>
          <w:sz w:val="28"/>
          <w:szCs w:val="28"/>
          <w:highlight w:val="none"/>
          <w:lang w:val="en-US" w:eastAsia="zh-CN"/>
          <w14:textFill>
            <w14:solidFill>
              <w14:schemeClr w14:val="tx1"/>
            </w14:solidFill>
          </w14:textFill>
        </w:rPr>
        <w:t>6.2   障碍照明</w:t>
      </w:r>
      <w:bookmarkEnd w:id="14"/>
    </w:p>
    <w:p w14:paraId="1C69945B">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.1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设置障碍照明时，宜</w:t>
      </w:r>
      <w:r>
        <w:rPr>
          <w:rFonts w:hint="eastAsia"/>
          <w:color w:val="000000" w:themeColor="text1"/>
          <w:sz w:val="24"/>
          <w:szCs w:val="24"/>
          <w:highlight w:val="none"/>
          <w:lang w:val="en-US" w:eastAsia="zh-CN"/>
          <w14:textFill>
            <w14:solidFill>
              <w14:schemeClr w14:val="tx1"/>
            </w14:solidFill>
          </w14:textFill>
        </w:rPr>
        <w:t>优</w:t>
      </w:r>
      <w:r>
        <w:rPr>
          <w:rFonts w:hint="default"/>
          <w:color w:val="000000" w:themeColor="text1"/>
          <w:sz w:val="24"/>
          <w:szCs w:val="24"/>
          <w:highlight w:val="none"/>
          <w:lang w:val="en-US" w:eastAsia="zh-CN"/>
          <w14:textFill>
            <w14:solidFill>
              <w14:schemeClr w14:val="tx1"/>
            </w14:solidFill>
          </w14:textFill>
        </w:rPr>
        <w:t>先与工程所在地的航空、交通管理部门联系，取得对航空障碍照明的具体要求。</w:t>
      </w:r>
    </w:p>
    <w:p w14:paraId="7ABB36E1">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.2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航空障碍灯的装设应符合</w:t>
      </w:r>
      <w:r>
        <w:rPr>
          <w:rFonts w:hint="eastAsia"/>
          <w:color w:val="000000" w:themeColor="text1"/>
          <w:sz w:val="24"/>
          <w:szCs w:val="24"/>
          <w:highlight w:val="none"/>
          <w:lang w:val="en-US" w:eastAsia="zh-CN"/>
          <w14:textFill>
            <w14:solidFill>
              <w14:schemeClr w14:val="tx1"/>
            </w14:solidFill>
          </w14:textFill>
        </w:rPr>
        <w:t>现行行业标准《民用机场飞行区技术标准》</w:t>
      </w:r>
      <w:r>
        <w:rPr>
          <w:rFonts w:hint="default"/>
          <w:color w:val="000000" w:themeColor="text1"/>
          <w:sz w:val="24"/>
          <w:szCs w:val="24"/>
          <w:highlight w:val="none"/>
          <w:lang w:val="en-US" w:eastAsia="zh-CN"/>
          <w14:textFill>
            <w14:solidFill>
              <w14:schemeClr w14:val="tx1"/>
            </w14:solidFill>
          </w14:textFill>
        </w:rPr>
        <w:t>MH 5001的</w:t>
      </w:r>
      <w:r>
        <w:rPr>
          <w:rFonts w:hint="eastAsia"/>
          <w:color w:val="000000" w:themeColor="text1"/>
          <w:sz w:val="24"/>
          <w:szCs w:val="24"/>
          <w:highlight w:val="none"/>
          <w:lang w:val="en-US" w:eastAsia="zh-CN"/>
          <w14:textFill>
            <w14:solidFill>
              <w14:schemeClr w14:val="tx1"/>
            </w14:solidFill>
          </w14:textFill>
        </w:rPr>
        <w:t>有关</w:t>
      </w:r>
      <w:r>
        <w:rPr>
          <w:rFonts w:hint="default"/>
          <w:color w:val="000000" w:themeColor="text1"/>
          <w:sz w:val="24"/>
          <w:szCs w:val="24"/>
          <w:highlight w:val="none"/>
          <w:lang w:val="en-US" w:eastAsia="zh-CN"/>
          <w14:textFill>
            <w14:solidFill>
              <w14:schemeClr w14:val="tx1"/>
            </w14:solidFill>
          </w14:textFill>
        </w:rPr>
        <w:t>规定，并应满足</w:t>
      </w:r>
      <w:r>
        <w:rPr>
          <w:rFonts w:hint="eastAsia"/>
          <w:color w:val="000000" w:themeColor="text1"/>
          <w:sz w:val="24"/>
          <w:szCs w:val="24"/>
          <w:highlight w:val="none"/>
          <w:lang w:val="en-US" w:eastAsia="zh-CN"/>
          <w14:textFill>
            <w14:solidFill>
              <w14:schemeClr w14:val="tx1"/>
            </w14:solidFill>
          </w14:textFill>
        </w:rPr>
        <w:t>下列规定</w:t>
      </w:r>
      <w:r>
        <w:rPr>
          <w:rFonts w:hint="default"/>
          <w:color w:val="000000" w:themeColor="text1"/>
          <w:sz w:val="24"/>
          <w:szCs w:val="24"/>
          <w:highlight w:val="none"/>
          <w:lang w:val="en-US" w:eastAsia="zh-CN"/>
          <w14:textFill>
            <w14:solidFill>
              <w14:schemeClr w14:val="tx1"/>
            </w14:solidFill>
          </w14:textFill>
        </w:rPr>
        <w:t>：</w:t>
      </w:r>
    </w:p>
    <w:p w14:paraId="16A114C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 xml:space="preserve">1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在民用机场净空保护区域内，高度在45m以上的设备和建构筑物应装设航空障碍灯</w:t>
      </w:r>
      <w:r>
        <w:rPr>
          <w:rFonts w:hint="eastAsia"/>
          <w:color w:val="000000" w:themeColor="text1"/>
          <w:sz w:val="24"/>
          <w:szCs w:val="24"/>
          <w:highlight w:val="none"/>
          <w:lang w:val="en-US" w:eastAsia="zh-CN"/>
          <w14:textFill>
            <w14:solidFill>
              <w14:schemeClr w14:val="tx1"/>
            </w14:solidFill>
          </w14:textFill>
        </w:rPr>
        <w:t>。</w:t>
      </w:r>
    </w:p>
    <w:p w14:paraId="156D1A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 xml:space="preserve">2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在民用机场净空保护区域外，但在民用机场近管制区域内，高出地面高程达150m及以上的设备和建构筑物应装设航空障碍灯</w:t>
      </w:r>
      <w:r>
        <w:rPr>
          <w:rFonts w:hint="eastAsia"/>
          <w:color w:val="000000" w:themeColor="text1"/>
          <w:sz w:val="24"/>
          <w:szCs w:val="24"/>
          <w:highlight w:val="none"/>
          <w:lang w:val="en-US" w:eastAsia="zh-CN"/>
          <w14:textFill>
            <w14:solidFill>
              <w14:schemeClr w14:val="tx1"/>
            </w14:solidFill>
          </w14:textFill>
        </w:rPr>
        <w:t>。</w:t>
      </w:r>
    </w:p>
    <w:p w14:paraId="459DEE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3</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在建有高架直升机停机坪的城市中</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有可能影响飞行安全的设备和建构筑物应装设航空障碍灯。</w:t>
      </w:r>
    </w:p>
    <w:p w14:paraId="30F5B02D">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.3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航空障碍灯的装设位置应符合</w:t>
      </w:r>
      <w:r>
        <w:rPr>
          <w:rFonts w:hint="eastAsia"/>
          <w:color w:val="000000" w:themeColor="text1"/>
          <w:sz w:val="24"/>
          <w:szCs w:val="24"/>
          <w:highlight w:val="none"/>
          <w:lang w:val="en-US" w:eastAsia="zh-CN"/>
          <w14:textFill>
            <w14:solidFill>
              <w14:schemeClr w14:val="tx1"/>
            </w14:solidFill>
          </w14:textFill>
        </w:rPr>
        <w:t>下列规定</w:t>
      </w:r>
      <w:r>
        <w:rPr>
          <w:rFonts w:hint="default"/>
          <w:color w:val="000000" w:themeColor="text1"/>
          <w:sz w:val="24"/>
          <w:szCs w:val="24"/>
          <w:highlight w:val="none"/>
          <w:lang w:val="en-US" w:eastAsia="zh-CN"/>
          <w14:textFill>
            <w14:solidFill>
              <w14:schemeClr w14:val="tx1"/>
            </w14:solidFill>
          </w14:textFill>
        </w:rPr>
        <w:t>：</w:t>
      </w:r>
    </w:p>
    <w:p w14:paraId="743EAF2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航空障碍灯应尽可能靠近设备或建构筑物的顶端设置。顶端的航空障碍灯应尽可能显示设备或构筑物的最高点或最高边缘。</w:t>
      </w:r>
    </w:p>
    <w:p w14:paraId="6C5863C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2  </w:t>
      </w:r>
      <w:r>
        <w:rPr>
          <w:rFonts w:hint="default"/>
          <w:color w:val="000000" w:themeColor="text1"/>
          <w:sz w:val="24"/>
          <w:szCs w:val="24"/>
          <w:highlight w:val="none"/>
          <w:lang w:val="en-US" w:eastAsia="zh-CN"/>
          <w14:textFill>
            <w14:solidFill>
              <w14:schemeClr w14:val="tx1"/>
            </w14:solidFill>
          </w14:textFill>
        </w:rPr>
        <w:t>高度在45m以上的设备和建构筑</w:t>
      </w:r>
      <w:r>
        <w:rPr>
          <w:rFonts w:hint="eastAsia"/>
          <w:color w:val="000000" w:themeColor="text1"/>
          <w:sz w:val="24"/>
          <w:szCs w:val="24"/>
          <w:highlight w:val="none"/>
          <w:lang w:val="en-US" w:eastAsia="zh-CN"/>
          <w14:textFill>
            <w14:solidFill>
              <w14:schemeClr w14:val="tx1"/>
            </w14:solidFill>
          </w14:textFill>
        </w:rPr>
        <w:t>物</w:t>
      </w:r>
      <w:r>
        <w:rPr>
          <w:rFonts w:hint="default"/>
          <w:color w:val="000000" w:themeColor="text1"/>
          <w:sz w:val="24"/>
          <w:szCs w:val="24"/>
          <w:highlight w:val="none"/>
          <w:lang w:val="en-US" w:eastAsia="zh-CN"/>
          <w14:textFill>
            <w14:solidFill>
              <w14:schemeClr w14:val="tx1"/>
            </w14:solidFill>
          </w14:textFill>
        </w:rPr>
        <w:t>，除在顶部装设外，还应在中部装设</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中部的航空障碍灯应尽可能自</w:t>
      </w:r>
      <w:r>
        <w:rPr>
          <w:rFonts w:hint="eastAsia"/>
          <w:color w:val="000000" w:themeColor="text1"/>
          <w:sz w:val="24"/>
          <w:szCs w:val="24"/>
          <w:highlight w:val="none"/>
          <w:lang w:val="en-US" w:eastAsia="zh-CN"/>
          <w14:textFill>
            <w14:solidFill>
              <w14:schemeClr w14:val="tx1"/>
            </w14:solidFill>
          </w14:textFill>
        </w:rPr>
        <w:t>离</w:t>
      </w:r>
      <w:r>
        <w:rPr>
          <w:rFonts w:hint="default"/>
          <w:color w:val="000000" w:themeColor="text1"/>
          <w:sz w:val="24"/>
          <w:szCs w:val="24"/>
          <w:highlight w:val="none"/>
          <w:lang w:val="en-US" w:eastAsia="zh-CN"/>
          <w14:textFill>
            <w14:solidFill>
              <w14:schemeClr w14:val="tx1"/>
            </w14:solidFill>
          </w14:textFill>
        </w:rPr>
        <w:t>地面</w:t>
      </w:r>
      <w:r>
        <w:rPr>
          <w:rFonts w:hint="eastAsia"/>
          <w:color w:val="000000" w:themeColor="text1"/>
          <w:sz w:val="24"/>
          <w:szCs w:val="24"/>
          <w:highlight w:val="none"/>
          <w:lang w:val="en-US" w:eastAsia="zh-CN"/>
          <w14:textFill>
            <w14:solidFill>
              <w14:schemeClr w14:val="tx1"/>
            </w14:solidFill>
          </w14:textFill>
        </w:rPr>
        <w:t>45m起</w:t>
      </w:r>
      <w:r>
        <w:rPr>
          <w:rFonts w:hint="default"/>
          <w:color w:val="000000" w:themeColor="text1"/>
          <w:sz w:val="24"/>
          <w:szCs w:val="24"/>
          <w:highlight w:val="none"/>
          <w:lang w:val="en-US" w:eastAsia="zh-CN"/>
          <w14:textFill>
            <w14:solidFill>
              <w14:schemeClr w14:val="tx1"/>
            </w14:solidFill>
          </w14:textFill>
        </w:rPr>
        <w:t>至顶部等距离装设</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当为中、低光强灯时，间距不应大于45m</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当为高光强灯时，间距不应大于105m</w:t>
      </w:r>
      <w:r>
        <w:rPr>
          <w:rFonts w:hint="eastAsia"/>
          <w:color w:val="000000" w:themeColor="text1"/>
          <w:sz w:val="24"/>
          <w:szCs w:val="24"/>
          <w:highlight w:val="none"/>
          <w:lang w:val="en-US" w:eastAsia="zh-CN"/>
          <w14:textFill>
            <w14:solidFill>
              <w14:schemeClr w14:val="tx1"/>
            </w14:solidFill>
          </w14:textFill>
        </w:rPr>
        <w:t>。</w:t>
      </w:r>
    </w:p>
    <w:p w14:paraId="6954C6D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3  </w:t>
      </w:r>
      <w:r>
        <w:rPr>
          <w:rFonts w:hint="default"/>
          <w:color w:val="000000" w:themeColor="text1"/>
          <w:sz w:val="24"/>
          <w:szCs w:val="24"/>
          <w:highlight w:val="none"/>
          <w:lang w:val="en-US" w:eastAsia="zh-CN"/>
          <w14:textFill>
            <w14:solidFill>
              <w14:schemeClr w14:val="tx1"/>
            </w14:solidFill>
          </w14:textFill>
        </w:rPr>
        <w:t>烟囱顶部的障碍灯宜设在顶端以下1.5m~3m范围内，高度超过150m的烟囱或高架火炬可设置在顶端以下7.5m范围内</w:t>
      </w:r>
      <w:r>
        <w:rPr>
          <w:rFonts w:hint="eastAsia"/>
          <w:color w:val="000000" w:themeColor="text1"/>
          <w:sz w:val="24"/>
          <w:szCs w:val="24"/>
          <w:highlight w:val="none"/>
          <w:lang w:val="en-US" w:eastAsia="zh-CN"/>
          <w14:textFill>
            <w14:solidFill>
              <w14:schemeClr w14:val="tx1"/>
            </w14:solidFill>
          </w14:textFill>
        </w:rPr>
        <w:t>。</w:t>
      </w:r>
    </w:p>
    <w:p w14:paraId="06BDDA9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4  </w:t>
      </w:r>
      <w:r>
        <w:rPr>
          <w:rFonts w:hint="default"/>
          <w:color w:val="000000" w:themeColor="text1"/>
          <w:sz w:val="24"/>
          <w:szCs w:val="24"/>
          <w:highlight w:val="none"/>
          <w:lang w:val="en-US" w:eastAsia="zh-CN"/>
          <w14:textFill>
            <w14:solidFill>
              <w14:schemeClr w14:val="tx1"/>
            </w14:solidFill>
          </w14:textFill>
        </w:rPr>
        <w:t>每层障碍灯的数量</w:t>
      </w:r>
      <w:r>
        <w:rPr>
          <w:rFonts w:hint="eastAsia"/>
          <w:color w:val="000000" w:themeColor="text1"/>
          <w:sz w:val="24"/>
          <w:szCs w:val="24"/>
          <w:highlight w:val="none"/>
          <w:lang w:val="en-US" w:eastAsia="zh-CN"/>
          <w14:textFill>
            <w14:solidFill>
              <w14:schemeClr w14:val="tx1"/>
            </w14:solidFill>
          </w14:textFill>
        </w:rPr>
        <w:t>应</w:t>
      </w:r>
      <w:r>
        <w:rPr>
          <w:rFonts w:hint="default"/>
          <w:color w:val="000000" w:themeColor="text1"/>
          <w:sz w:val="24"/>
          <w:szCs w:val="24"/>
          <w:highlight w:val="none"/>
          <w:lang w:val="en-US" w:eastAsia="zh-CN"/>
          <w14:textFill>
            <w14:solidFill>
              <w14:schemeClr w14:val="tx1"/>
            </w14:solidFill>
          </w14:textFill>
        </w:rPr>
        <w:t>根据其所在标高处设备的外径确定，外径</w:t>
      </w:r>
      <w:r>
        <w:rPr>
          <w:rFonts w:hint="eastAsia"/>
          <w:color w:val="000000" w:themeColor="text1"/>
          <w:sz w:val="24"/>
          <w:szCs w:val="24"/>
          <w:highlight w:val="none"/>
          <w:lang w:val="en-US" w:eastAsia="zh-CN"/>
          <w14:textFill>
            <w14:solidFill>
              <w14:schemeClr w14:val="tx1"/>
            </w14:solidFill>
          </w14:textFill>
        </w:rPr>
        <w:t>小于等于</w:t>
      </w:r>
      <w:r>
        <w:rPr>
          <w:rFonts w:hint="default"/>
          <w:color w:val="000000" w:themeColor="text1"/>
          <w:sz w:val="24"/>
          <w:szCs w:val="24"/>
          <w:highlight w:val="none"/>
          <w:lang w:val="en-US" w:eastAsia="zh-CN"/>
          <w14:textFill>
            <w14:solidFill>
              <w14:schemeClr w14:val="tx1"/>
            </w14:solidFill>
          </w14:textFill>
        </w:rPr>
        <w:t>6m时，每层设3个；外径 6m~30m 时，每层设4个；外径</w:t>
      </w:r>
      <w:r>
        <w:rPr>
          <w:rFonts w:hint="eastAsia"/>
          <w:color w:val="000000" w:themeColor="text1"/>
          <w:sz w:val="24"/>
          <w:szCs w:val="24"/>
          <w:highlight w:val="none"/>
          <w:lang w:val="en-US" w:eastAsia="zh-CN"/>
          <w14:textFill>
            <w14:solidFill>
              <w14:schemeClr w14:val="tx1"/>
            </w14:solidFill>
          </w14:textFill>
        </w:rPr>
        <w:t>大于</w:t>
      </w:r>
      <w:r>
        <w:rPr>
          <w:rFonts w:hint="default"/>
          <w:color w:val="000000" w:themeColor="text1"/>
          <w:sz w:val="24"/>
          <w:szCs w:val="24"/>
          <w:highlight w:val="none"/>
          <w:lang w:val="en-US" w:eastAsia="zh-CN"/>
          <w14:textFill>
            <w14:solidFill>
              <w14:schemeClr w14:val="tx1"/>
            </w14:solidFill>
          </w14:textFill>
        </w:rPr>
        <w:t>30m时，每层设6个</w:t>
      </w:r>
      <w:r>
        <w:rPr>
          <w:rFonts w:hint="eastAsia"/>
          <w:color w:val="000000" w:themeColor="text1"/>
          <w:sz w:val="24"/>
          <w:szCs w:val="24"/>
          <w:highlight w:val="none"/>
          <w:lang w:val="en-US" w:eastAsia="zh-CN"/>
          <w14:textFill>
            <w14:solidFill>
              <w14:schemeClr w14:val="tx1"/>
            </w14:solidFill>
          </w14:textFill>
        </w:rPr>
        <w:t>。</w:t>
      </w:r>
    </w:p>
    <w:p w14:paraId="4122D4A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5  </w:t>
      </w:r>
      <w:r>
        <w:rPr>
          <w:rFonts w:hint="default"/>
          <w:color w:val="000000" w:themeColor="text1"/>
          <w:sz w:val="24"/>
          <w:szCs w:val="24"/>
          <w:highlight w:val="none"/>
          <w:lang w:val="en-US" w:eastAsia="zh-CN"/>
          <w14:textFill>
            <w14:solidFill>
              <w14:schemeClr w14:val="tx1"/>
            </w14:solidFill>
          </w14:textFill>
        </w:rPr>
        <w:t>高度超过150m的设备顶层应采用高光强障碍灯，其间距控制在75m~105m范围内，在高光强障碍灯分层之间</w:t>
      </w:r>
      <w:r>
        <w:rPr>
          <w:rFonts w:hint="eastAsia"/>
          <w:color w:val="000000" w:themeColor="text1"/>
          <w:sz w:val="24"/>
          <w:szCs w:val="24"/>
          <w:highlight w:val="none"/>
          <w:lang w:val="en-US" w:eastAsia="zh-CN"/>
          <w14:textFill>
            <w14:solidFill>
              <w14:schemeClr w14:val="tx1"/>
            </w14:solidFill>
          </w14:textFill>
        </w:rPr>
        <w:t>应</w:t>
      </w:r>
      <w:r>
        <w:rPr>
          <w:rFonts w:hint="default"/>
          <w:color w:val="000000" w:themeColor="text1"/>
          <w:sz w:val="24"/>
          <w:szCs w:val="24"/>
          <w:highlight w:val="none"/>
          <w:lang w:val="en-US" w:eastAsia="zh-CN"/>
          <w14:textFill>
            <w14:solidFill>
              <w14:schemeClr w14:val="tx1"/>
            </w14:solidFill>
          </w14:textFill>
        </w:rPr>
        <w:t>设置中低光强障碍灯</w:t>
      </w:r>
      <w:r>
        <w:rPr>
          <w:rFonts w:hint="eastAsia"/>
          <w:color w:val="000000" w:themeColor="text1"/>
          <w:sz w:val="24"/>
          <w:szCs w:val="24"/>
          <w:highlight w:val="none"/>
          <w:lang w:val="en-US" w:eastAsia="zh-CN"/>
          <w14:textFill>
            <w14:solidFill>
              <w14:schemeClr w14:val="tx1"/>
            </w14:solidFill>
          </w14:textFill>
        </w:rPr>
        <w:t>。</w:t>
      </w:r>
    </w:p>
    <w:p w14:paraId="43913C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6  </w:t>
      </w:r>
      <w:r>
        <w:rPr>
          <w:rFonts w:hint="default"/>
          <w:color w:val="000000" w:themeColor="text1"/>
          <w:sz w:val="24"/>
          <w:szCs w:val="24"/>
          <w:highlight w:val="none"/>
          <w:lang w:val="en-US" w:eastAsia="zh-CN"/>
          <w14:textFill>
            <w14:solidFill>
              <w14:schemeClr w14:val="tx1"/>
            </w14:solidFill>
          </w14:textFill>
        </w:rPr>
        <w:t>对于需要设置障碍灯的大片设备或建构筑物群，顶端的航空障碍灯应能显示出障碍物限制面的最高点或最高边缘，以标示出基本轮廓或范围</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如有两个或多个同样高度的设备或建构筑物，应标出距离着陆区最近的设备或建构筑物。当采用中光强障碍灯，设备或建构筑物的水平间距大于900m时应分列设置障碍灯。</w:t>
      </w:r>
    </w:p>
    <w:p w14:paraId="4E5BADE9">
      <w:pPr>
        <w:numPr>
          <w:ilvl w:val="0"/>
          <w:numId w:val="0"/>
        </w:numPr>
        <w:spacing w:line="360" w:lineRule="auto"/>
        <w:ind w:leftChars="0"/>
        <w:rPr>
          <w:rFonts w:hint="default"/>
          <w:strike/>
          <w:dstrike w:val="0"/>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.4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所有的航空障碍灯应同时闪光，高光强障碍灯应能自动改变光强，中光强障碍灯应自动启闭</w:t>
      </w:r>
      <w:r>
        <w:rPr>
          <w:rFonts w:hint="eastAsia"/>
          <w:color w:val="000000" w:themeColor="text1"/>
          <w:sz w:val="24"/>
          <w:szCs w:val="24"/>
          <w:highlight w:val="none"/>
          <w:lang w:val="en-US" w:eastAsia="zh-CN"/>
          <w14:textFill>
            <w14:solidFill>
              <w14:schemeClr w14:val="tx1"/>
            </w14:solidFill>
          </w14:textFill>
        </w:rPr>
        <w:t>。</w:t>
      </w:r>
    </w:p>
    <w:p w14:paraId="4CD17939">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.5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航空障碍灯的选择应符合</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现行行业标准《航空障碍灯》</w:t>
      </w:r>
      <w:r>
        <w:rPr>
          <w:rFonts w:hint="default"/>
          <w:color w:val="000000" w:themeColor="text1"/>
          <w:sz w:val="24"/>
          <w:szCs w:val="24"/>
          <w:highlight w:val="none"/>
          <w:lang w:val="en-US" w:eastAsia="zh-CN"/>
          <w14:textFill>
            <w14:solidFill>
              <w14:schemeClr w14:val="tx1"/>
            </w14:solidFill>
          </w14:textFill>
        </w:rPr>
        <w:t xml:space="preserve"> MH/T 6012 的</w:t>
      </w:r>
      <w:r>
        <w:rPr>
          <w:rFonts w:hint="eastAsia"/>
          <w:color w:val="000000" w:themeColor="text1"/>
          <w:sz w:val="24"/>
          <w:szCs w:val="24"/>
          <w:highlight w:val="none"/>
          <w:lang w:val="en-US" w:eastAsia="zh-CN"/>
          <w14:textFill>
            <w14:solidFill>
              <w14:schemeClr w14:val="tx1"/>
            </w14:solidFill>
          </w14:textFill>
        </w:rPr>
        <w:t>有关</w:t>
      </w:r>
      <w:r>
        <w:rPr>
          <w:rFonts w:hint="default"/>
          <w:color w:val="000000" w:themeColor="text1"/>
          <w:sz w:val="24"/>
          <w:szCs w:val="24"/>
          <w:highlight w:val="none"/>
          <w:lang w:val="en-US" w:eastAsia="zh-CN"/>
          <w14:textFill>
            <w14:solidFill>
              <w14:schemeClr w14:val="tx1"/>
            </w14:solidFill>
          </w14:textFill>
        </w:rPr>
        <w:t>规定并满足</w:t>
      </w:r>
      <w:r>
        <w:rPr>
          <w:rFonts w:hint="eastAsia"/>
          <w:color w:val="000000" w:themeColor="text1"/>
          <w:sz w:val="24"/>
          <w:szCs w:val="24"/>
          <w:highlight w:val="none"/>
          <w:lang w:val="en-US" w:eastAsia="zh-CN"/>
          <w14:textFill>
            <w14:solidFill>
              <w14:schemeClr w14:val="tx1"/>
            </w14:solidFill>
          </w14:textFill>
        </w:rPr>
        <w:t>下列规定</w:t>
      </w:r>
      <w:r>
        <w:rPr>
          <w:rFonts w:hint="default"/>
          <w:color w:val="000000" w:themeColor="text1"/>
          <w:sz w:val="24"/>
          <w:szCs w:val="24"/>
          <w:highlight w:val="none"/>
          <w:lang w:val="en-US" w:eastAsia="zh-CN"/>
          <w14:textFill>
            <w14:solidFill>
              <w14:schemeClr w14:val="tx1"/>
            </w14:solidFill>
          </w14:textFill>
        </w:rPr>
        <w:t>：</w:t>
      </w:r>
    </w:p>
    <w:p w14:paraId="0B0F43E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当采用中光强标志灯时，应为红色闪光灯</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晚间运行</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闪光频率宜为20 次/min~60 次/min</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闪光的有效光强不</w:t>
      </w:r>
      <w:r>
        <w:rPr>
          <w:rFonts w:hint="eastAsia"/>
          <w:color w:val="000000" w:themeColor="text1"/>
          <w:sz w:val="24"/>
          <w:szCs w:val="24"/>
          <w:highlight w:val="none"/>
          <w:lang w:val="en-US" w:eastAsia="zh-CN"/>
          <w14:textFill>
            <w14:solidFill>
              <w14:schemeClr w14:val="tx1"/>
            </w14:solidFill>
          </w14:textFill>
        </w:rPr>
        <w:t>应</w:t>
      </w:r>
      <w:r>
        <w:rPr>
          <w:rFonts w:hint="default"/>
          <w:color w:val="000000" w:themeColor="text1"/>
          <w:sz w:val="24"/>
          <w:szCs w:val="24"/>
          <w:highlight w:val="none"/>
          <w:lang w:val="en-US" w:eastAsia="zh-CN"/>
          <w14:textFill>
            <w14:solidFill>
              <w14:schemeClr w14:val="tx1"/>
            </w14:solidFill>
          </w14:textFill>
        </w:rPr>
        <w:t>小于2000cd±25%。</w:t>
      </w:r>
    </w:p>
    <w:p w14:paraId="358355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当采用高光强障碍灯时，应为白色闪光灯，全天候运行。闪光频率宜为40次/min~60次/min</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闪光的有效光强</w:t>
      </w:r>
      <w:r>
        <w:rPr>
          <w:rFonts w:hint="eastAsia"/>
          <w:color w:val="000000" w:themeColor="text1"/>
          <w:sz w:val="24"/>
          <w:szCs w:val="24"/>
          <w:highlight w:val="none"/>
          <w:lang w:val="en-US" w:eastAsia="zh-CN"/>
          <w14:textFill>
            <w14:solidFill>
              <w14:schemeClr w14:val="tx1"/>
            </w14:solidFill>
          </w14:textFill>
        </w:rPr>
        <w:t>应</w:t>
      </w:r>
      <w:r>
        <w:rPr>
          <w:rFonts w:hint="default"/>
          <w:color w:val="000000" w:themeColor="text1"/>
          <w:sz w:val="24"/>
          <w:szCs w:val="24"/>
          <w:highlight w:val="none"/>
          <w:lang w:val="en-US" w:eastAsia="zh-CN"/>
          <w14:textFill>
            <w14:solidFill>
              <w14:schemeClr w14:val="tx1"/>
            </w14:solidFill>
          </w14:textFill>
        </w:rPr>
        <w:t>随背景亮度变光强闪光，白天为200000cd、黎明或黄昏为20000cd、晚间为2000cd。</w:t>
      </w:r>
    </w:p>
    <w:p w14:paraId="58C6EBD6">
      <w:pPr>
        <w:numPr>
          <w:ilvl w:val="0"/>
          <w:numId w:val="0"/>
        </w:numPr>
        <w:spacing w:line="360" w:lineRule="auto"/>
        <w:ind w:leftChars="0" w:firstLine="0" w:firstLineChars="0"/>
        <w:rPr>
          <w:rFonts w:hint="default"/>
          <w:color w:val="000000" w:themeColor="text1"/>
          <w:sz w:val="28"/>
          <w:szCs w:val="28"/>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6.</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 xml:space="preserve">.6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u w:val="none"/>
          <w:lang w:val="en-US" w:eastAsia="zh-CN"/>
          <w14:textFill>
            <w14:solidFill>
              <w14:schemeClr w14:val="tx1"/>
            </w14:solidFill>
          </w14:textFill>
        </w:rPr>
        <w:t>航空障碍灯</w:t>
      </w:r>
      <w:r>
        <w:rPr>
          <w:rFonts w:hint="eastAsia"/>
          <w:color w:val="000000" w:themeColor="text1"/>
          <w:sz w:val="24"/>
          <w:szCs w:val="24"/>
          <w:highlight w:val="none"/>
          <w:u w:val="none"/>
          <w:lang w:val="en-US" w:eastAsia="zh-CN"/>
          <w14:textFill>
            <w14:solidFill>
              <w14:schemeClr w14:val="tx1"/>
            </w14:solidFill>
          </w14:textFill>
        </w:rPr>
        <w:t>宜安装在可以利用已有</w:t>
      </w:r>
      <w:r>
        <w:rPr>
          <w:rFonts w:hint="default"/>
          <w:color w:val="000000" w:themeColor="text1"/>
          <w:sz w:val="24"/>
          <w:szCs w:val="24"/>
          <w:highlight w:val="none"/>
          <w:u w:val="none"/>
          <w:lang w:val="en-US" w:eastAsia="zh-CN"/>
          <w14:textFill>
            <w14:solidFill>
              <w14:schemeClr w14:val="tx1"/>
            </w14:solidFill>
          </w14:textFill>
        </w:rPr>
        <w:t>平台</w:t>
      </w:r>
      <w:r>
        <w:rPr>
          <w:rFonts w:hint="eastAsia"/>
          <w:color w:val="000000" w:themeColor="text1"/>
          <w:sz w:val="24"/>
          <w:szCs w:val="24"/>
          <w:highlight w:val="none"/>
          <w:u w:val="none"/>
          <w:lang w:val="en-US" w:eastAsia="zh-CN"/>
          <w14:textFill>
            <w14:solidFill>
              <w14:schemeClr w14:val="tx1"/>
            </w14:solidFill>
          </w14:textFill>
        </w:rPr>
        <w:t>进行维护的地方</w:t>
      </w:r>
      <w:r>
        <w:rPr>
          <w:rFonts w:hint="default"/>
          <w:color w:val="000000" w:themeColor="text1"/>
          <w:sz w:val="24"/>
          <w:szCs w:val="24"/>
          <w:highlight w:val="none"/>
          <w:u w:val="none"/>
          <w:lang w:val="en-US" w:eastAsia="zh-CN"/>
          <w14:textFill>
            <w14:solidFill>
              <w14:schemeClr w14:val="tx1"/>
            </w14:solidFill>
          </w14:textFill>
        </w:rPr>
        <w:t>。</w:t>
      </w:r>
    </w:p>
    <w:p w14:paraId="0CE04315">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61F7D3C9">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15" w:name="_Toc19711"/>
      <w:r>
        <w:rPr>
          <w:rFonts w:hint="eastAsia"/>
          <w:color w:val="000000" w:themeColor="text1"/>
          <w:highlight w:val="none"/>
          <w:lang w:val="en-US" w:eastAsia="zh-CN"/>
          <w14:textFill>
            <w14:solidFill>
              <w14:schemeClr w14:val="tx1"/>
            </w14:solidFill>
          </w14:textFill>
        </w:rPr>
        <w:t>7   照明配电及控制</w:t>
      </w:r>
      <w:bookmarkEnd w:id="15"/>
    </w:p>
    <w:p w14:paraId="3D977655">
      <w:pPr>
        <w:pStyle w:val="2"/>
        <w:bidi w:val="0"/>
        <w:ind w:firstLine="0" w:firstLineChars="0"/>
        <w:jc w:val="center"/>
        <w:rPr>
          <w:rFonts w:hint="default"/>
          <w:color w:val="000000" w:themeColor="text1"/>
          <w:sz w:val="28"/>
          <w:szCs w:val="28"/>
          <w:highlight w:val="none"/>
          <w:lang w:val="en-US" w:eastAsia="zh-CN"/>
          <w14:textFill>
            <w14:solidFill>
              <w14:schemeClr w14:val="tx1"/>
            </w14:solidFill>
          </w14:textFill>
        </w:rPr>
      </w:pPr>
      <w:bookmarkStart w:id="16" w:name="_Toc2481"/>
      <w:r>
        <w:rPr>
          <w:rFonts w:hint="eastAsia"/>
          <w:color w:val="000000" w:themeColor="text1"/>
          <w:sz w:val="28"/>
          <w:szCs w:val="28"/>
          <w:highlight w:val="none"/>
          <w:lang w:val="en-US" w:eastAsia="zh-CN"/>
          <w14:textFill>
            <w14:solidFill>
              <w14:schemeClr w14:val="tx1"/>
            </w14:solidFill>
          </w14:textFill>
        </w:rPr>
        <w:t>7.1   照明电压</w:t>
      </w:r>
      <w:bookmarkEnd w:id="16"/>
    </w:p>
    <w:p w14:paraId="6565553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7.1.1  照明电压的选择应符合下列规定：</w:t>
      </w:r>
    </w:p>
    <w:p w14:paraId="61973B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照明系统电压一般情况下宜采用交流</w:t>
      </w:r>
      <w:r>
        <w:rPr>
          <w:rFonts w:hint="eastAsia"/>
          <w:color w:val="000000" w:themeColor="text1"/>
          <w:sz w:val="24"/>
          <w:szCs w:val="24"/>
          <w:highlight w:val="none"/>
          <w:lang w:val="en-US" w:eastAsia="zh-CN"/>
          <w14:textFill>
            <w14:solidFill>
              <w14:schemeClr w14:val="tx1"/>
            </w14:solidFill>
          </w14:textFill>
        </w:rPr>
        <w:t>电压</w:t>
      </w:r>
      <w:r>
        <w:rPr>
          <w:rFonts w:hint="default"/>
          <w:color w:val="000000" w:themeColor="text1"/>
          <w:sz w:val="24"/>
          <w:szCs w:val="24"/>
          <w:highlight w:val="none"/>
          <w:lang w:val="en-US" w:eastAsia="zh-CN"/>
          <w14:textFill>
            <w14:solidFill>
              <w14:schemeClr w14:val="tx1"/>
            </w14:solidFill>
          </w14:textFill>
        </w:rPr>
        <w:t>380V</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220V</w:t>
      </w:r>
      <w:r>
        <w:rPr>
          <w:rFonts w:hint="eastAsia"/>
          <w:color w:val="000000" w:themeColor="text1"/>
          <w:sz w:val="24"/>
          <w:szCs w:val="24"/>
          <w:highlight w:val="none"/>
          <w:lang w:val="en-US" w:eastAsia="zh-CN"/>
          <w14:textFill>
            <w14:solidFill>
              <w14:schemeClr w14:val="tx1"/>
            </w14:solidFill>
          </w14:textFill>
        </w:rPr>
        <w:t>。</w:t>
      </w:r>
    </w:p>
    <w:p w14:paraId="4AB5775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正常照明和备用照明灯具的电源电压一般采用交流</w:t>
      </w:r>
      <w:r>
        <w:rPr>
          <w:rFonts w:hint="eastAsia"/>
          <w:color w:val="000000" w:themeColor="text1"/>
          <w:sz w:val="24"/>
          <w:szCs w:val="24"/>
          <w:highlight w:val="none"/>
          <w:lang w:val="en-US" w:eastAsia="zh-CN"/>
          <w14:textFill>
            <w14:solidFill>
              <w14:schemeClr w14:val="tx1"/>
            </w14:solidFill>
          </w14:textFill>
        </w:rPr>
        <w:t>电压</w:t>
      </w:r>
      <w:r>
        <w:rPr>
          <w:rFonts w:hint="default"/>
          <w:color w:val="000000" w:themeColor="text1"/>
          <w:sz w:val="24"/>
          <w:szCs w:val="24"/>
          <w:highlight w:val="none"/>
          <w:lang w:val="en-US" w:eastAsia="zh-CN"/>
          <w14:textFill>
            <w14:solidFill>
              <w14:schemeClr w14:val="tx1"/>
            </w14:solidFill>
          </w14:textFill>
        </w:rPr>
        <w:t>220V；单</w:t>
      </w:r>
      <w:r>
        <w:rPr>
          <w:rFonts w:hint="eastAsia"/>
          <w:color w:val="000000" w:themeColor="text1"/>
          <w:sz w:val="24"/>
          <w:szCs w:val="24"/>
          <w:highlight w:val="none"/>
          <w:lang w:val="en-US" w:eastAsia="zh-CN"/>
          <w14:textFill>
            <w14:solidFill>
              <w14:schemeClr w14:val="tx1"/>
            </w14:solidFill>
          </w14:textFill>
        </w:rPr>
        <w:t>套</w:t>
      </w:r>
      <w:r>
        <w:rPr>
          <w:rFonts w:hint="default"/>
          <w:color w:val="000000" w:themeColor="text1"/>
          <w:sz w:val="24"/>
          <w:szCs w:val="24"/>
          <w:highlight w:val="none"/>
          <w:lang w:val="en-US" w:eastAsia="zh-CN"/>
          <w14:textFill>
            <w14:solidFill>
              <w14:schemeClr w14:val="tx1"/>
            </w14:solidFill>
          </w14:textFill>
        </w:rPr>
        <w:t>灯</w:t>
      </w:r>
      <w:r>
        <w:rPr>
          <w:rFonts w:hint="eastAsia"/>
          <w:color w:val="000000" w:themeColor="text1"/>
          <w:sz w:val="24"/>
          <w:szCs w:val="24"/>
          <w:highlight w:val="none"/>
          <w:lang w:val="en-US" w:eastAsia="zh-CN"/>
          <w14:textFill>
            <w14:solidFill>
              <w14:schemeClr w14:val="tx1"/>
            </w14:solidFill>
          </w14:textFill>
        </w:rPr>
        <w:t>具</w:t>
      </w:r>
      <w:r>
        <w:rPr>
          <w:rFonts w:hint="default"/>
          <w:color w:val="000000" w:themeColor="text1"/>
          <w:sz w:val="24"/>
          <w:szCs w:val="24"/>
          <w:highlight w:val="none"/>
          <w:lang w:val="en-US" w:eastAsia="zh-CN"/>
          <w14:textFill>
            <w14:solidFill>
              <w14:schemeClr w14:val="tx1"/>
            </w14:solidFill>
          </w14:textFill>
        </w:rPr>
        <w:t>功率1500W及以上的高强度气体放电灯的电源电压宜采用交流</w:t>
      </w:r>
      <w:r>
        <w:rPr>
          <w:rFonts w:hint="eastAsia"/>
          <w:color w:val="000000" w:themeColor="text1"/>
          <w:sz w:val="24"/>
          <w:szCs w:val="24"/>
          <w:highlight w:val="none"/>
          <w:lang w:val="en-US" w:eastAsia="zh-CN"/>
          <w14:textFill>
            <w14:solidFill>
              <w14:schemeClr w14:val="tx1"/>
            </w14:solidFill>
          </w14:textFill>
        </w:rPr>
        <w:t>电压</w:t>
      </w:r>
      <w:r>
        <w:rPr>
          <w:rFonts w:hint="default"/>
          <w:color w:val="000000" w:themeColor="text1"/>
          <w:sz w:val="24"/>
          <w:szCs w:val="24"/>
          <w:highlight w:val="none"/>
          <w:lang w:val="en-US" w:eastAsia="zh-CN"/>
          <w14:textFill>
            <w14:solidFill>
              <w14:schemeClr w14:val="tx1"/>
            </w14:solidFill>
          </w14:textFill>
        </w:rPr>
        <w:t>380V</w:t>
      </w:r>
      <w:r>
        <w:rPr>
          <w:rFonts w:hint="eastAsia"/>
          <w:color w:val="000000" w:themeColor="text1"/>
          <w:sz w:val="24"/>
          <w:szCs w:val="24"/>
          <w:highlight w:val="none"/>
          <w:lang w:val="en-US" w:eastAsia="zh-CN"/>
          <w14:textFill>
            <w14:solidFill>
              <w14:schemeClr w14:val="tx1"/>
            </w14:solidFill>
          </w14:textFill>
        </w:rPr>
        <w:t>。</w:t>
      </w:r>
    </w:p>
    <w:p w14:paraId="2E2B13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消防疏散照明和消防疏散指示灯具的电源电压选择应符合</w:t>
      </w: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现行国家标准《消防应急照明和疏散指示系统》</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GB 17945</w:t>
      </w:r>
      <w:r>
        <w:rPr>
          <w:rFonts w:hint="eastAsia" w:cs="Times New Roman"/>
          <w:color w:val="000000" w:themeColor="text1"/>
          <w:sz w:val="24"/>
          <w:szCs w:val="24"/>
          <w:highlight w:val="none"/>
          <w:lang w:val="en-US" w:eastAsia="zh-CN"/>
          <w14:textFill>
            <w14:solidFill>
              <w14:schemeClr w14:val="tx1"/>
            </w14:solidFill>
          </w14:textFill>
        </w:rPr>
        <w:t>或《消防应急照明和疏散指示系统技术标准》</w:t>
      </w:r>
      <w:r>
        <w:rPr>
          <w:rFonts w:hint="eastAsia"/>
          <w:color w:val="000000" w:themeColor="text1"/>
          <w:sz w:val="24"/>
          <w:szCs w:val="24"/>
          <w:highlight w:val="none"/>
          <w:lang w:val="en-US" w:eastAsia="zh-CN"/>
          <w14:textFill>
            <w14:solidFill>
              <w14:schemeClr w14:val="tx1"/>
            </w14:solidFill>
          </w14:textFill>
        </w:rPr>
        <w:t>GB 51309的有关规定。</w:t>
      </w:r>
    </w:p>
    <w:p w14:paraId="160C666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特低电压供电照明设置，应按照下列规定：</w:t>
      </w:r>
    </w:p>
    <w:p w14:paraId="790F943B">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1）特低电压供电照明应采用SELV系统。</w:t>
      </w:r>
    </w:p>
    <w:p w14:paraId="3BCEE45C">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2）电缆隧道等地下狭窄潮湿场所，其电压不应大于交流电压25V，灯具宜与地绝缘安装。</w:t>
      </w:r>
    </w:p>
    <w:p w14:paraId="63BBF2FA">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3）供一般检修用的携带式作业灯，宜采用蓄电池供电，也可采用交流供电，其电压不应大于24V；</w:t>
      </w:r>
    </w:p>
    <w:p w14:paraId="1FC04AB9">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4）供锅炉本体、金属容器检修用携带式作业灯，宜采用交流供电，也可采用蓄电池供电，其电压不应大于12V。</w:t>
      </w:r>
    </w:p>
    <w:p w14:paraId="05A263BE">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7.1.2  交流供电照明灯具的端电压偏差宜符合下列规定：</w:t>
      </w:r>
    </w:p>
    <w:p w14:paraId="4420F1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不宜大于其额定电压的105%</w:t>
      </w:r>
      <w:r>
        <w:rPr>
          <w:rFonts w:hint="eastAsia"/>
          <w:color w:val="000000" w:themeColor="text1"/>
          <w:sz w:val="24"/>
          <w:szCs w:val="24"/>
          <w:highlight w:val="none"/>
          <w:lang w:val="en-US" w:eastAsia="zh-CN"/>
          <w14:textFill>
            <w14:solidFill>
              <w14:schemeClr w14:val="tx1"/>
            </w14:solidFill>
          </w14:textFill>
        </w:rPr>
        <w:t>。</w:t>
      </w:r>
    </w:p>
    <w:p w14:paraId="07E45F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不宜低于其额定电压的95%</w:t>
      </w:r>
      <w:r>
        <w:rPr>
          <w:rFonts w:hint="eastAsia"/>
          <w:color w:val="000000" w:themeColor="text1"/>
          <w:sz w:val="24"/>
          <w:szCs w:val="24"/>
          <w:highlight w:val="none"/>
          <w:lang w:val="en-US" w:eastAsia="zh-CN"/>
          <w14:textFill>
            <w14:solidFill>
              <w14:schemeClr w14:val="tx1"/>
            </w14:solidFill>
          </w14:textFill>
        </w:rPr>
        <w:t>。</w:t>
      </w:r>
    </w:p>
    <w:p w14:paraId="1923C5AF">
      <w:pPr>
        <w:keepNext w:val="0"/>
        <w:keepLines w:val="0"/>
        <w:pageBreakBefore w:val="0"/>
        <w:widowControl w:val="0"/>
        <w:kinsoku/>
        <w:wordWrap/>
        <w:overflowPunct/>
        <w:topLinePunct w:val="0"/>
        <w:autoSpaceDE/>
        <w:autoSpaceDN/>
        <w:bidi w:val="0"/>
        <w:adjustRightInd/>
        <w:snapToGrid/>
        <w:spacing w:line="360" w:lineRule="auto"/>
        <w:ind w:left="839" w:leftChars="228" w:hanging="360" w:hangingChars="15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3</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远离供电电源的一般工作场所、道路照明等难以满足第2款要求时，可</w:t>
      </w:r>
      <w:r>
        <w:rPr>
          <w:rFonts w:hint="eastAsia"/>
          <w:color w:val="000000" w:themeColor="text1"/>
          <w:sz w:val="24"/>
          <w:szCs w:val="24"/>
          <w:highlight w:val="none"/>
          <w:lang w:val="en-US" w:eastAsia="zh-CN"/>
          <w14:textFill>
            <w14:solidFill>
              <w14:schemeClr w14:val="tx1"/>
            </w14:solidFill>
          </w14:textFill>
        </w:rPr>
        <w:t>设置</w:t>
      </w:r>
      <w:r>
        <w:rPr>
          <w:rFonts w:hint="default"/>
          <w:color w:val="000000" w:themeColor="text1"/>
          <w:sz w:val="24"/>
          <w:szCs w:val="24"/>
          <w:highlight w:val="none"/>
          <w:lang w:val="en-US" w:eastAsia="zh-CN"/>
          <w14:textFill>
            <w14:solidFill>
              <w14:schemeClr w14:val="tx1"/>
            </w14:solidFill>
          </w14:textFill>
        </w:rPr>
        <w:t>为其额定电压的90%</w:t>
      </w:r>
      <w:r>
        <w:rPr>
          <w:rFonts w:hint="eastAsia"/>
          <w:color w:val="000000" w:themeColor="text1"/>
          <w:sz w:val="24"/>
          <w:szCs w:val="24"/>
          <w:highlight w:val="none"/>
          <w:lang w:val="en-US" w:eastAsia="zh-CN"/>
          <w14:textFill>
            <w14:solidFill>
              <w14:schemeClr w14:val="tx1"/>
            </w14:solidFill>
          </w14:textFill>
        </w:rPr>
        <w:t>。</w:t>
      </w:r>
    </w:p>
    <w:p w14:paraId="188447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i/>
          <w:iCs/>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 xml:space="preserve">4 </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备用照明及采用特低电压供电的，不宜低于其额定电压的90%。</w:t>
      </w:r>
    </w:p>
    <w:p w14:paraId="3328617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7.1.3  直流供电照明灯具的端电压偏差应符合下列规定：</w:t>
      </w:r>
    </w:p>
    <w:p w14:paraId="6E4ED73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1</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应在灯具正常工作</w:t>
      </w:r>
      <w:r>
        <w:rPr>
          <w:rFonts w:hint="eastAsia"/>
          <w:color w:val="000000" w:themeColor="text1"/>
          <w:sz w:val="24"/>
          <w:szCs w:val="24"/>
          <w:highlight w:val="none"/>
          <w:lang w:val="en-US" w:eastAsia="zh-CN"/>
          <w14:textFill>
            <w14:solidFill>
              <w14:schemeClr w14:val="tx1"/>
            </w14:solidFill>
          </w14:textFill>
        </w:rPr>
        <w:t>场</w:t>
      </w:r>
      <w:r>
        <w:rPr>
          <w:rFonts w:hint="default"/>
          <w:color w:val="000000" w:themeColor="text1"/>
          <w:sz w:val="24"/>
          <w:szCs w:val="24"/>
          <w:highlight w:val="none"/>
          <w:lang w:val="en-US" w:eastAsia="zh-CN"/>
          <w14:textFill>
            <w14:solidFill>
              <w14:schemeClr w14:val="tx1"/>
            </w14:solidFill>
          </w14:textFill>
        </w:rPr>
        <w:t>所允许的电压偏差范围内</w:t>
      </w:r>
      <w:r>
        <w:rPr>
          <w:rFonts w:hint="eastAsia"/>
          <w:color w:val="000000" w:themeColor="text1"/>
          <w:sz w:val="24"/>
          <w:szCs w:val="24"/>
          <w:highlight w:val="none"/>
          <w:lang w:val="en-US" w:eastAsia="zh-CN"/>
          <w14:textFill>
            <w14:solidFill>
              <w14:schemeClr w14:val="tx1"/>
            </w14:solidFill>
          </w14:textFill>
        </w:rPr>
        <w:t>。</w:t>
      </w:r>
    </w:p>
    <w:p w14:paraId="2153A5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系统允许电压降应按电源出口端最低计算电压值与灯具本身允许的最低运行电压值之差计算。</w:t>
      </w:r>
    </w:p>
    <w:p w14:paraId="06EF8E9D">
      <w:pPr>
        <w:pStyle w:val="2"/>
        <w:bidi w:val="0"/>
        <w:ind w:firstLine="0" w:firstLineChars="0"/>
        <w:jc w:val="center"/>
        <w:rPr>
          <w:rFonts w:hint="default"/>
          <w:color w:val="000000" w:themeColor="text1"/>
          <w:sz w:val="28"/>
          <w:szCs w:val="28"/>
          <w:highlight w:val="none"/>
          <w:lang w:val="en-US" w:eastAsia="zh-CN"/>
          <w14:textFill>
            <w14:solidFill>
              <w14:schemeClr w14:val="tx1"/>
            </w14:solidFill>
          </w14:textFill>
        </w:rPr>
      </w:pPr>
      <w:bookmarkStart w:id="17" w:name="_Toc27837"/>
      <w:r>
        <w:rPr>
          <w:rFonts w:hint="eastAsia"/>
          <w:color w:val="000000" w:themeColor="text1"/>
          <w:sz w:val="28"/>
          <w:szCs w:val="28"/>
          <w:highlight w:val="none"/>
          <w:lang w:val="en-US" w:eastAsia="zh-CN"/>
          <w14:textFill>
            <w14:solidFill>
              <w14:schemeClr w14:val="tx1"/>
            </w14:solidFill>
          </w14:textFill>
        </w:rPr>
        <w:t>7.2   照明配电系统</w:t>
      </w:r>
      <w:bookmarkEnd w:id="17"/>
    </w:p>
    <w:p w14:paraId="5A58B7A5">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  正常照明供电宜与其它用电负荷共用变压器；当照明负荷大且技术经济合理时，可采用专用变压器。</w:t>
      </w:r>
    </w:p>
    <w:p w14:paraId="1137737E">
      <w:pPr>
        <w:keepNext w:val="0"/>
        <w:keepLines w:val="0"/>
        <w:pageBreakBefore w:val="0"/>
        <w:widowControl w:val="0"/>
        <w:kinsoku/>
        <w:wordWrap/>
        <w:overflowPunct/>
        <w:topLinePunct w:val="0"/>
        <w:autoSpaceDE/>
        <w:autoSpaceDN/>
        <w:bidi w:val="0"/>
        <w:adjustRightInd/>
        <w:snapToGrid/>
        <w:spacing w:line="360" w:lineRule="auto"/>
        <w:textAlignment w:val="auto"/>
        <w:rPr>
          <w:color w:val="000000" w:themeColor="text1"/>
          <w:sz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7.2.2  当照明负荷受其它波动负荷影响较大时，可设置专门的照明稳压电源装置。</w:t>
      </w:r>
    </w:p>
    <w:p w14:paraId="4421E7F9">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7.2.3  交流电压380V/ 220V的照明供电系统宜采用TN-S系统，道路照明也可采用TT系统。</w:t>
      </w:r>
    </w:p>
    <w:p w14:paraId="76001B95">
      <w:pPr>
        <w:numPr>
          <w:ilvl w:val="0"/>
          <w:numId w:val="0"/>
        </w:numPr>
        <w:spacing w:line="360" w:lineRule="auto"/>
        <w:ind w:leftChars="0"/>
        <w:rPr>
          <w:rFonts w:hint="eastAsia"/>
          <w:strike/>
          <w:dstrike w:val="0"/>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7.2.4  照明配电系统宜采用放射式；当线路较长时，也可采用树干式。同一照明干线连接的配电箱不宜超过3个。</w:t>
      </w:r>
    </w:p>
    <w:p w14:paraId="0CD38162">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7.2.5  道路照明的供电回路应与其它照明供电回路分开。</w:t>
      </w:r>
    </w:p>
    <w:p w14:paraId="137F175F">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7.2.6  交流照明配电箱的设计应符合下列规定：</w:t>
      </w:r>
    </w:p>
    <w:p w14:paraId="1D3D37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各相负荷宜平衡分配，最大相负荷不宜大于三相负荷平均值的115%，最小相负荷不宜小于三相负荷平均值的85%。</w:t>
      </w:r>
    </w:p>
    <w:p w14:paraId="40B82F2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照明分支回路宜采用单相回路供电，对距离较长的道路照明及连接照明灯具数量较多的场所也可采用三相回路供电。</w:t>
      </w:r>
    </w:p>
    <w:p w14:paraId="12F589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单相分支回路的电流不宜大于16A，所接光源数或LED灯具数不宜超过25个；连接高强度气体放电灯的单相分支回路的电流不宜大于25A。</w:t>
      </w:r>
    </w:p>
    <w:p w14:paraId="2D35D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插座回路应采用具有剩余电流动作的断路器；插座不应和灯具连接在同一分支回路中；备用照明配电箱不宜设置插座回路；消防疏散指示和疏散照明的配电箱严禁接入插座回路。</w:t>
      </w:r>
    </w:p>
    <w:p w14:paraId="6871496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每个照明分支回路应设置短路保护、过负荷保护和接地故障保护。室外照明及安装高度在2.5m及以下的室内照明的配电回路还应设置不大于30mA的剩余电流保护电器作为附加防护。</w:t>
      </w:r>
    </w:p>
    <w:p w14:paraId="0AFC78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6  一个装置内同时存在</w:t>
      </w:r>
      <w:r>
        <w:rPr>
          <w:rFonts w:hint="default"/>
          <w:strike w:val="0"/>
          <w:dstrike w:val="0"/>
          <w:color w:val="000000" w:themeColor="text1"/>
          <w:sz w:val="24"/>
          <w:szCs w:val="24"/>
          <w:highlight w:val="none"/>
          <w:lang w:val="en-US" w:eastAsia="zh-CN"/>
          <w14:textFill>
            <w14:solidFill>
              <w14:schemeClr w14:val="tx1"/>
            </w14:solidFill>
          </w14:textFill>
        </w:rPr>
        <w:t>户</w:t>
      </w:r>
      <w:r>
        <w:rPr>
          <w:rFonts w:hint="eastAsia"/>
          <w:strike w:val="0"/>
          <w:dstrike w:val="0"/>
          <w:color w:val="000000" w:themeColor="text1"/>
          <w:sz w:val="24"/>
          <w:szCs w:val="24"/>
          <w:highlight w:val="none"/>
          <w:lang w:val="en-US" w:eastAsia="zh-CN"/>
          <w14:textFill>
            <w14:solidFill>
              <w14:schemeClr w14:val="tx1"/>
            </w14:solidFill>
          </w14:textFill>
        </w:rPr>
        <w:t>内和</w:t>
      </w:r>
      <w:r>
        <w:rPr>
          <w:rFonts w:hint="default"/>
          <w:strike w:val="0"/>
          <w:dstrike w:val="0"/>
          <w:color w:val="000000" w:themeColor="text1"/>
          <w:sz w:val="24"/>
          <w:szCs w:val="24"/>
          <w:highlight w:val="none"/>
          <w:lang w:val="en-US" w:eastAsia="zh-CN"/>
          <w14:textFill>
            <w14:solidFill>
              <w14:schemeClr w14:val="tx1"/>
            </w14:solidFill>
          </w14:textFill>
        </w:rPr>
        <w:t>户</w:t>
      </w:r>
      <w:r>
        <w:rPr>
          <w:rFonts w:hint="eastAsia"/>
          <w:strike w:val="0"/>
          <w:dstrike w:val="0"/>
          <w:color w:val="000000" w:themeColor="text1"/>
          <w:sz w:val="24"/>
          <w:szCs w:val="24"/>
          <w:highlight w:val="none"/>
          <w:lang w:val="en-US" w:eastAsia="zh-CN"/>
          <w14:textFill>
            <w14:solidFill>
              <w14:schemeClr w14:val="tx1"/>
            </w14:solidFill>
          </w14:textFill>
        </w:rPr>
        <w:t>外两种布置时，两种区域可共用照明箱，但不应共用照明回路。</w:t>
      </w:r>
    </w:p>
    <w:p w14:paraId="228905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爆炸危险环境内的照明分支回路，应同时切断相线及中性线。</w:t>
      </w:r>
    </w:p>
    <w:p w14:paraId="6F04DF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  防爆照明配电箱的照明分支回路不宜大于12回。</w:t>
      </w:r>
    </w:p>
    <w:p w14:paraId="03A5D2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i/>
          <w:iCs/>
          <w:color w:val="000000" w:themeColor="text1"/>
          <w:sz w:val="24"/>
          <w:szCs w:val="24"/>
          <w:highlight w:val="none"/>
          <w:lang w:val="en-US" w:eastAsia="zh-CN"/>
          <w14:textFill>
            <w14:solidFill>
              <w14:schemeClr w14:val="tx1"/>
            </w14:solidFill>
          </w14:textFill>
        </w:rPr>
      </w:pPr>
    </w:p>
    <w:p w14:paraId="0D13EF11">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7.2.7  消防疏散照明和疏散指示的配电箱、集中电源的选择和设计应符合现行国家标准的规定，在化工企业的典型场所，可按下列规定执行：</w:t>
      </w:r>
    </w:p>
    <w:p w14:paraId="3A5C5EF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在甲、乙、丙类火灾危险场所，其配电箱和电源箱可布置在建筑物内靠近安全出口的受内部火灾影响较小的位置，也可布置在建、构筑物外相对安全的位置，并采取遮阳等措施。</w:t>
      </w:r>
    </w:p>
    <w:p w14:paraId="795DBB3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多个相邻建、构筑物共用一个配电箱或集中电源时，配电箱或电源箱应设置于其中的变电所或配电室、消防控制内或户外的独立区域。</w:t>
      </w:r>
    </w:p>
    <w:p w14:paraId="60F2EE9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其配电箱和电源箱应满足安装环境的要求。</w:t>
      </w:r>
    </w:p>
    <w:p w14:paraId="7A6092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设置于甲、乙、丙类火灾危险场所或户外场所的集中电源箱的容量不宜大于1kW。</w:t>
      </w:r>
    </w:p>
    <w:p w14:paraId="05AF19C8">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7.2.8  道路照明应在每个路灯处设置单独的保护装置。</w:t>
      </w:r>
    </w:p>
    <w:p w14:paraId="58A491BE">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7.2.9  采用安全特低电压供电的照明回路应设置过负荷和短路保护。</w:t>
      </w:r>
    </w:p>
    <w:p w14:paraId="3385A81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7.2.10  低压交流供电电源的设计宜符合下列规定：</w:t>
      </w:r>
    </w:p>
    <w:p w14:paraId="588D09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化工企业备用照明和安全照明宜由EPS电源或其他应急电源段单路供电，供电设计无需考虑火灾影响。</w:t>
      </w:r>
    </w:p>
    <w:p w14:paraId="32FB31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化工企业消防疏散指示和疏散照明的配电箱、电源箱可由所在防火分区内的消防配电箱单路供电。所在防火分区内没有消防配电箱时，可由变电所单路供电或双路供电并应满足该场所消防负荷等级的要求。</w:t>
      </w:r>
    </w:p>
    <w:p w14:paraId="51797F6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本条1、2款以外的配电箱应由正常电源单路供电。</w:t>
      </w:r>
    </w:p>
    <w:p w14:paraId="4F995825">
      <w:pPr>
        <w:numPr>
          <w:ilvl w:val="0"/>
          <w:numId w:val="0"/>
        </w:numPr>
        <w:spacing w:line="360" w:lineRule="auto"/>
        <w:ind w:leftChars="0"/>
        <w:rPr>
          <w:rFonts w:hint="eastAsia"/>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7.2.11  照明配电箱、电源箱布置位置，不应影响疏散通道、疏散走道、疏散出口、室内疏散楼梯间等内的人员疏散。</w:t>
      </w:r>
    </w:p>
    <w:p w14:paraId="6AA3712E">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7.2.12  照明线缆的选择应符合下列规定：</w:t>
      </w:r>
    </w:p>
    <w:p w14:paraId="597869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导体截面应按线路计算电流选择，并按允许电压降、机械强度允许的最小导体截面进行校验，并应与保护设备相配合。</w:t>
      </w:r>
    </w:p>
    <w:p w14:paraId="1082BBB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导体在工作环境下的允许载流量，不应小于该回路熔断器熔体额定电流或断路器长延时过电流脱扣器的整定值。</w:t>
      </w:r>
    </w:p>
    <w:p w14:paraId="08322D7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中性线截面应满足不平衡电流及谐波电流的要求，且一般应与相线截面相同。</w:t>
      </w:r>
    </w:p>
    <w:p w14:paraId="0828798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非特低电压的系统，线路绝缘不应低于交流电压450V/750V。</w:t>
      </w:r>
    </w:p>
    <w:p w14:paraId="18CD29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特低电压的系统，线路绝缘不应低于交流电压300V/500V。</w:t>
      </w:r>
    </w:p>
    <w:p w14:paraId="1888930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  中性线的绝缘电压应与相线相同，并应与相线在同一护套或保护管内。</w:t>
      </w:r>
    </w:p>
    <w:p w14:paraId="7CA11F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除消防疏散照明和疏散指示应选择耐火线缆外，其余场合均宜选择阻燃电缆。</w:t>
      </w:r>
    </w:p>
    <w:p w14:paraId="2A49226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  爆炸危险场所应选用铜芯电缆。</w:t>
      </w:r>
    </w:p>
    <w:p w14:paraId="6536B51D">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7.2.13  化工装置区的照明线缆敷设应符合下列规定：</w:t>
      </w:r>
    </w:p>
    <w:p w14:paraId="7FFAEC5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爆炸危险区域内的线路敷设应符合现行国家标准《爆炸危险环境电力装置设计规范》GB 50058的有关规定。</w:t>
      </w:r>
    </w:p>
    <w:p w14:paraId="706BB5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化工装置区宜采用电缆布线方式。</w:t>
      </w:r>
    </w:p>
    <w:p w14:paraId="6A5F489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消防疏散指示和疏散照明电缆的敷设，应符合现行国家标准《消防应急照明和疏散指示系统技术标准》GB 51309的有关规定。</w:t>
      </w:r>
    </w:p>
    <w:p w14:paraId="18DE5BD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照明回路的配电箱、灯具、接线盒与穿线管、穿线桥架之间的非铠装电缆可以裸露，但裸露部分的长度应尽可能短。</w:t>
      </w:r>
    </w:p>
    <w:p w14:paraId="1DE7A5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当多个建筑物或防火分区共用消防疏散照明配电箱、集中电源时，配电箱至灯具的线路不应穿越其它建筑物或防火分区内部。</w:t>
      </w:r>
    </w:p>
    <w:p w14:paraId="1239088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7.2.14  照明的接地应符合下列规定：</w:t>
      </w:r>
    </w:p>
    <w:p w14:paraId="0B1BF1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除装设在爆炸性环境1区、20区、21区的灯具应采用电缆PE芯进行接地外，其余环境的正常照明灯具宜采用电缆PE芯进行接地，也可利用具有可靠电气连接的金属管线系统（金属保护管、线槽、桥架）作为接地线。</w:t>
      </w:r>
    </w:p>
    <w:p w14:paraId="3F40FF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采用特低电压供电的灯具，SELV系统不应接地，其余系统如需接地时可采用PE芯、屏蔽层或金属管线系统作为接地线。</w:t>
      </w:r>
    </w:p>
    <w:p w14:paraId="3F536E4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成排布置或相邻区域内的金属保护管宜依次跨接后从两端集中接地；采用金属套管或螺纹连接在一起的金属保护管应从一端接地，金属管之间不应另外跨接；跨接线、接地线宜与管内PE线同截面且不应超过6mm</w:t>
      </w:r>
      <w:r>
        <w:rPr>
          <w:rFonts w:hint="eastAsia"/>
          <w:color w:val="000000" w:themeColor="text1"/>
          <w:sz w:val="24"/>
          <w:szCs w:val="24"/>
          <w:highlight w:val="none"/>
          <w:vertAlign w:val="superscript"/>
          <w:lang w:val="en-US" w:eastAsia="zh-CN"/>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w:t>
      </w:r>
    </w:p>
    <w:p w14:paraId="10FEC3A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路灯的接地应符合下列规定：</w:t>
      </w:r>
    </w:p>
    <w:p w14:paraId="4AB42DCC">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1）当采用TN-S系统时，路灯接地应采用供电线路的PE线芯进行接地，利用路灯基础钢筋网作为重复接地，重复接地电阻值可不做要求。</w:t>
      </w:r>
    </w:p>
    <w:p w14:paraId="0A7D1670">
      <w:pPr>
        <w:keepNext w:val="0"/>
        <w:keepLines w:val="0"/>
        <w:pageBreakBefore w:val="0"/>
        <w:widowControl w:val="0"/>
        <w:kinsoku/>
        <w:wordWrap/>
        <w:overflowPunct/>
        <w:topLinePunct w:val="0"/>
        <w:autoSpaceDE/>
        <w:autoSpaceDN/>
        <w:bidi w:val="0"/>
        <w:adjustRightInd/>
        <w:snapToGrid/>
        <w:spacing w:line="360" w:lineRule="auto"/>
        <w:ind w:left="1050" w:leftChars="323" w:hanging="372" w:hangingChars="15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2）当采用TT系统时，路灯接地除利用基础钢筋网外，宜增设人工接地装置，接地电阻应符合现行国家标准《系统接地的形式及安全技术要求》GB 14050的有关规定。</w:t>
      </w:r>
    </w:p>
    <w:p w14:paraId="2BF3E5BD">
      <w:pPr>
        <w:pStyle w:val="2"/>
        <w:bidi w:val="0"/>
        <w:ind w:firstLine="0" w:firstLineChars="0"/>
        <w:jc w:val="center"/>
        <w:rPr>
          <w:rFonts w:hint="default"/>
          <w:color w:val="000000" w:themeColor="text1"/>
          <w:sz w:val="28"/>
          <w:szCs w:val="28"/>
          <w:highlight w:val="none"/>
          <w:lang w:val="en-US" w:eastAsia="zh-CN"/>
          <w14:textFill>
            <w14:solidFill>
              <w14:schemeClr w14:val="tx1"/>
            </w14:solidFill>
          </w14:textFill>
        </w:rPr>
      </w:pPr>
      <w:bookmarkStart w:id="18" w:name="_Toc12068"/>
      <w:r>
        <w:rPr>
          <w:rFonts w:hint="eastAsia"/>
          <w:color w:val="000000" w:themeColor="text1"/>
          <w:sz w:val="28"/>
          <w:szCs w:val="28"/>
          <w:highlight w:val="none"/>
          <w:lang w:val="en-US" w:eastAsia="zh-CN"/>
          <w14:textFill>
            <w14:solidFill>
              <w14:schemeClr w14:val="tx1"/>
            </w14:solidFill>
          </w14:textFill>
        </w:rPr>
        <w:t>7.3   照明控制</w:t>
      </w:r>
      <w:bookmarkEnd w:id="18"/>
    </w:p>
    <w:p w14:paraId="62C6B585">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7.3.1  照明控制方式宜符合下列原则：</w:t>
      </w:r>
    </w:p>
    <w:p w14:paraId="633CBF2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室内场所宜按建筑使用条件和天然采光状况采取分区、分组控制措施。</w:t>
      </w:r>
    </w:p>
    <w:p w14:paraId="7D0853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室外场所宜采取光控、时控或光控加时控等自动控制方式，并同时设置手动控制措施。</w:t>
      </w:r>
    </w:p>
    <w:p w14:paraId="09382311">
      <w:pPr>
        <w:numPr>
          <w:ilvl w:val="0"/>
          <w:numId w:val="0"/>
        </w:numPr>
        <w:spacing w:line="360" w:lineRule="auto"/>
        <w:ind w:leftChars="0"/>
        <w:rPr>
          <w:rFonts w:hint="eastAsia"/>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7.3.2  消防疏散照明和疏散指示火灾时的联动点亮范围宜为全厂。</w:t>
      </w:r>
    </w:p>
    <w:p w14:paraId="2BE8CF7E">
      <w:pPr>
        <w:numPr>
          <w:ilvl w:val="0"/>
          <w:numId w:val="0"/>
        </w:numPr>
        <w:spacing w:line="360" w:lineRule="auto"/>
        <w:ind w:leftChars="0"/>
        <w:rPr>
          <w:rFonts w:hint="eastAsia"/>
          <w:i/>
          <w:iCs/>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7.3.3  除消防疏散照明和疏散指示灯具外，当采用遥控方式时，应同时具有解除遥控功能和手动控制功能。</w:t>
      </w:r>
    </w:p>
    <w:p w14:paraId="61F89B7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7.3.4  当对全厂照明有智能化需求时，可设置智慧照明控制系统。智慧照明控制系统应符合现行国家标准《建筑照明设计标准》GB/T 50034、《智慧照明系统 通用要求》GB/T 39018的有关规定。</w:t>
      </w:r>
    </w:p>
    <w:p w14:paraId="533FD450">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br w:type="page"/>
      </w:r>
    </w:p>
    <w:p w14:paraId="4F352112">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19" w:name="_Toc16503"/>
      <w:r>
        <w:rPr>
          <w:rFonts w:hint="eastAsia"/>
          <w:color w:val="000000" w:themeColor="text1"/>
          <w:highlight w:val="none"/>
          <w:lang w:val="en-US" w:eastAsia="zh-CN"/>
          <w14:textFill>
            <w14:solidFill>
              <w14:schemeClr w14:val="tx1"/>
            </w14:solidFill>
          </w14:textFill>
        </w:rPr>
        <w:t>8   照明节能</w:t>
      </w:r>
      <w:bookmarkEnd w:id="19"/>
    </w:p>
    <w:p w14:paraId="41129414">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8.0.1  照明节能应采用一般照明的照明功率密度（LPD）作为评价指标。</w:t>
      </w:r>
    </w:p>
    <w:p w14:paraId="58ED686C">
      <w:pPr>
        <w:spacing w:after="0" w:line="360" w:lineRule="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8.0.2  化工企业选用的照明光源、灯具、镇流器或驱动电源，在国家</w:t>
      </w:r>
      <w:r>
        <w:rPr>
          <w:rFonts w:hint="eastAsia"/>
          <w:color w:val="000000" w:themeColor="text1"/>
          <w:sz w:val="24"/>
          <w:szCs w:val="24"/>
          <w:highlight w:val="none"/>
          <w:lang w:val="en-US" w:eastAsia="zh-CN"/>
          <w14:textFill>
            <w14:solidFill>
              <w14:schemeClr w14:val="tx1"/>
            </w14:solidFill>
          </w14:textFill>
        </w:rPr>
        <w:t>相关</w:t>
      </w:r>
      <w:r>
        <w:rPr>
          <w:rFonts w:hint="eastAsia"/>
          <w:color w:val="000000" w:themeColor="text1"/>
          <w:sz w:val="24"/>
          <w:szCs w:val="24"/>
          <w:highlight w:val="none"/>
          <w14:textFill>
            <w14:solidFill>
              <w14:schemeClr w14:val="tx1"/>
            </w14:solidFill>
          </w14:textFill>
        </w:rPr>
        <w:t>能效限定值或能效等级规定范围内的，能效水平不应低于相关能效标准的能效评价值或能效等级2级值。</w:t>
      </w:r>
    </w:p>
    <w:p w14:paraId="18E133A0">
      <w:pPr>
        <w:spacing w:after="0" w:line="360" w:lineRule="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8.0.3  化工企业非爆炸危险</w:t>
      </w:r>
      <w:r>
        <w:rPr>
          <w:rFonts w:hint="eastAsia"/>
          <w:color w:val="000000" w:themeColor="text1"/>
          <w:sz w:val="24"/>
          <w:szCs w:val="24"/>
          <w:highlight w:val="none"/>
          <w:lang w:val="en-US" w:eastAsia="zh-CN"/>
          <w14:textFill>
            <w14:solidFill>
              <w14:schemeClr w14:val="tx1"/>
            </w14:solidFill>
          </w14:textFill>
        </w:rPr>
        <w:t>环境</w:t>
      </w:r>
      <w:r>
        <w:rPr>
          <w:rFonts w:hint="eastAsia"/>
          <w:color w:val="000000" w:themeColor="text1"/>
          <w:sz w:val="24"/>
          <w:szCs w:val="24"/>
          <w:highlight w:val="none"/>
          <w14:textFill>
            <w14:solidFill>
              <w14:schemeClr w14:val="tx1"/>
            </w14:solidFill>
          </w14:textFill>
        </w:rPr>
        <w:t>通用</w:t>
      </w:r>
      <w:r>
        <w:rPr>
          <w:rFonts w:hint="eastAsia"/>
          <w:strike w:val="0"/>
          <w:dstrike w:val="0"/>
          <w:color w:val="000000" w:themeColor="text1"/>
          <w:sz w:val="24"/>
          <w:szCs w:val="24"/>
          <w:highlight w:val="none"/>
          <w14:textFill>
            <w14:solidFill>
              <w14:schemeClr w14:val="tx1"/>
            </w14:solidFill>
          </w14:textFill>
        </w:rPr>
        <w:t>房间或</w:t>
      </w:r>
      <w:r>
        <w:rPr>
          <w:rFonts w:hint="eastAsia"/>
          <w:color w:val="000000" w:themeColor="text1"/>
          <w:sz w:val="24"/>
          <w:szCs w:val="24"/>
          <w:highlight w:val="none"/>
          <w14:textFill>
            <w14:solidFill>
              <w14:schemeClr w14:val="tx1"/>
            </w14:solidFill>
          </w14:textFill>
        </w:rPr>
        <w:t>场所照明功率密度限值的现行值应符合现行国家标准《建筑节能与可再生能源利用通用规范》GB 55015的</w:t>
      </w:r>
      <w:r>
        <w:rPr>
          <w:rFonts w:hint="eastAsia"/>
          <w:color w:val="000000" w:themeColor="text1"/>
          <w:sz w:val="24"/>
          <w:szCs w:val="24"/>
          <w:highlight w:val="none"/>
          <w:lang w:val="en-US" w:eastAsia="zh-CN"/>
          <w14:textFill>
            <w14:solidFill>
              <w14:schemeClr w14:val="tx1"/>
            </w14:solidFill>
          </w14:textFill>
        </w:rPr>
        <w:t>有关</w:t>
      </w:r>
      <w:r>
        <w:rPr>
          <w:rFonts w:hint="eastAsia"/>
          <w:color w:val="000000" w:themeColor="text1"/>
          <w:sz w:val="24"/>
          <w:szCs w:val="24"/>
          <w:highlight w:val="none"/>
          <w14:textFill>
            <w14:solidFill>
              <w14:schemeClr w14:val="tx1"/>
            </w14:solidFill>
          </w14:textFill>
        </w:rPr>
        <w:t>规定，目标值应符合现行国家标准《建筑照明设计标准》GB/T 50034的</w:t>
      </w:r>
      <w:r>
        <w:rPr>
          <w:rFonts w:hint="eastAsia"/>
          <w:color w:val="000000" w:themeColor="text1"/>
          <w:sz w:val="24"/>
          <w:szCs w:val="24"/>
          <w:highlight w:val="none"/>
          <w:lang w:val="en-US" w:eastAsia="zh-CN"/>
          <w14:textFill>
            <w14:solidFill>
              <w14:schemeClr w14:val="tx1"/>
            </w14:solidFill>
          </w14:textFill>
        </w:rPr>
        <w:t>有关</w:t>
      </w:r>
      <w:r>
        <w:rPr>
          <w:rFonts w:hint="eastAsia"/>
          <w:color w:val="000000" w:themeColor="text1"/>
          <w:sz w:val="24"/>
          <w:szCs w:val="24"/>
          <w:highlight w:val="none"/>
          <w14:textFill>
            <w14:solidFill>
              <w14:schemeClr w14:val="tx1"/>
            </w14:solidFill>
          </w14:textFill>
        </w:rPr>
        <w:t>规定。</w:t>
      </w:r>
    </w:p>
    <w:p w14:paraId="08F6EABA">
      <w:pPr>
        <w:spacing w:after="0" w:line="360" w:lineRule="auto"/>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8.0.4  一般照明在满足照度标准值条件下，宜减少照明灯具数量。</w:t>
      </w:r>
    </w:p>
    <w:p w14:paraId="681DCBF5">
      <w:pPr>
        <w:spacing w:after="0" w:line="360" w:lineRule="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8.0.5  化工企业厂前区路灯、景观灯等照明</w:t>
      </w:r>
      <w:r>
        <w:rPr>
          <w:rFonts w:hint="eastAsia"/>
          <w:color w:val="000000" w:themeColor="text1"/>
          <w:sz w:val="24"/>
          <w:szCs w:val="24"/>
          <w:highlight w:val="none"/>
          <w:lang w:val="en-US" w:eastAsia="zh-CN"/>
          <w14:textFill>
            <w14:solidFill>
              <w14:schemeClr w14:val="tx1"/>
            </w14:solidFill>
          </w14:textFill>
        </w:rPr>
        <w:t>可</w:t>
      </w:r>
      <w:r>
        <w:rPr>
          <w:rFonts w:hint="eastAsia"/>
          <w:color w:val="000000" w:themeColor="text1"/>
          <w:sz w:val="24"/>
          <w:szCs w:val="24"/>
          <w:highlight w:val="none"/>
          <w14:textFill>
            <w14:solidFill>
              <w14:schemeClr w14:val="tx1"/>
            </w14:solidFill>
          </w14:textFill>
        </w:rPr>
        <w:t>采用太阳能作为照明能源。</w:t>
      </w:r>
    </w:p>
    <w:p w14:paraId="52F49D6A">
      <w:pPr>
        <w:spacing w:after="0" w:line="360" w:lineRule="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8.0.6  照明系统可采用集中控制、分区或分组控制方式</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室外照明可采用光控、时控或光控加时控的方式</w:t>
      </w:r>
      <w:r>
        <w:rPr>
          <w:rFonts w:hint="eastAsia"/>
          <w:color w:val="000000" w:themeColor="text1"/>
          <w:sz w:val="24"/>
          <w:szCs w:val="24"/>
          <w:highlight w:val="none"/>
          <w14:textFill>
            <w14:solidFill>
              <w14:schemeClr w14:val="tx1"/>
            </w14:solidFill>
          </w14:textFill>
        </w:rPr>
        <w:t>。</w:t>
      </w:r>
    </w:p>
    <w:p w14:paraId="1E1CED4B">
      <w:pPr>
        <w:spacing w:after="0" w:line="360" w:lineRule="auto"/>
        <w:rPr>
          <w:color w:val="000000" w:themeColor="text1"/>
          <w:sz w:val="28"/>
          <w:szCs w:val="28"/>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 xml:space="preserve">8.0.7  </w:t>
      </w:r>
      <w:bookmarkStart w:id="20" w:name="OLE_LINK1"/>
      <w:r>
        <w:rPr>
          <w:rFonts w:hint="eastAsia"/>
          <w:color w:val="000000" w:themeColor="text1"/>
          <w:sz w:val="24"/>
          <w:szCs w:val="24"/>
          <w:highlight w:val="none"/>
          <w14:textFill>
            <w14:solidFill>
              <w14:schemeClr w14:val="tx1"/>
            </w14:solidFill>
          </w14:textFill>
        </w:rPr>
        <w:t>应建立切实有效的维护和管理机制，定期清洁、更换照明光源及灯具。</w:t>
      </w:r>
    </w:p>
    <w:bookmarkEnd w:id="20"/>
    <w:p w14:paraId="6C1C06C6">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08C25ED6">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21" w:name="_Toc29013"/>
      <w:r>
        <w:rPr>
          <w:rFonts w:hint="eastAsia"/>
          <w:color w:val="000000" w:themeColor="text1"/>
          <w:highlight w:val="none"/>
          <w:lang w:val="en-US" w:eastAsia="zh-CN"/>
          <w14:textFill>
            <w14:solidFill>
              <w14:schemeClr w14:val="tx1"/>
            </w14:solidFill>
          </w14:textFill>
        </w:rPr>
        <w:t>本规范用词说明</w:t>
      </w:r>
      <w:bookmarkEnd w:id="21"/>
    </w:p>
    <w:p w14:paraId="5B15A81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为便于在执行本标准条文时区别对待，对要求严格程度不同的用词说明如下：</w:t>
      </w:r>
    </w:p>
    <w:p w14:paraId="0E5DEC10">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720" w:firstLineChars="3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表示很严格，非这样做不可的：</w:t>
      </w:r>
    </w:p>
    <w:p w14:paraId="13F95A3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正面词采用“必须”，反面词采用“严禁”；</w:t>
      </w:r>
    </w:p>
    <w:p w14:paraId="6F15E803">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720" w:firstLineChars="3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表示严格，在正常情况下均应这样做的：</w:t>
      </w:r>
    </w:p>
    <w:p w14:paraId="7E7E0F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1200" w:firstLineChars="5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正面词采用“应”，反面词采用“不应”或“不得”；</w:t>
      </w:r>
    </w:p>
    <w:p w14:paraId="298B0D8D">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720" w:firstLineChars="3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表示允许稍有选择，在条件许可时首先应这样做的：</w:t>
      </w:r>
    </w:p>
    <w:p w14:paraId="08FEFB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1200" w:firstLineChars="5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正面词采用“宜”，反面词采用“不宜”；</w:t>
      </w:r>
    </w:p>
    <w:p w14:paraId="1E1B6A10">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720" w:firstLineChars="3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表示有选择，在一定条件下可以这样做的，采用“可”。</w:t>
      </w:r>
    </w:p>
    <w:p w14:paraId="2093D39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条文中指明应按其他有关标准执行的写法为“应符合……的规定”或“应按......执行”。</w:t>
      </w:r>
    </w:p>
    <w:p w14:paraId="2EAF2D39">
      <w:pPr>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br w:type="page"/>
      </w:r>
    </w:p>
    <w:p w14:paraId="71828FE1">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default"/>
          <w:color w:val="000000" w:themeColor="text1"/>
          <w:highlight w:val="none"/>
          <w:lang w:val="en-US" w:eastAsia="zh-CN"/>
          <w14:textFill>
            <w14:solidFill>
              <w14:schemeClr w14:val="tx1"/>
            </w14:solidFill>
          </w14:textFill>
        </w:rPr>
      </w:pPr>
      <w:bookmarkStart w:id="22" w:name="_Toc9451"/>
      <w:r>
        <w:rPr>
          <w:rFonts w:hint="eastAsia"/>
          <w:color w:val="000000" w:themeColor="text1"/>
          <w:highlight w:val="none"/>
          <w:lang w:val="en-US" w:eastAsia="zh-CN"/>
          <w14:textFill>
            <w14:solidFill>
              <w14:schemeClr w14:val="tx1"/>
            </w14:solidFill>
          </w14:textFill>
        </w:rPr>
        <w:t>引用标准目录</w:t>
      </w:r>
      <w:bookmarkEnd w:id="22"/>
    </w:p>
    <w:p w14:paraId="3C1D88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《建筑设计防火规范》GB 50016</w:t>
      </w:r>
    </w:p>
    <w:p w14:paraId="308DEE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《消防应急照明和疏散指示系统技术标准》GB 51309</w:t>
      </w:r>
    </w:p>
    <w:p w14:paraId="14D72A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《建筑节能与可再生能源、利用通用规范》GB 55015</w:t>
      </w:r>
    </w:p>
    <w:p w14:paraId="49553CA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《建筑环境通用规范》GB 55016</w:t>
      </w:r>
    </w:p>
    <w:p w14:paraId="78A2B05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《建筑防火通用规范》GB 55037</w:t>
      </w:r>
    </w:p>
    <w:p w14:paraId="4AF464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  《建筑照明设计标准》GB/T 50034</w:t>
      </w:r>
    </w:p>
    <w:p w14:paraId="3A433B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0" w:firstLineChars="0"/>
        <w:jc w:val="left"/>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w:t>
      </w:r>
      <w:r>
        <w:rPr>
          <w:rFonts w:hint="default"/>
          <w:color w:val="000000" w:themeColor="text1"/>
          <w:sz w:val="24"/>
          <w:szCs w:val="24"/>
          <w:highlight w:val="none"/>
          <w:lang w:val="en-US" w:eastAsia="zh-CN"/>
          <w14:textFill>
            <w14:solidFill>
              <w14:schemeClr w14:val="tx1"/>
            </w14:solidFill>
          </w14:textFill>
        </w:rPr>
        <w:t>电磁兼容 限值</w:t>
      </w:r>
      <w:r>
        <w:rPr>
          <w:rFonts w:hint="eastAsia"/>
          <w:color w:val="000000" w:themeColor="text1"/>
          <w:sz w:val="24"/>
          <w:szCs w:val="24"/>
          <w:highlight w:val="none"/>
          <w:lang w:val="en-US" w:eastAsia="zh-CN"/>
          <w14:textFill>
            <w14:solidFill>
              <w14:schemeClr w14:val="tx1"/>
            </w14:solidFill>
          </w14:textFill>
        </w:rPr>
        <w:t xml:space="preserve"> </w:t>
      </w:r>
      <w:r>
        <w:rPr>
          <w:rFonts w:hint="default"/>
          <w:color w:val="000000" w:themeColor="text1"/>
          <w:sz w:val="24"/>
          <w:szCs w:val="24"/>
          <w:highlight w:val="none"/>
          <w:lang w:val="en-US" w:eastAsia="zh-CN"/>
          <w14:textFill>
            <w14:solidFill>
              <w14:schemeClr w14:val="tx1"/>
            </w14:solidFill>
          </w14:textFill>
        </w:rPr>
        <w:t>第</w:t>
      </w:r>
      <w:r>
        <w:rPr>
          <w:rFonts w:hint="eastAsia"/>
          <w:color w:val="000000" w:themeColor="text1"/>
          <w:sz w:val="24"/>
          <w:szCs w:val="24"/>
          <w:highlight w:val="none"/>
          <w:lang w:val="en-US" w:eastAsia="zh-CN"/>
          <w14:textFill>
            <w14:solidFill>
              <w14:schemeClr w14:val="tx1"/>
            </w14:solidFill>
          </w14:textFill>
        </w:rPr>
        <w:t>1</w:t>
      </w:r>
      <w:r>
        <w:rPr>
          <w:rFonts w:hint="default"/>
          <w:color w:val="000000" w:themeColor="text1"/>
          <w:sz w:val="24"/>
          <w:szCs w:val="24"/>
          <w:highlight w:val="none"/>
          <w:lang w:val="en-US" w:eastAsia="zh-CN"/>
          <w14:textFill>
            <w14:solidFill>
              <w14:schemeClr w14:val="tx1"/>
            </w14:solidFill>
          </w14:textFill>
        </w:rPr>
        <w:t>部分</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谐波电流发射限值</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设备每相输入电流</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16A</w:t>
      </w:r>
      <w:r>
        <w:rPr>
          <w:rFonts w:hint="eastAsia"/>
          <w:color w:val="000000" w:themeColor="text1"/>
          <w:sz w:val="24"/>
          <w:szCs w:val="24"/>
          <w:highlight w:val="none"/>
          <w:lang w:val="en-US" w:eastAsia="zh-CN"/>
          <w14:textFill>
            <w14:solidFill>
              <w14:schemeClr w14:val="tx1"/>
            </w14:solidFill>
          </w14:textFill>
        </w:rPr>
        <w:t>）》</w:t>
      </w:r>
      <w:r>
        <w:rPr>
          <w:rFonts w:hint="default"/>
          <w:color w:val="000000" w:themeColor="text1"/>
          <w:sz w:val="24"/>
          <w:szCs w:val="24"/>
          <w:highlight w:val="none"/>
          <w:lang w:val="en-US" w:eastAsia="zh-CN"/>
          <w14:textFill>
            <w14:solidFill>
              <w14:schemeClr w14:val="tx1"/>
            </w14:solidFill>
          </w14:textFill>
        </w:rPr>
        <w:t>GB 17625</w:t>
      </w:r>
      <w:r>
        <w:rPr>
          <w:rFonts w:hint="eastAsia"/>
          <w:color w:val="000000" w:themeColor="text1"/>
          <w:sz w:val="24"/>
          <w:szCs w:val="24"/>
          <w:highlight w:val="none"/>
          <w:lang w:val="en-US" w:eastAsia="zh-CN"/>
          <w14:textFill>
            <w14:solidFill>
              <w14:schemeClr w14:val="tx1"/>
            </w14:solidFill>
          </w14:textFill>
        </w:rPr>
        <w:t>.1</w:t>
      </w:r>
    </w:p>
    <w:p w14:paraId="4786810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0" w:firstLineChars="0"/>
        <w:jc w:val="left"/>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8  《低压电气装置 </w:t>
      </w:r>
      <w:r>
        <w:rPr>
          <w:rFonts w:hint="default"/>
          <w:color w:val="000000" w:themeColor="text1"/>
          <w:sz w:val="24"/>
          <w:szCs w:val="24"/>
          <w:highlight w:val="none"/>
          <w:lang w:val="en-US" w:eastAsia="zh-CN"/>
          <w14:textFill>
            <w14:solidFill>
              <w14:schemeClr w14:val="tx1"/>
            </w14:solidFill>
          </w14:textFill>
        </w:rPr>
        <w:t>第</w:t>
      </w:r>
      <w:r>
        <w:rPr>
          <w:rFonts w:hint="eastAsia"/>
          <w:color w:val="000000" w:themeColor="text1"/>
          <w:sz w:val="24"/>
          <w:szCs w:val="24"/>
          <w:highlight w:val="none"/>
          <w:lang w:val="en-US" w:eastAsia="zh-CN"/>
          <w14:textFill>
            <w14:solidFill>
              <w14:schemeClr w14:val="tx1"/>
            </w14:solidFill>
          </w14:textFill>
        </w:rPr>
        <w:t>4-41</w:t>
      </w:r>
      <w:r>
        <w:rPr>
          <w:rFonts w:hint="default"/>
          <w:color w:val="000000" w:themeColor="text1"/>
          <w:sz w:val="24"/>
          <w:szCs w:val="24"/>
          <w:highlight w:val="none"/>
          <w:lang w:val="en-US" w:eastAsia="zh-CN"/>
          <w14:textFill>
            <w14:solidFill>
              <w14:schemeClr w14:val="tx1"/>
            </w14:solidFill>
          </w14:textFill>
        </w:rPr>
        <w:t>部分</w:t>
      </w:r>
      <w:r>
        <w:rPr>
          <w:rFonts w:hint="eastAsia"/>
          <w:color w:val="000000" w:themeColor="text1"/>
          <w:sz w:val="24"/>
          <w:szCs w:val="24"/>
          <w:highlight w:val="none"/>
          <w:lang w:val="en-US" w:eastAsia="zh-CN"/>
          <w14:textFill>
            <w14:solidFill>
              <w14:schemeClr w14:val="tx1"/>
            </w14:solidFill>
          </w14:textFill>
        </w:rPr>
        <w:t>：安全防护 电击防护》</w:t>
      </w:r>
      <w:r>
        <w:rPr>
          <w:rFonts w:hint="default"/>
          <w:color w:val="000000" w:themeColor="text1"/>
          <w:sz w:val="24"/>
          <w:szCs w:val="24"/>
          <w:highlight w:val="none"/>
          <w:lang w:val="en-US" w:eastAsia="zh-CN"/>
          <w14:textFill>
            <w14:solidFill>
              <w14:schemeClr w14:val="tx1"/>
            </w14:solidFill>
          </w14:textFill>
        </w:rPr>
        <w:t xml:space="preserve"> GB</w:t>
      </w:r>
      <w:r>
        <w:rPr>
          <w:rFonts w:hint="eastAsia"/>
          <w:color w:val="000000" w:themeColor="text1"/>
          <w:sz w:val="24"/>
          <w:szCs w:val="24"/>
          <w:highlight w:val="none"/>
          <w:lang w:val="en-US" w:eastAsia="zh-CN"/>
          <w14:textFill>
            <w14:solidFill>
              <w14:schemeClr w14:val="tx1"/>
            </w14:solidFill>
          </w14:textFill>
        </w:rPr>
        <w:t>/T</w:t>
      </w:r>
      <w:r>
        <w:rPr>
          <w:rFonts w:hint="default"/>
          <w:color w:val="000000" w:themeColor="text1"/>
          <w:sz w:val="24"/>
          <w:szCs w:val="24"/>
          <w:highlight w:val="none"/>
          <w:lang w:val="en-US" w:eastAsia="zh-CN"/>
          <w14:textFill>
            <w14:solidFill>
              <w14:schemeClr w14:val="tx1"/>
            </w14:solidFill>
          </w14:textFill>
        </w:rPr>
        <w:t xml:space="preserve"> 1</w:t>
      </w:r>
      <w:r>
        <w:rPr>
          <w:rFonts w:hint="eastAsia"/>
          <w:color w:val="000000" w:themeColor="text1"/>
          <w:sz w:val="24"/>
          <w:szCs w:val="24"/>
          <w:highlight w:val="none"/>
          <w:lang w:val="en-US" w:eastAsia="zh-CN"/>
          <w14:textFill>
            <w14:solidFill>
              <w14:schemeClr w14:val="tx1"/>
            </w14:solidFill>
          </w14:textFill>
        </w:rPr>
        <w:t>6895</w:t>
      </w:r>
      <w:r>
        <w:rPr>
          <w:rFonts w:hint="default"/>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lang w:val="en-US" w:eastAsia="zh-CN"/>
          <w14:textFill>
            <w14:solidFill>
              <w14:schemeClr w14:val="tx1"/>
            </w14:solidFill>
          </w14:textFill>
        </w:rPr>
        <w:t>1</w:t>
      </w:r>
    </w:p>
    <w:p w14:paraId="14A94944">
      <w:pPr>
        <w:widowControl/>
        <w:numPr>
          <w:ilvl w:val="0"/>
          <w:numId w:val="0"/>
        </w:numPr>
        <w:ind w:firstLine="0" w:firstLineChars="0"/>
        <w:rPr>
          <w:rFonts w:hint="eastAsia" w:ascii="仿宋_GB2312" w:eastAsia="仿宋_GB2312"/>
          <w:b/>
          <w:bCs/>
          <w:color w:val="000000" w:themeColor="text1"/>
          <w:sz w:val="32"/>
          <w:szCs w:val="32"/>
          <w:highlight w:val="none"/>
          <w:lang w:val="en-US" w:eastAsia="zh-CN"/>
          <w14:textFill>
            <w14:solidFill>
              <w14:schemeClr w14:val="tx1"/>
            </w14:solidFill>
          </w14:textFill>
        </w:rPr>
      </w:pPr>
      <w:r>
        <w:rPr>
          <w:rFonts w:hint="default"/>
          <w:color w:val="000000" w:themeColor="text1"/>
          <w:sz w:val="28"/>
          <w:szCs w:val="28"/>
          <w:highlight w:val="none"/>
          <w:lang w:val="en-US" w:eastAsia="zh-CN"/>
          <w14:textFill>
            <w14:solidFill>
              <w14:schemeClr w14:val="tx1"/>
            </w14:solidFill>
          </w14:textFill>
        </w:rPr>
        <w:br w:type="page"/>
      </w:r>
      <w:bookmarkStart w:id="23" w:name="SectionMark0"/>
    </w:p>
    <w:p w14:paraId="0DACB6F4">
      <w:pPr>
        <w:pageBreakBefore/>
        <w:autoSpaceDE w:val="0"/>
        <w:autoSpaceDN w:val="0"/>
        <w:spacing w:before="625" w:beforeLines="200" w:after="625" w:afterLines="200" w:line="360" w:lineRule="auto"/>
        <w:ind w:firstLine="0" w:firstLineChars="0"/>
        <w:jc w:val="center"/>
        <w:textAlignment w:val="bottom"/>
        <w:rPr>
          <w:rFonts w:hint="eastAsia" w:ascii="宋体" w:hAnsi="宋体" w:eastAsia="宋体" w:cs="宋体"/>
          <w:color w:val="000000" w:themeColor="text1"/>
          <w:sz w:val="40"/>
          <w:szCs w:val="40"/>
          <w:highlight w:val="none"/>
          <w:lang w:val="en-US" w:eastAsia="zh-CN"/>
          <w14:textFill>
            <w14:solidFill>
              <w14:schemeClr w14:val="tx1"/>
            </w14:solidFill>
          </w14:textFill>
        </w:rPr>
      </w:pPr>
      <w:r>
        <w:rPr>
          <w:rFonts w:hint="eastAsia" w:ascii="宋体" w:hAnsi="宋体" w:eastAsia="宋体" w:cs="宋体"/>
          <w:b w:val="0"/>
          <w:bCs w:val="0"/>
          <w:color w:val="000000" w:themeColor="text1"/>
          <w:sz w:val="40"/>
          <w:szCs w:val="40"/>
          <w:highlight w:val="none"/>
          <w:lang w:val="en-US" w:eastAsia="zh-CN"/>
          <w14:textFill>
            <w14:solidFill>
              <w14:schemeClr w14:val="tx1"/>
            </w14:solidFill>
          </w14:textFill>
        </w:rPr>
        <w:t>中华人民共和国化工行业标准</w:t>
      </w:r>
    </w:p>
    <w:bookmarkEnd w:id="23"/>
    <w:p w14:paraId="06A5F3C2">
      <w:pPr>
        <w:spacing w:before="156" w:beforeLines="50" w:after="156" w:afterLines="50" w:line="360" w:lineRule="auto"/>
        <w:ind w:firstLine="0" w:firstLineChars="0"/>
        <w:jc w:val="center"/>
        <w:rPr>
          <w:rFonts w:hint="eastAsia" w:ascii="黑体" w:hAnsi="Times New Roman" w:eastAsia="黑体" w:cs="Times New Roman"/>
          <w:color w:val="000000" w:themeColor="text1"/>
          <w:spacing w:val="100"/>
          <w:kern w:val="0"/>
          <w:sz w:val="52"/>
          <w:szCs w:val="52"/>
          <w:highlight w:val="none"/>
          <w:lang w:val="en-US" w:eastAsia="zh-CN"/>
          <w14:textFill>
            <w14:solidFill>
              <w14:schemeClr w14:val="tx1"/>
            </w14:solidFill>
          </w14:textFill>
        </w:rPr>
      </w:pPr>
      <w:r>
        <w:rPr>
          <w:rFonts w:hint="eastAsia" w:ascii="黑体" w:hAnsi="Times New Roman" w:eastAsia="黑体" w:cs="Times New Roman"/>
          <w:color w:val="000000" w:themeColor="text1"/>
          <w:spacing w:val="100"/>
          <w:kern w:val="0"/>
          <w:sz w:val="52"/>
          <w:szCs w:val="52"/>
          <w:highlight w:val="none"/>
          <w:lang w:val="en-US" w:eastAsia="zh-CN"/>
          <w14:textFill>
            <w14:solidFill>
              <w14:schemeClr w14:val="tx1"/>
            </w14:solidFill>
          </w14:textFill>
        </w:rPr>
        <w:t>化工企业照明设计规范</w:t>
      </w:r>
    </w:p>
    <w:p w14:paraId="2355E28C">
      <w:pPr>
        <w:spacing w:before="156" w:beforeLines="50" w:after="156" w:afterLines="50" w:line="360" w:lineRule="auto"/>
        <w:ind w:firstLine="0" w:firstLineChars="0"/>
        <w:jc w:val="center"/>
        <w:rPr>
          <w:rFonts w:hint="eastAsia" w:ascii="黑体" w:hAnsi="Times New Roman" w:eastAsia="黑体" w:cs="Times New Roman"/>
          <w:color w:val="000000" w:themeColor="text1"/>
          <w:spacing w:val="100"/>
          <w:kern w:val="0"/>
          <w:sz w:val="52"/>
          <w:szCs w:val="52"/>
          <w:highlight w:val="none"/>
          <w:lang w:val="en-US" w:eastAsia="zh-CN"/>
          <w14:textFill>
            <w14:solidFill>
              <w14:schemeClr w14:val="tx1"/>
            </w14:solidFill>
          </w14:textFill>
        </w:rPr>
      </w:pPr>
    </w:p>
    <w:p w14:paraId="521DD1F2">
      <w:pPr>
        <w:pStyle w:val="54"/>
        <w:spacing w:before="0"/>
        <w:ind w:firstLine="0" w:firstLineChars="0"/>
        <w:jc w:val="center"/>
        <w:rPr>
          <w:rFonts w:hint="eastAsia" w:ascii="Times New Roman" w:hAnsi="Times New Roman" w:eastAsia="宋体" w:cs="Times New Roman"/>
          <w:color w:val="000000" w:themeColor="text1"/>
          <w:sz w:val="32"/>
          <w:szCs w:val="32"/>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32"/>
          <w:szCs w:val="32"/>
          <w:highlight w:val="none"/>
          <w:lang w:val="en-US" w:eastAsia="zh-CN"/>
          <w14:textFill>
            <w14:solidFill>
              <w14:schemeClr w14:val="tx1"/>
            </w14:solidFill>
          </w14:textFill>
        </w:rPr>
        <w:t>HG/T</w:t>
      </w:r>
      <w:r>
        <w:rPr>
          <w:rFonts w:hint="eastAsia" w:cs="Times New Roman"/>
          <w:color w:val="000000" w:themeColor="text1"/>
          <w:sz w:val="32"/>
          <w:szCs w:val="32"/>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32"/>
          <w:highlight w:val="none"/>
          <w:lang w:val="en-US" w:eastAsia="zh-CN"/>
          <w14:textFill>
            <w14:solidFill>
              <w14:schemeClr w14:val="tx1"/>
            </w14:solidFill>
          </w14:textFill>
        </w:rPr>
        <w:t>20586-2025</w:t>
      </w:r>
    </w:p>
    <w:p w14:paraId="4B02A252">
      <w:pPr>
        <w:spacing w:line="360" w:lineRule="auto"/>
        <w:ind w:firstLine="0" w:firstLineChars="0"/>
        <w:jc w:val="center"/>
        <w:rPr>
          <w:rFonts w:hint="eastAsia" w:ascii="宋体" w:hAnsi="宋体" w:eastAsia="宋体" w:cs="宋体"/>
          <w:color w:val="000000" w:themeColor="text1"/>
          <w:kern w:val="0"/>
          <w:sz w:val="28"/>
          <w:szCs w:val="28"/>
          <w:highlight w:val="none"/>
          <w:lang w:val="en-US" w:eastAsia="zh-CN"/>
          <w14:textFill>
            <w14:solidFill>
              <w14:schemeClr w14:val="tx1"/>
            </w14:solidFill>
          </w14:textFill>
        </w:rPr>
      </w:pPr>
    </w:p>
    <w:p w14:paraId="52D6965C">
      <w:pPr>
        <w:spacing w:line="360" w:lineRule="auto"/>
        <w:ind w:firstLine="0" w:firstLineChars="0"/>
        <w:jc w:val="center"/>
        <w:rPr>
          <w:rFonts w:hint="eastAsia" w:ascii="宋体" w:hAnsi="宋体" w:eastAsia="宋体" w:cs="宋体"/>
          <w:color w:val="000000" w:themeColor="text1"/>
          <w:kern w:val="0"/>
          <w:sz w:val="28"/>
          <w:szCs w:val="28"/>
          <w:highlight w:val="none"/>
          <w:lang w:val="en-US" w:eastAsia="zh-CN"/>
          <w14:textFill>
            <w14:solidFill>
              <w14:schemeClr w14:val="tx1"/>
            </w14:solidFill>
          </w14:textFill>
        </w:rPr>
      </w:pPr>
    </w:p>
    <w:p w14:paraId="10ACE2A1">
      <w:pPr>
        <w:keepNext w:val="0"/>
        <w:keepLines w:val="0"/>
        <w:pageBreakBefore w:val="0"/>
        <w:widowControl w:val="0"/>
        <w:kinsoku/>
        <w:wordWrap/>
        <w:overflowPunct/>
        <w:topLinePunct w:val="0"/>
        <w:autoSpaceDE/>
        <w:autoSpaceDN/>
        <w:bidi w:val="0"/>
        <w:adjustRightInd/>
        <w:snapToGrid/>
        <w:spacing w:before="0" w:beforeLines="0" w:after="625" w:afterLines="200" w:line="360" w:lineRule="auto"/>
        <w:ind w:firstLine="0" w:firstLineChars="0"/>
        <w:jc w:val="center"/>
        <w:textAlignment w:val="auto"/>
        <w:rPr>
          <w:color w:val="000000" w:themeColor="text1"/>
          <w:sz w:val="28"/>
          <w:szCs w:val="28"/>
          <w:highlight w:val="none"/>
          <w14:textFill>
            <w14:solidFill>
              <w14:schemeClr w14:val="tx1"/>
            </w14:solidFill>
          </w14:textFill>
        </w:rPr>
      </w:pPr>
      <w:r>
        <w:rPr>
          <w:rFonts w:hint="eastAsia" w:ascii="宋体" w:hAnsi="宋体" w:eastAsia="宋体" w:cs="宋体"/>
          <w:color w:val="000000" w:themeColor="text1"/>
          <w:kern w:val="0"/>
          <w:sz w:val="36"/>
          <w:szCs w:val="36"/>
          <w:highlight w:val="none"/>
          <w:lang w:val="en-US" w:eastAsia="zh-CN"/>
          <w14:textFill>
            <w14:solidFill>
              <w14:schemeClr w14:val="tx1"/>
            </w14:solidFill>
          </w14:textFill>
        </w:rPr>
        <w:t>条文说明</w:t>
      </w:r>
      <w:r>
        <w:rPr>
          <w:color w:val="000000" w:themeColor="text1"/>
          <w:sz w:val="28"/>
          <w:szCs w:val="28"/>
          <w:highlight w:val="none"/>
          <w14:textFill>
            <w14:solidFill>
              <w14:schemeClr w14:val="tx1"/>
            </w14:solidFill>
          </w14:textFill>
        </w:rPr>
        <w:br w:type="page"/>
      </w:r>
      <w:bookmarkStart w:id="24" w:name="_Toc9043"/>
    </w:p>
    <w:p w14:paraId="380C1006">
      <w:pPr>
        <w:keepNext w:val="0"/>
        <w:keepLines w:val="0"/>
        <w:pageBreakBefore w:val="0"/>
        <w:spacing w:before="625" w:beforeLines="200" w:after="625" w:afterLines="200" w:line="240" w:lineRule="auto"/>
        <w:jc w:val="center"/>
        <w:rPr>
          <w:rFonts w:hint="eastAsia" w:ascii="黑体" w:hAnsi="黑体" w:eastAsia="黑体" w:cs="黑体"/>
          <w:b w:val="0"/>
          <w:bCs/>
          <w:color w:val="000000" w:themeColor="text1"/>
          <w:sz w:val="32"/>
          <w:szCs w:val="24"/>
          <w:highlight w:val="none"/>
          <w:lang w:val="en-US" w:eastAsia="zh-CN"/>
          <w14:textFill>
            <w14:solidFill>
              <w14:schemeClr w14:val="tx1"/>
            </w14:solidFill>
          </w14:textFill>
        </w:rPr>
      </w:pPr>
      <w:r>
        <w:rPr>
          <w:rFonts w:hint="eastAsia" w:ascii="黑体" w:hAnsi="黑体" w:eastAsia="黑体" w:cs="黑体"/>
          <w:b w:val="0"/>
          <w:bCs w:val="0"/>
          <w:color w:val="000000" w:themeColor="text1"/>
          <w:kern w:val="2"/>
          <w:sz w:val="32"/>
          <w:szCs w:val="40"/>
          <w:highlight w:val="none"/>
          <w:lang w:val="en-US" w:eastAsia="zh-CN" w:bidi="ar-SA"/>
          <w14:textFill>
            <w14:solidFill>
              <w14:schemeClr w14:val="tx1"/>
            </w14:solidFill>
          </w14:textFill>
        </w:rPr>
        <w:t>修 订 说 明</w:t>
      </w:r>
      <w:bookmarkEnd w:id="24"/>
    </w:p>
    <w:p w14:paraId="4CB497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《化工企业照明设计规范》</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HG/T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20586-202</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x</w:t>
      </w:r>
      <w:r>
        <w:rPr>
          <w:rFonts w:hint="eastAsia" w:ascii="宋体" w:hAnsi="宋体" w:cs="宋体"/>
          <w:color w:val="000000" w:themeColor="text1"/>
          <w:sz w:val="24"/>
          <w:szCs w:val="24"/>
          <w:highlight w:val="none"/>
          <w:lang w:val="en-US" w:eastAsia="zh-CN"/>
          <w14:textFill>
            <w14:solidFill>
              <w14:schemeClr w14:val="tx1"/>
            </w14:solidFill>
          </w14:textFill>
        </w:rPr>
        <w:t>，经工业和信息化部xx年xx月xx日以第xxxx号公告批准发布。</w:t>
      </w:r>
    </w:p>
    <w:p w14:paraId="5CF1CC7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本规范是在《化工企业照明设计技术规定》</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HG/T</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20586-</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1996</w:t>
      </w:r>
      <w:r>
        <w:rPr>
          <w:rFonts w:hint="eastAsia" w:ascii="宋体" w:hAnsi="宋体" w:cs="宋体"/>
          <w:color w:val="000000" w:themeColor="text1"/>
          <w:sz w:val="24"/>
          <w:szCs w:val="24"/>
          <w:highlight w:val="none"/>
          <w:lang w:val="en-US" w:eastAsia="zh-CN"/>
          <w14:textFill>
            <w14:solidFill>
              <w14:schemeClr w14:val="tx1"/>
            </w14:solidFill>
          </w14:textFill>
        </w:rPr>
        <w:t>基础上修订而成</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本规范修订过程中，编制组进行了广泛调查研究，总结了我国化工工程建设实践经验，做到规范规定与目前的技术发展相适应，同时参考了国外先进技术标准。</w:t>
      </w:r>
    </w:p>
    <w:p w14:paraId="24F811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为便于广大设计、施工、监理、科研、学校等单位有关人员在使用本</w:t>
      </w:r>
      <w:r>
        <w:rPr>
          <w:rFonts w:hint="eastAsia" w:ascii="宋体" w:hAnsi="宋体" w:cs="宋体"/>
          <w:color w:val="000000" w:themeColor="text1"/>
          <w:kern w:val="2"/>
          <w:sz w:val="24"/>
          <w:szCs w:val="24"/>
          <w:highlight w:val="none"/>
          <w:lang w:val="en-US" w:eastAsia="zh-CN" w:bidi="ar-SA"/>
          <w14:textFill>
            <w14:solidFill>
              <w14:schemeClr w14:val="tx1"/>
            </w14:solidFill>
          </w14:textFill>
        </w:rPr>
        <w:t>规范</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时能正确理解和执行条文规定，</w:t>
      </w:r>
      <w:r>
        <w:rPr>
          <w:rFonts w:hint="eastAsia" w:ascii="宋体" w:hAnsi="宋体" w:cs="宋体"/>
          <w:color w:val="000000" w:themeColor="text1"/>
          <w:sz w:val="24"/>
          <w:szCs w:val="24"/>
          <w:highlight w:val="none"/>
          <w:lang w:val="en-US" w:eastAsia="zh-CN"/>
          <w14:textFill>
            <w14:solidFill>
              <w14:schemeClr w14:val="tx1"/>
            </w14:solidFill>
          </w14:textFill>
        </w:rPr>
        <w:t>《化工企业照明设计规范》</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编制组按章、节、条顺序编制了本</w:t>
      </w:r>
      <w:r>
        <w:rPr>
          <w:rFonts w:hint="eastAsia" w:ascii="宋体" w:hAnsi="宋体" w:cs="宋体"/>
          <w:color w:val="000000" w:themeColor="text1"/>
          <w:kern w:val="2"/>
          <w:sz w:val="24"/>
          <w:szCs w:val="24"/>
          <w:highlight w:val="none"/>
          <w:lang w:val="en-US" w:eastAsia="zh-CN" w:bidi="ar-SA"/>
          <w14:textFill>
            <w14:solidFill>
              <w14:schemeClr w14:val="tx1"/>
            </w14:solidFill>
          </w14:textFill>
        </w:rPr>
        <w:t>规范</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的条文说明，对条文规定的目的、依据以及执行中需注意的有关事项进行了说明。但是，</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本条文说明不具备与</w:t>
      </w:r>
      <w:r>
        <w:rPr>
          <w:rFonts w:hint="eastAsia" w:ascii="宋体" w:hAnsi="宋体" w:cs="宋体"/>
          <w:b/>
          <w:bCs/>
          <w:color w:val="000000" w:themeColor="text1"/>
          <w:kern w:val="2"/>
          <w:sz w:val="24"/>
          <w:szCs w:val="24"/>
          <w:highlight w:val="none"/>
          <w:lang w:val="en-US" w:eastAsia="zh-CN" w:bidi="ar-SA"/>
          <w14:textFill>
            <w14:solidFill>
              <w14:schemeClr w14:val="tx1"/>
            </w14:solidFill>
          </w14:textFill>
        </w:rPr>
        <w:t>规范</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正文同等的法律效力</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，仅供使用者作为理解和把握标准规定的参考。</w:t>
      </w:r>
    </w:p>
    <w:p w14:paraId="7D9C814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32"/>
          <w:highlight w:val="none"/>
          <w:lang w:val="en-US" w:eastAsia="zh-CN" w:bidi="ar-SA"/>
          <w14:textFill>
            <w14:solidFill>
              <w14:schemeClr w14:val="tx1"/>
            </w14:solidFill>
          </w14:textFill>
        </w:rPr>
        <w:t>本规范为首次发布。</w:t>
      </w:r>
    </w:p>
    <w:p w14:paraId="5ABFD9F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color w:val="000000" w:themeColor="text1"/>
          <w:kern w:val="2"/>
          <w:sz w:val="21"/>
          <w:szCs w:val="24"/>
          <w:highlight w:val="none"/>
          <w:lang w:val="en-US" w:eastAsia="zh-CN" w:bidi="ar-SA"/>
          <w14:textFill>
            <w14:solidFill>
              <w14:schemeClr w14:val="tx1"/>
            </w14:solidFill>
          </w14:textFill>
        </w:rPr>
      </w:pPr>
      <w:r>
        <w:rPr>
          <w:rFonts w:ascii="宋体" w:hAnsi="宋体" w:eastAsia="宋体" w:cs="Times New Roman"/>
          <w:color w:val="000000" w:themeColor="text1"/>
          <w:kern w:val="2"/>
          <w:sz w:val="21"/>
          <w:szCs w:val="24"/>
          <w:highlight w:val="none"/>
          <w:lang w:val="en-US" w:eastAsia="zh-CN" w:bidi="ar-SA"/>
          <w14:textFill>
            <w14:solidFill>
              <w14:schemeClr w14:val="tx1"/>
            </w14:solidFill>
          </w14:textFill>
        </w:rPr>
        <w:br w:type="page"/>
      </w:r>
    </w:p>
    <w:p w14:paraId="464CD974">
      <w:pPr>
        <w:keepNext w:val="0"/>
        <w:keepLines w:val="0"/>
        <w:pageBreakBefore w:val="0"/>
        <w:widowControl/>
        <w:kinsoku/>
        <w:wordWrap/>
        <w:overflowPunct/>
        <w:topLinePunct w:val="0"/>
        <w:autoSpaceDE/>
        <w:autoSpaceDN/>
        <w:bidi w:val="0"/>
        <w:adjustRightInd/>
        <w:snapToGrid/>
        <w:spacing w:before="625" w:beforeLines="200" w:after="625" w:afterLines="200" w:line="240" w:lineRule="auto"/>
        <w:ind w:left="0" w:leftChars="0" w:right="0" w:rightChars="0" w:firstLine="0" w:firstLineChars="0"/>
        <w:jc w:val="center"/>
        <w:textAlignment w:val="auto"/>
        <w:rPr>
          <w:rFonts w:hint="eastAsia" w:ascii="黑体" w:hAnsi="黑体" w:eastAsia="黑体" w:cs="黑体"/>
          <w:b w:val="0"/>
          <w:bCs w:val="0"/>
          <w:color w:val="000000" w:themeColor="text1"/>
          <w:sz w:val="32"/>
          <w:szCs w:val="40"/>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40"/>
          <w:highlight w:val="none"/>
          <w14:textFill>
            <w14:solidFill>
              <w14:schemeClr w14:val="tx1"/>
            </w14:solidFill>
          </w14:textFill>
        </w:rPr>
        <w:t>目</w:t>
      </w:r>
      <w:r>
        <w:rPr>
          <w:rFonts w:hint="eastAsia" w:ascii="黑体" w:hAnsi="黑体" w:eastAsia="黑体" w:cs="黑体"/>
          <w:b w:val="0"/>
          <w:bCs w:val="0"/>
          <w:color w:val="000000" w:themeColor="text1"/>
          <w:sz w:val="32"/>
          <w:szCs w:val="40"/>
          <w:highlight w:val="none"/>
          <w:lang w:val="en-US" w:eastAsia="zh-CN"/>
          <w14:textFill>
            <w14:solidFill>
              <w14:schemeClr w14:val="tx1"/>
            </w14:solidFill>
          </w14:textFill>
        </w:rPr>
        <w:t xml:space="preserve">    次</w:t>
      </w:r>
    </w:p>
    <w:p w14:paraId="2A29AA7F">
      <w:pPr>
        <w:pStyle w:val="13"/>
        <w:keepNext w:val="0"/>
        <w:keepLines w:val="0"/>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 w:val="0"/>
          <w:bCs w:val="0"/>
          <w:color w:val="000000" w:themeColor="text1"/>
          <w:highlight w:val="none"/>
          <w:lang w:val="en-US" w:eastAsia="zh-CN"/>
          <w14:textFill>
            <w14:solidFill>
              <w14:schemeClr w14:val="tx1"/>
            </w14:solidFill>
          </w14:textFill>
        </w:rPr>
        <w:fldChar w:fldCharType="begin"/>
      </w:r>
      <w:r>
        <w:rPr>
          <w:rFonts w:hint="eastAsia"/>
          <w:b w:val="0"/>
          <w:bCs w:val="0"/>
          <w:color w:val="000000" w:themeColor="text1"/>
          <w:highlight w:val="none"/>
          <w:lang w:val="en-US" w:eastAsia="zh-CN"/>
          <w14:textFill>
            <w14:solidFill>
              <w14:schemeClr w14:val="tx1"/>
            </w14:solidFill>
          </w14:textFill>
        </w:rPr>
        <w:instrText xml:space="preserve">TOC \o "1-2" \h \u </w:instrText>
      </w:r>
      <w:r>
        <w:rPr>
          <w:rFonts w:hint="eastAsia"/>
          <w:b w:val="0"/>
          <w:bCs w:val="0"/>
          <w:color w:val="000000" w:themeColor="text1"/>
          <w:highlight w:val="none"/>
          <w:lang w:val="en-US" w:eastAsia="zh-CN"/>
          <w14:textFill>
            <w14:solidFill>
              <w14:schemeClr w14:val="tx1"/>
            </w14:solidFill>
          </w14:textFill>
        </w:rPr>
        <w:fldChar w:fldCharType="separate"/>
      </w: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_Toc23137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1  总则</w:t>
      </w:r>
      <w:r>
        <w:rPr>
          <w:color w:val="000000" w:themeColor="text1"/>
          <w:sz w:val="24"/>
          <w:highlight w:val="none"/>
          <w14:textFill>
            <w14:solidFill>
              <w14:schemeClr w14:val="tx1"/>
            </w14:solidFill>
          </w14:textFill>
        </w:rPr>
        <w:tab/>
      </w:r>
      <w:r>
        <w:rPr>
          <w:color w:val="000000" w:themeColor="text1"/>
          <w:sz w:val="24"/>
          <w:highlight w:val="none"/>
          <w14:textFill>
            <w14:solidFill>
              <w14:schemeClr w14:val="tx1"/>
            </w14:solidFill>
          </w14:textFill>
        </w:rPr>
        <w:fldChar w:fldCharType="begin"/>
      </w:r>
      <w:r>
        <w:rPr>
          <w:color w:val="000000" w:themeColor="text1"/>
          <w:sz w:val="24"/>
          <w:highlight w:val="none"/>
          <w14:textFill>
            <w14:solidFill>
              <w14:schemeClr w14:val="tx1"/>
            </w14:solidFill>
          </w14:textFill>
        </w:rPr>
        <w:instrText xml:space="preserve"> PAGEREF _Toc23137 \h </w:instrText>
      </w:r>
      <w:r>
        <w:rPr>
          <w:color w:val="000000" w:themeColor="text1"/>
          <w:sz w:val="24"/>
          <w:highlight w:val="none"/>
          <w14:textFill>
            <w14:solidFill>
              <w14:schemeClr w14:val="tx1"/>
            </w14:solidFill>
          </w14:textFill>
        </w:rPr>
        <w:fldChar w:fldCharType="separate"/>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26</w:t>
      </w:r>
      <w:r>
        <w:rPr>
          <w:rFonts w:hint="eastAsia"/>
          <w:color w:val="000000" w:themeColor="text1"/>
          <w:sz w:val="24"/>
          <w:highlight w:val="none"/>
          <w:lang w:eastAsia="zh-CN"/>
          <w14:textFill>
            <w14:solidFill>
              <w14:schemeClr w14:val="tx1"/>
            </w14:solidFill>
          </w14:textFill>
        </w:rPr>
        <w:t>）</w:t>
      </w:r>
      <w:r>
        <w:rPr>
          <w:color w:val="000000" w:themeColor="text1"/>
          <w:sz w:val="24"/>
          <w:highlight w:val="none"/>
          <w14:textFill>
            <w14:solidFill>
              <w14:schemeClr w14:val="tx1"/>
            </w14:solidFill>
          </w14:textFill>
        </w:rPr>
        <w:fldChar w:fldCharType="end"/>
      </w:r>
      <w:r>
        <w:rPr>
          <w:rFonts w:hint="eastAsia"/>
          <w:bCs w:val="0"/>
          <w:color w:val="000000" w:themeColor="text1"/>
          <w:sz w:val="24"/>
          <w:highlight w:val="none"/>
          <w:lang w:val="en-US" w:eastAsia="zh-CN"/>
          <w14:textFill>
            <w14:solidFill>
              <w14:schemeClr w14:val="tx1"/>
            </w14:solidFill>
          </w14:textFill>
        </w:rPr>
        <w:fldChar w:fldCharType="end"/>
      </w:r>
    </w:p>
    <w:p w14:paraId="58AA4E60">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_Toc28948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2  术语</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27</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1BEE749D">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_Toc10907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3  照明方式和照明种类</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29</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6B0839DA">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_Toc12691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4  光源和灯具</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32</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668CE548">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_Toc15536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4.1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照明光源</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32</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5F7A4028">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_Toc19262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4.2 </w:t>
      </w:r>
      <w:r>
        <w:rPr>
          <w:rFonts w:hint="eastAsia"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照明灯具及附属装置</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33</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532A6238">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_Toc8208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5  照明质量</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35</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54025680">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_Toc12179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6  灯具布置</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36</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1C5ECE44">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_Toc26833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s="Times New Roman"/>
          <w:color w:val="000000" w:themeColor="text1"/>
          <w:sz w:val="24"/>
          <w:szCs w:val="24"/>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.1 </w:t>
      </w:r>
      <w:r>
        <w:rPr>
          <w:rFonts w:hint="eastAsia" w:cs="Times New Roman"/>
          <w:color w:val="000000" w:themeColor="text1"/>
          <w:sz w:val="24"/>
          <w:szCs w:val="24"/>
          <w:highlight w:val="none"/>
          <w:lang w:val="en-US" w:eastAsia="zh-CN"/>
          <w14:textFill>
            <w14:solidFill>
              <w14:schemeClr w14:val="tx1"/>
            </w14:solidFill>
          </w14:textFill>
        </w:rPr>
        <w:t xml:space="preserve"> 灯具布置</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36</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1A10A1F6">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_Toc4279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s="Times New Roman"/>
          <w:color w:val="000000" w:themeColor="text1"/>
          <w:sz w:val="24"/>
          <w:szCs w:val="24"/>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eastAsia" w:cs="Times New Roman"/>
          <w:color w:val="000000" w:themeColor="text1"/>
          <w:sz w:val="24"/>
          <w:szCs w:val="24"/>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cs="Times New Roman"/>
          <w:color w:val="000000" w:themeColor="text1"/>
          <w:sz w:val="24"/>
          <w:szCs w:val="24"/>
          <w:highlight w:val="none"/>
          <w:lang w:val="en-US" w:eastAsia="zh-CN"/>
          <w14:textFill>
            <w14:solidFill>
              <w14:schemeClr w14:val="tx1"/>
            </w14:solidFill>
          </w14:textFill>
        </w:rPr>
        <w:t xml:space="preserve"> 障碍照明</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36</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2C083092">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_Toc15706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7  照明配电及控制</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37</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6E179F9B">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_Toc11485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7.1  照明电压</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37</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321FEC32">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_Toc5817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7.2  照明配电系统</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38</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26CF1277">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ind w:firstLine="240" w:firstLineChars="100"/>
        <w:textAlignment w:val="auto"/>
        <w:rPr>
          <w:color w:val="000000" w:themeColor="text1"/>
          <w:sz w:val="24"/>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_Toc9704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szCs w:val="24"/>
          <w:highlight w:val="none"/>
          <w:lang w:val="en-US" w:eastAsia="zh-CN"/>
          <w14:textFill>
            <w14:solidFill>
              <w14:schemeClr w14:val="tx1"/>
            </w14:solidFill>
          </w14:textFill>
        </w:rPr>
        <w:t>7.3  照明控制</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40</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24C6E5C2">
      <w:pPr>
        <w:pStyle w:val="13"/>
        <w:pageBreakBefore w:val="0"/>
        <w:widowControl w:val="0"/>
        <w:tabs>
          <w:tab w:val="right" w:leader="dot" w:pos="8313"/>
        </w:tabs>
        <w:kinsoku/>
        <w:wordWrap/>
        <w:overflowPunct/>
        <w:topLinePunct w:val="0"/>
        <w:autoSpaceDE/>
        <w:autoSpaceDN/>
        <w:bidi w:val="0"/>
        <w:adjustRightInd/>
        <w:snapToGrid/>
        <w:spacing w:before="157" w:beforeLines="50" w:after="157" w:afterLines="50"/>
        <w:textAlignment w:val="auto"/>
        <w:rPr>
          <w:color w:val="000000" w:themeColor="text1"/>
          <w:highlight w:val="none"/>
          <w14:textFill>
            <w14:solidFill>
              <w14:schemeClr w14:val="tx1"/>
            </w14:solidFill>
          </w14:textFill>
        </w:rPr>
      </w:pPr>
      <w:r>
        <w:rPr>
          <w:rFonts w:hint="eastAsia"/>
          <w:bCs w:val="0"/>
          <w:color w:val="000000" w:themeColor="text1"/>
          <w:sz w:val="24"/>
          <w:highlight w:val="none"/>
          <w:lang w:val="en-US" w:eastAsia="zh-CN"/>
          <w14:textFill>
            <w14:solidFill>
              <w14:schemeClr w14:val="tx1"/>
            </w14:solidFill>
          </w14:textFill>
        </w:rPr>
        <w:fldChar w:fldCharType="begin"/>
      </w:r>
      <w:r>
        <w:rPr>
          <w:rFonts w:hint="eastAsia"/>
          <w:bCs w:val="0"/>
          <w:color w:val="000000" w:themeColor="text1"/>
          <w:sz w:val="24"/>
          <w:highlight w:val="none"/>
          <w:lang w:val="en-US" w:eastAsia="zh-CN"/>
          <w14:textFill>
            <w14:solidFill>
              <w14:schemeClr w14:val="tx1"/>
            </w14:solidFill>
          </w14:textFill>
        </w:rPr>
        <w:instrText xml:space="preserve"> HYPERLINK \l _Toc28743 </w:instrText>
      </w:r>
      <w:r>
        <w:rPr>
          <w:rFonts w:hint="eastAsia"/>
          <w:bCs w:val="0"/>
          <w:color w:val="000000" w:themeColor="text1"/>
          <w:sz w:val="24"/>
          <w:highlight w:val="none"/>
          <w:lang w:val="en-US" w:eastAsia="zh-CN"/>
          <w14:textFill>
            <w14:solidFill>
              <w14:schemeClr w14:val="tx1"/>
            </w14:solidFill>
          </w14:textFill>
        </w:rPr>
        <w:fldChar w:fldCharType="separate"/>
      </w:r>
      <w:r>
        <w:rPr>
          <w:rFonts w:hint="eastAsia"/>
          <w:color w:val="000000" w:themeColor="text1"/>
          <w:sz w:val="24"/>
          <w:highlight w:val="none"/>
          <w:lang w:val="en-US" w:eastAsia="zh-CN"/>
          <w14:textFill>
            <w14:solidFill>
              <w14:schemeClr w14:val="tx1"/>
            </w14:solidFill>
          </w14:textFill>
        </w:rPr>
        <w:t>8  照明节能</w:t>
      </w:r>
      <w:r>
        <w:rPr>
          <w:color w:val="000000" w:themeColor="text1"/>
          <w:sz w:val="24"/>
          <w:highlight w:val="none"/>
          <w14:textFill>
            <w14:solidFill>
              <w14:schemeClr w14:val="tx1"/>
            </w14:solidFill>
          </w14:textFill>
        </w:rPr>
        <w:tab/>
      </w:r>
      <w:r>
        <w:rPr>
          <w:rFonts w:hint="eastAsia"/>
          <w:color w:val="000000" w:themeColor="text1"/>
          <w:sz w:val="24"/>
          <w:highlight w:val="none"/>
          <w:lang w:eastAsia="zh-CN"/>
          <w14:textFill>
            <w14:solidFill>
              <w14:schemeClr w14:val="tx1"/>
            </w14:solidFill>
          </w14:textFill>
        </w:rPr>
        <w:t>（</w:t>
      </w:r>
      <w:r>
        <w:rPr>
          <w:rFonts w:hint="eastAsia"/>
          <w:color w:val="000000" w:themeColor="text1"/>
          <w:sz w:val="24"/>
          <w:highlight w:val="none"/>
          <w:lang w:val="en-US" w:eastAsia="zh-CN"/>
          <w14:textFill>
            <w14:solidFill>
              <w14:schemeClr w14:val="tx1"/>
            </w14:solidFill>
          </w14:textFill>
        </w:rPr>
        <w:t>41</w:t>
      </w:r>
      <w:r>
        <w:rPr>
          <w:rFonts w:hint="eastAsia"/>
          <w:color w:val="000000" w:themeColor="text1"/>
          <w:sz w:val="24"/>
          <w:highlight w:val="none"/>
          <w:lang w:eastAsia="zh-CN"/>
          <w14:textFill>
            <w14:solidFill>
              <w14:schemeClr w14:val="tx1"/>
            </w14:solidFill>
          </w14:textFill>
        </w:rPr>
        <w:t>）</w:t>
      </w:r>
      <w:r>
        <w:rPr>
          <w:rFonts w:hint="eastAsia"/>
          <w:bCs w:val="0"/>
          <w:color w:val="000000" w:themeColor="text1"/>
          <w:sz w:val="24"/>
          <w:highlight w:val="none"/>
          <w:lang w:val="en-US" w:eastAsia="zh-CN"/>
          <w14:textFill>
            <w14:solidFill>
              <w14:schemeClr w14:val="tx1"/>
            </w14:solidFill>
          </w14:textFill>
        </w:rPr>
        <w:fldChar w:fldCharType="end"/>
      </w:r>
    </w:p>
    <w:p w14:paraId="25E4A239">
      <w:pPr>
        <w:pStyle w:val="2"/>
        <w:pageBreakBefore w:val="0"/>
        <w:widowControl w:val="0"/>
        <w:kinsoku/>
        <w:wordWrap/>
        <w:overflowPunct/>
        <w:topLinePunct w:val="0"/>
        <w:autoSpaceDE/>
        <w:autoSpaceDN/>
        <w:bidi w:val="0"/>
        <w:adjustRightInd/>
        <w:snapToGrid/>
        <w:spacing w:before="157" w:beforeLines="50" w:after="157" w:afterLines="50"/>
        <w:ind w:firstLine="3213" w:firstLineChars="1000"/>
        <w:textAlignment w:val="auto"/>
        <w:outlineLvl w:val="9"/>
        <w:rPr>
          <w:rFonts w:hint="eastAsia"/>
          <w:color w:val="000000" w:themeColor="text1"/>
          <w:highlight w:val="none"/>
          <w:lang w:val="en-US" w:eastAsia="zh-CN"/>
          <w14:textFill>
            <w14:solidFill>
              <w14:schemeClr w14:val="tx1"/>
            </w14:solidFill>
          </w14:textFill>
        </w:rPr>
        <w:sectPr>
          <w:footerReference r:id="rId13" w:type="default"/>
          <w:pgSz w:w="11907" w:h="16840"/>
          <w:pgMar w:top="1440" w:right="1797" w:bottom="1440" w:left="1797" w:header="851" w:footer="992" w:gutter="0"/>
          <w:pgNumType w:fmt="decimal" w:start="1"/>
          <w:cols w:space="425" w:num="1"/>
          <w:docGrid w:type="lines" w:linePitch="312" w:charSpace="0"/>
        </w:sectPr>
      </w:pPr>
      <w:r>
        <w:rPr>
          <w:rFonts w:hint="eastAsia"/>
          <w:bCs w:val="0"/>
          <w:color w:val="000000" w:themeColor="text1"/>
          <w:highlight w:val="none"/>
          <w:lang w:val="en-US" w:eastAsia="zh-CN"/>
          <w14:textFill>
            <w14:solidFill>
              <w14:schemeClr w14:val="tx1"/>
            </w14:solidFill>
          </w14:textFill>
        </w:rPr>
        <w:fldChar w:fldCharType="end"/>
      </w:r>
    </w:p>
    <w:p w14:paraId="30C01F1B">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25" w:name="_Toc23137"/>
      <w:bookmarkStart w:id="26" w:name="_Toc25891"/>
      <w:r>
        <w:rPr>
          <w:rFonts w:hint="eastAsia"/>
          <w:color w:val="000000" w:themeColor="text1"/>
          <w:highlight w:val="none"/>
          <w:lang w:val="en-US" w:eastAsia="zh-CN"/>
          <w14:textFill>
            <w14:solidFill>
              <w14:schemeClr w14:val="tx1"/>
            </w14:solidFill>
          </w14:textFill>
        </w:rPr>
        <w:t>1   总则</w:t>
      </w:r>
      <w:bookmarkEnd w:id="25"/>
      <w:bookmarkEnd w:id="26"/>
    </w:p>
    <w:p w14:paraId="1B2C3483">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1.0.1  本规范制定的目的和原则。</w:t>
      </w:r>
    </w:p>
    <w:p w14:paraId="39598C11">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1.0.2  本规范的适用范围。本规范主要针对化工企业生产装置区域的照明设计，其他办公类建筑物的照明需执行国家相关标准和规范。</w:t>
      </w:r>
    </w:p>
    <w:p w14:paraId="28BF05B1">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1.0.3  照明系统设计的原则。</w:t>
      </w:r>
    </w:p>
    <w:p w14:paraId="37379F2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1.0.4  本规范与其他相关标准的关系。</w:t>
      </w:r>
    </w:p>
    <w:p w14:paraId="517F365C">
      <w:pPr>
        <w:pStyle w:val="2"/>
        <w:bidi w:val="0"/>
        <w:outlineLvl w:val="9"/>
        <w:rPr>
          <w:rFonts w:hint="eastAsia"/>
          <w:color w:val="000000" w:themeColor="text1"/>
          <w:highlight w:val="none"/>
          <w:lang w:val="en-US" w:eastAsia="zh-CN"/>
          <w14:textFill>
            <w14:solidFill>
              <w14:schemeClr w14:val="tx1"/>
            </w14:solidFill>
          </w14:textFill>
        </w:rPr>
      </w:pPr>
      <w:bookmarkStart w:id="27" w:name="_Toc18085"/>
    </w:p>
    <w:p w14:paraId="7F30B7D8">
      <w:pPr>
        <w:pStyle w:val="2"/>
        <w:keepNext/>
        <w:keepLines/>
        <w:pageBreakBefore/>
        <w:widowControl w:val="0"/>
        <w:kinsoku/>
        <w:wordWrap/>
        <w:overflowPunct/>
        <w:topLinePunct w:val="0"/>
        <w:autoSpaceDE/>
        <w:autoSpaceDN/>
        <w:bidi w:val="0"/>
        <w:adjustRightInd/>
        <w:snapToGrid/>
        <w:ind w:firstLine="2891" w:firstLineChars="900"/>
        <w:textAlignment w:val="auto"/>
        <w:rPr>
          <w:rFonts w:hint="eastAsia"/>
          <w:color w:val="000000" w:themeColor="text1"/>
          <w:highlight w:val="none"/>
          <w:lang w:val="en-US" w:eastAsia="zh-CN"/>
          <w14:textFill>
            <w14:solidFill>
              <w14:schemeClr w14:val="tx1"/>
            </w14:solidFill>
          </w14:textFill>
        </w:rPr>
        <w:sectPr>
          <w:footerReference r:id="rId14" w:type="default"/>
          <w:pgSz w:w="11907" w:h="16840"/>
          <w:pgMar w:top="1440" w:right="1797" w:bottom="1440" w:left="1797" w:header="851" w:footer="992" w:gutter="0"/>
          <w:pgNumType w:fmt="decimal"/>
          <w:cols w:space="425" w:num="1"/>
          <w:docGrid w:type="lines" w:linePitch="312" w:charSpace="0"/>
        </w:sectPr>
      </w:pPr>
      <w:bookmarkStart w:id="28" w:name="_Toc28948"/>
    </w:p>
    <w:p w14:paraId="2858AB10">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   术语</w:t>
      </w:r>
      <w:bookmarkEnd w:id="27"/>
      <w:bookmarkEnd w:id="28"/>
    </w:p>
    <w:p w14:paraId="1D8C45A6">
      <w:pPr>
        <w:numPr>
          <w:ilvl w:val="0"/>
          <w:numId w:val="0"/>
        </w:numPr>
        <w:spacing w:line="360" w:lineRule="auto"/>
        <w:ind w:leftChars="0" w:firstLine="480" w:firstLineChars="20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本章列了本规范所引用的术语，共20条。本规范为行业规范，术语主要引用国家规范，现行国家标准《建筑照明设计标准》</w:t>
      </w:r>
      <w:r>
        <w:rPr>
          <w:rFonts w:hint="eastAsia"/>
          <w:color w:val="000000" w:themeColor="text1"/>
          <w:sz w:val="24"/>
          <w:szCs w:val="24"/>
          <w:highlight w:val="none"/>
          <w:shd w:val="clear" w:color="auto" w:fill="auto"/>
          <w:lang w:val="en-US" w:eastAsia="zh-CN"/>
          <w14:textFill>
            <w14:solidFill>
              <w14:schemeClr w14:val="tx1"/>
            </w14:solidFill>
          </w14:textFill>
        </w:rPr>
        <w:t>GB/T 50034、《应急照明》GB/T 42824和《消防应急照明和疏散指示系统》GB 17945</w:t>
      </w:r>
      <w:r>
        <w:rPr>
          <w:rFonts w:hint="eastAsia"/>
          <w:color w:val="000000" w:themeColor="text1"/>
          <w:sz w:val="24"/>
          <w:szCs w:val="24"/>
          <w:highlight w:val="none"/>
          <w:lang w:val="en-US" w:eastAsia="zh-CN"/>
          <w14:textFill>
            <w14:solidFill>
              <w14:schemeClr w14:val="tx1"/>
            </w14:solidFill>
          </w14:textFill>
        </w:rPr>
        <w:t>界定的术语和定义适用于本规范。另外，为了清晰表达化工企业场所与一般场所照明的不同之处，本规范增加了部分术语。</w:t>
      </w:r>
    </w:p>
    <w:p w14:paraId="4A9FEBF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  为了更清晰的表达本规范所定义的照明种类及其之间的关系而绘制本图。</w:t>
      </w:r>
    </w:p>
    <w:p w14:paraId="60476AC1">
      <w:pPr>
        <w:numPr>
          <w:ilvl w:val="0"/>
          <w:numId w:val="0"/>
        </w:numPr>
        <w:spacing w:line="360" w:lineRule="auto"/>
        <w:ind w:leftChars="0"/>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2.0.10~2.0.13  化工企业内部生产装置布置和功能区划与民用建筑完全不同，为了便于理解而制定该四条术语。</w:t>
      </w:r>
    </w:p>
    <w:p w14:paraId="21AFA52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从严格意义上理解，现行国家标准《建筑防火通用规范》</w:t>
      </w:r>
      <w:r>
        <w:rPr>
          <w:rFonts w:hint="eastAsia"/>
          <w:color w:val="000000" w:themeColor="text1"/>
          <w:sz w:val="24"/>
          <w:szCs w:val="24"/>
          <w:highlight w:val="none"/>
          <w:shd w:val="clear" w:color="auto" w:fill="auto"/>
          <w:lang w:val="en-US" w:eastAsia="zh-CN"/>
          <w14:textFill>
            <w14:solidFill>
              <w14:schemeClr w14:val="tx1"/>
            </w14:solidFill>
          </w14:textFill>
        </w:rPr>
        <w:t>GB 55037、《</w:t>
      </w:r>
      <w:r>
        <w:rPr>
          <w:rFonts w:hint="eastAsia"/>
          <w:color w:val="000000" w:themeColor="text1"/>
          <w:sz w:val="24"/>
          <w:szCs w:val="24"/>
          <w:highlight w:val="none"/>
          <w:lang w:val="en-US" w:eastAsia="zh-CN"/>
          <w14:textFill>
            <w14:solidFill>
              <w14:schemeClr w14:val="tx1"/>
            </w14:solidFill>
          </w14:textFill>
        </w:rPr>
        <w:t>建筑照明设计标准</w:t>
      </w:r>
      <w:r>
        <w:rPr>
          <w:rFonts w:hint="eastAsia"/>
          <w:color w:val="000000" w:themeColor="text1"/>
          <w:sz w:val="24"/>
          <w:szCs w:val="24"/>
          <w:highlight w:val="none"/>
          <w:shd w:val="clear" w:color="auto" w:fill="auto"/>
          <w:lang w:val="en-US" w:eastAsia="zh-CN"/>
          <w14:textFill>
            <w14:solidFill>
              <w14:schemeClr w14:val="tx1"/>
            </w14:solidFill>
          </w14:textFill>
        </w:rPr>
        <w:t>》GB/T 50034、《消防应急照明和疏散指示系统技术标准》GB 51309</w:t>
      </w:r>
      <w:r>
        <w:rPr>
          <w:rFonts w:hint="eastAsia"/>
          <w:color w:val="000000" w:themeColor="text1"/>
          <w:sz w:val="24"/>
          <w:szCs w:val="24"/>
          <w:highlight w:val="none"/>
          <w:lang w:val="en-US" w:eastAsia="zh-CN"/>
          <w14:textFill>
            <w14:solidFill>
              <w14:schemeClr w14:val="tx1"/>
            </w14:solidFill>
          </w14:textFill>
        </w:rPr>
        <w:t>所规定的场所更多的面向住宅以外的民用建筑，尤其是大型商业建筑，该类建筑的特点是一幢建筑物就是一个工程整体，其内部包含了发生火灾时跟消防相关的全部场所：消防供电电源点、消防泵房和消防控制室等火灾时需要坚守的场所、着火的防火分区、未着火的防火分区、全部疏散通道，而且不管是着火还是未着火的防火分区，都必须进行人员疏散，这与化工企业明显不同。</w:t>
      </w:r>
    </w:p>
    <w:p w14:paraId="4FEAA5B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化工企业内部分为工艺生产装置、公用工程生产装置、生产管理单元等，每个装置或单元都是严格独立的建（构）筑物，其间有严格的防火间距，一个场所发生火灾，一般不会影响到周边场所。为消防服务的消防泵房、消防控制室、泡沫站和为消防设备供电的变电所等从布置上就远离火灾场所，不会受到装置火灾的影响，没有危险，这些场所在消防灭火时不存在需要坚守的环境，只是进行正常工作即可。另外除了发生火灾的装置或单元，其余未发生火灾场所也不需要进行疏散，这与民用建筑火灾影响范围完全不同，即化工企业内部发生火灾时，除了发生火灾的装置本身外，消防供电电源点、消防泵等公共消防设施安装处、未发生火灾的装置均不受火灾影响，也不需要人员疏散。</w:t>
      </w:r>
    </w:p>
    <w:p w14:paraId="0DBE6B6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化工企业内部在火灾情况下，比如发生有毒气体泄漏等紧急状况，这时反而可能需要全员疏散，但是这种疏散照明需求跟火灾场所的疏散完全不同。</w:t>
      </w:r>
    </w:p>
    <w:p w14:paraId="0C99915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基于以上观点，本规范对于跟消防或疏散相关的照明，从火灾场所使用、非火灾场所使用、火灾情况下使用、非火灾情况下使用的角度进行了区分和定义。</w:t>
      </w:r>
    </w:p>
    <w:p w14:paraId="0B08BE0D">
      <w:pPr>
        <w:numPr>
          <w:ilvl w:val="0"/>
          <w:numId w:val="0"/>
        </w:numPr>
        <w:spacing w:line="360" w:lineRule="auto"/>
        <w:rPr>
          <w:rFonts w:hint="default"/>
          <w:i/>
          <w:iCs/>
          <w:color w:val="000000" w:themeColor="text1"/>
          <w:sz w:val="28"/>
          <w:szCs w:val="28"/>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2.0.18~2.0.20  从照明角度说，化工企业的敞开式厂房可以看作室外环境，正常及火灾情况下其照明需求与封闭式厂房等室内环境都有所不同，应予以区分。</w:t>
      </w:r>
    </w:p>
    <w:p w14:paraId="66A6BBF7">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29" w:name="_Toc10907"/>
      <w:r>
        <w:rPr>
          <w:rFonts w:hint="eastAsia"/>
          <w:color w:val="000000" w:themeColor="text1"/>
          <w:highlight w:val="none"/>
          <w:lang w:val="en-US" w:eastAsia="zh-CN"/>
          <w14:textFill>
            <w14:solidFill>
              <w14:schemeClr w14:val="tx1"/>
            </w14:solidFill>
          </w14:textFill>
        </w:rPr>
        <w:t>3   照明方式和照明种类</w:t>
      </w:r>
      <w:bookmarkEnd w:id="29"/>
    </w:p>
    <w:p w14:paraId="0EC56136">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3.0.1  本条规定了确定照明方式的原则。</w:t>
      </w:r>
    </w:p>
    <w:p w14:paraId="139709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为照亮整个场所，采用一般照明。</w:t>
      </w:r>
    </w:p>
    <w:p w14:paraId="155090C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同一场所的不同区域有不同照度要求时，为节约能源，贯彻照度该高则高、该低则低的原则，采用分区一般照明。</w:t>
      </w:r>
    </w:p>
    <w:p w14:paraId="0F00557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对于部分作业面照度要求高，但作业面面积又不大的场所，若只采用一般照明，会大大增加安装功率，因而是不合理的，故采用混合照明方式，即增加局部照明来提高作业面照度，以节约能源，这样做在技术经济方面是合理的。</w:t>
      </w:r>
    </w:p>
    <w:p w14:paraId="0D72E3A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在一个工作场所内，如果只采用局部照明会形成亮度分布不均匀，从而影响视觉作业，故不应只采用局部照明。</w:t>
      </w:r>
    </w:p>
    <w:p w14:paraId="4B0B5EF3">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3.0.2  本条规定了确定照明种类及相应安装位置的原则。</w:t>
      </w:r>
    </w:p>
    <w:p w14:paraId="34A0810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现行国家标准《建筑环境通用规范》GB 55016-2021规定了应急照明、值班照明、警卫照明以及障碍照明的设置原则，《建筑防火通用规范》GB 55037-2022规定了消防疏散指示和照明的要求，本规范根据这两个强制规范的要求，针对化工企业的具体场景进行了细化。对于国内化工企业来说，值班照明、警卫照明跟正常的工作照明没有大的区别，一般由正常照明兼做。</w:t>
      </w:r>
    </w:p>
    <w:p w14:paraId="17BD14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应急照明、疏散指示在目前的各规范中，存在一些歧义，给企业生产和设计人员带来了困扰，因此本规范将跟消防相关的消防疏散指示、消防疏散照明、消防备用照明三种照明从术语和定义上进行明确，除此以外的应急照明均跟消防无关。</w:t>
      </w:r>
    </w:p>
    <w:p w14:paraId="5455CB2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本款所说的平时有人巡检主要是指：根据生产需要经常有人上去检查的大型储罐、塔器等，可以设置适当的备用照明，照度能满足从梯子上下来即可，化工企业工作人员夜间巡检都带有手电筒，靠手电照明也可以安全上下，之所以考虑设置备用照明，主要是为经常巡检的场所提供方便；如果平时不需要检查，仅是非正常工况或是检修时才需要上去的储罐、塔器，因检查的同时发生停电的概率微乎其微，不必考虑设置备用照明或安全照明，如果极端情况下碰上夜间停电依靠手电筒照明即可。</w:t>
      </w:r>
    </w:p>
    <w:p w14:paraId="0602ABD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其余厂房类一般都会有人巡检，其楼梯处应考虑一定照度备用照明。</w:t>
      </w:r>
    </w:p>
    <w:p w14:paraId="6C6A399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如术语定义中所指出的，消防备用照明是指夜间停电且同时发生火灾时（对化工企业来说，这种概率已经很低），在非火灾场所进行消防指挥、消防泵看守等活动所需要的照明，需要安装的场所仅限于消防泵房及其配电室（且配电室一般不需要工作）、消防控制室、泡沫站等为全厂消防服务的地点，这些场所都是独立的建筑物，远离危险区，不会受其他装置火灾影响，而且在化工企业的安全分析中，这些场所本身是作为不会发生火灾的场所对待，所以消防备用照明不需要再考虑这些场所发生火灾时如何保证工作照明。在非常极端的情况下，万一上述某处场所发生了火灾，那该场所也就失去了为消防服务的作用，也不允许再有人员进入或坚守工作，而是应该使用消防车等外部消防水源灭火或转移消防指挥到其余场所，因为场所环境决定的这些地方的火灾不会特别严重，这样处理也是安全有效的。</w:t>
      </w:r>
    </w:p>
    <w:p w14:paraId="214E0C8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5~6  本两条款规定了消防疏散指示和消防疏散照明的设置原则。</w:t>
      </w:r>
    </w:p>
    <w:p w14:paraId="25278C7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化工企业内的人员都是企业工作人员，比较固定，熟悉各自工作场所的周围环境，而且目前企业普遍自动化水平较高，视频监控普遍应用，工厂内现场操作人员较少，在这种情况下，所有场所都仿照公共建筑装设消防疏散指示和消防疏散照明明显是不合适的。比如有的场所一周甚至一个月不需要人员进入，偶尔有人进入也只有很少人员，而且夜间巡检人员都携带手电筒，巡检次数本来就少，巡检时发生火灾的概率就更小，再加上人员少且熟悉环境，即便发生火灾，没有疏散指示也不会影响人员找到疏散通道。据调研，从来没有化工企业的工作人员在发生火灾时因为没有消防疏散指示找不到疏散通道进而发生人身伤亡事故，因此，消防疏散对于化工企业厂房的必要性并不大。因此消防疏散采用安全特低电压，供电距离很短，远离集中电源的建筑物如要装设就只能单独设置包括电池在内的完整系统，电池维护成本高，因此本文建议从节能、节约资源的角度出发，尽量少装。举例说，一个水泵房，只有一间单层房子，里面也没有值班人员，从哪个角度看它都不需要设置消防疏散指示和消防疏散照明。</w:t>
      </w:r>
    </w:p>
    <w:p w14:paraId="1B09B0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虽然第5款中规定了一些封闭厂房、半敞开厂房内可以装设消防疏散指示，但是因为厂房内设备安装密集，无法指定合适的固定疏散通道，起火点不同，会对应若干不同的撤出路径，对于此种场所，仅在安全出口处装设疏散指示即可，已足够工作人员辨析。</w:t>
      </w:r>
    </w:p>
    <w:p w14:paraId="1A165A2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对于敞开式厂房，相当于户外场所，不需装设消防疏散指示和消防疏散照明。</w:t>
      </w:r>
    </w:p>
    <w:p w14:paraId="243DB08D">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30" w:name="_Toc12691"/>
      <w:r>
        <w:rPr>
          <w:rFonts w:hint="eastAsia"/>
          <w:color w:val="000000" w:themeColor="text1"/>
          <w:highlight w:val="none"/>
          <w:lang w:val="en-US" w:eastAsia="zh-CN"/>
          <w14:textFill>
            <w14:solidFill>
              <w14:schemeClr w14:val="tx1"/>
            </w14:solidFill>
          </w14:textFill>
        </w:rPr>
        <w:t>4   光源和灯具</w:t>
      </w:r>
      <w:bookmarkEnd w:id="30"/>
    </w:p>
    <w:p w14:paraId="543C9126">
      <w:pPr>
        <w:pStyle w:val="2"/>
        <w:ind w:firstLine="0" w:firstLineChars="0"/>
        <w:jc w:val="center"/>
        <w:rPr>
          <w:rFonts w:hint="default"/>
          <w:color w:val="000000" w:themeColor="text1"/>
          <w:highlight w:val="none"/>
          <w:lang w:val="en-US" w:eastAsia="zh-CN"/>
          <w14:textFill>
            <w14:solidFill>
              <w14:schemeClr w14:val="tx1"/>
            </w14:solidFill>
          </w14:textFill>
        </w:rPr>
      </w:pPr>
      <w:bookmarkStart w:id="31" w:name="_Toc15536"/>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4.1 照明光源</w:t>
      </w:r>
      <w:bookmarkEnd w:id="31"/>
    </w:p>
    <w:p w14:paraId="6ACE7068">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4.1.1  选择光源时，不仅需要考虑工程投资费用和使用场所的环境特性，还应结合绿色环保、全生命周期的运维等情况进行综合技术经济分析。</w:t>
      </w:r>
    </w:p>
    <w:p w14:paraId="042DBB61">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4.1.2  无特殊要求的场所，应优先选用效率高的直接型灯具。LED灯具光效高，寿命长，显示性较好（Ra≥70，优质产品Ra可达90以上），节能效果显著，同时具有的瞬时启动的特点，克服了金属卤化物灯或高压纳灯再启动时间过长的缺点。工程设计中，一般场所推荐优选LED光源。金属卤化物灯能够做到高显色性、高光效、长寿命，因而得到普遍应用。高压纳灯光效较高，寿命长，价格较低，但其显色性差。</w:t>
      </w:r>
    </w:p>
    <w:p w14:paraId="41FDF757">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4.1.3  本条是选择光源的一般原则：</w:t>
      </w:r>
    </w:p>
    <w:p w14:paraId="718376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小功率细管径（≤26mm）直管形三基色荧光灯光效高、寿命长、显色性较好，适用于灯具安装高度较低的房间如中控室、机柜间、变电所、化验室、厂前区办公楼等场所。LED 灯从低空（如高度＞2.5m的室内）到高空（高度8m以上工业厂房）均可适配。</w:t>
      </w:r>
    </w:p>
    <w:p w14:paraId="268E9D6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灯具安装高度大于 8m时（如压缩机厂房、煤棚等），比较适合采用LED 灯、金属卤化物灯、高压纳灯；为了便于维护，高频大功率细管径直管荧光灯适用于安装高度小于8m的场所。更换光源很困难的场所，宜选用LED 灯。</w:t>
      </w:r>
    </w:p>
    <w:p w14:paraId="38E029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低温会显著降低荧光灯管内的汞蒸气压力，导致启动电压升高，难以点亮。驱动电源使用电解电容的普通LED灯，低温会导致电容容量骤降甚至失效，从而导致灯具无法启动。特别寒冷地区可以采用固态电容或宽温驱动电源（-40℃～+85℃）的耐低温LED灯。</w:t>
      </w:r>
    </w:p>
    <w:p w14:paraId="2D2703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  荧光灯、气体放电灯依赖镇流器和电子元件工作，高温会加速镇流器老化或过热失效。</w:t>
      </w:r>
    </w:p>
    <w:p w14:paraId="1E37941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  目前市场上普遍使用的光源中，高压钠灯的穿雾能力最强。</w:t>
      </w:r>
    </w:p>
    <w:p w14:paraId="34C4341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和其他气体放电灯相比，荧光高压汞灯光效较低、寿命短、显示指数低，故不推荐采用。自镇流荧光高压汞灯光效更低，故不应采用。</w:t>
      </w:r>
    </w:p>
    <w:p w14:paraId="306DD3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  白炽灯光效低、寿命短。除特殊要求的场所（如防电磁干扰）外，禁止选用普通白炽灯，这是国家节能减排要求。</w:t>
      </w:r>
    </w:p>
    <w:p w14:paraId="1FFB62E5">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4.1.4  显色性要求高的场所，应采用显色指数高的光源，如采用 Ra ＞80 的LED灯、三基色稀土荧光灯等。</w:t>
      </w:r>
    </w:p>
    <w:p w14:paraId="1D44407A">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4.1.5  应急照明采用 LED 光源、荧光灯等，因在正常照明断电时可在几秒内达到标准流明值；对于疏散标志灯可采用 LED光源。而采用高压钠灯、金卤灯启动时间较长，达不到快速启动要求。</w:t>
      </w:r>
    </w:p>
    <w:p w14:paraId="36396F4A">
      <w:pPr>
        <w:pStyle w:val="2"/>
        <w:ind w:firstLine="0" w:firstLineChars="0"/>
        <w:jc w:val="center"/>
        <w:rPr>
          <w:rFonts w:hint="eastAsia"/>
          <w:color w:val="000000" w:themeColor="text1"/>
          <w:sz w:val="28"/>
          <w:szCs w:val="28"/>
          <w:highlight w:val="none"/>
          <w:lang w:val="en-US" w:eastAsia="zh-CN"/>
          <w14:textFill>
            <w14:solidFill>
              <w14:schemeClr w14:val="tx1"/>
            </w14:solidFill>
          </w14:textFill>
        </w:rPr>
      </w:pPr>
      <w:bookmarkStart w:id="32" w:name="_Toc19262"/>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4.2 照明灯具及附属装置</w:t>
      </w:r>
      <w:bookmarkEnd w:id="32"/>
    </w:p>
    <w:p w14:paraId="63D4392C">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4.2.1  在选择灯具时，应进行全生命周期的综合经济分析比较。安装在高处的灯具，考虑到运行维护费，宜选用寿命长或免维护型灯具。应急照明选用能快速启动灯具。厂前区办公室等场所宜选用与内饰相协调、外形美观的灯具。</w:t>
      </w:r>
    </w:p>
    <w:p w14:paraId="78CA839F">
      <w:pPr>
        <w:numPr>
          <w:ilvl w:val="0"/>
          <w:numId w:val="0"/>
        </w:numPr>
        <w:spacing w:line="360" w:lineRule="auto"/>
        <w:ind w:leftChars="0"/>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4.2.2  选择的照明灯具在符合国家现行相关标准要求的同时，应优先选用维护方便且符合节能评价值的高效、绿色环保光源。在满足眩光限制和配光要求条件下，荧光灯效率不应低于：开敞式75%、带格栅或透明保护罩65%、带棱镜保护罩为55%；高强气体放电灯灯具效率不应低于：开敞式75%、带格栅或透明保护罩60%；LED灯能效（3000K～4000K）：95lm/W，（4000K～6000K）：105lm/W</w:t>
      </w:r>
    </w:p>
    <w:p w14:paraId="38C1539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4.2.4  本条规定了根据环境特性和安装条件选择灯具的要求：</w:t>
      </w:r>
    </w:p>
    <w:p w14:paraId="473274B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容易产生灰尘的室内场所或室外场所，灰尘和雨水有可能进入灯具，影响照明质量和灯具使用寿命。</w:t>
      </w:r>
    </w:p>
    <w:p w14:paraId="4C4F7E9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根据腐蚀环境中化学腐蚀性物质的释放严酷度不同，腐蚀环境的分类不同。应根据腐蚀环境的类别选择具有相应防腐能力的照明灯具。</w:t>
      </w:r>
    </w:p>
    <w:p w14:paraId="32D0D6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为了避免盐雾对灯具外壳及内部元器件造成腐蚀，通过选择合适的耐腐蚀材质制作的密闭式外壳达到防腐要求。</w:t>
      </w:r>
    </w:p>
    <w:p w14:paraId="7760773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  室外大面积照明场所，如储罐区、石油库等，为了减少灯具数量和维护工作量，可利用高杆、半高杆照明灯具。</w:t>
      </w:r>
    </w:p>
    <w:p w14:paraId="6BC3AC8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9  0类灯具的绝缘失效时将导致间接接触电击，因此，0类灯具已淘汰。</w:t>
      </w:r>
    </w:p>
    <w:p w14:paraId="3B2018A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4.2.5  本条规定了镇流器的选型原则。镇流器是气体放电灯不可少的附件，其自身功耗比较大时会降低照明系统的能效。镇流器的优劣对照明质量和照明能效都有很大的影响。</w:t>
      </w:r>
    </w:p>
    <w:p w14:paraId="5529DC1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荧光灯应配用电子镇流器或节能电感镇流器，但两者各有优缺点，电子镇流器以更高的能效、低频闪、无噪声、功率因数高等优势获得越来越广的应用，尤其是在视觉条件要求高的场所建议采用电子镇流器。相对电子镇流器，传统电感镇流器功率因数低，功耗大。对于T5直管荧光灯，电感镇流器不能可靠启动，须选用电子镇流器。但需注意，按《电磁兼容 限值 第1部分：谐波电流发射限值》（设备每相输入电流</w:t>
      </w:r>
      <w:r>
        <w:rPr>
          <w:rFonts w:hint="default" w:ascii="Arial" w:hAnsi="Arial" w:cs="Arial"/>
          <w:color w:val="000000" w:themeColor="text1"/>
          <w:sz w:val="24"/>
          <w:szCs w:val="24"/>
          <w:highlight w:val="none"/>
          <w:lang w:val="en-US"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16A）GB 17625.1-2022 的规定，25W及以下灯管其3次谐波值可能高达86%，3次谐波会在中性线呈3倍叠加，因此避免大量选用。镇流器的能效应满足现行国家标准《普通照明用气体放电灯用镇流器能效限定值及能效等级》GB 17896的要求。</w:t>
      </w:r>
    </w:p>
    <w:p w14:paraId="77DA4F3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高频电子镇流器，通常用几十千赫兹频率的电流供给灯管，其频闪影响大大降低，因此对频闪效应有限制的场所，应采用高频电子镇流器减少频闪的影响。</w:t>
      </w:r>
    </w:p>
    <w:p w14:paraId="0C6AF50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3  节能型电感镇流器的功耗比普通电感镇流器低很多，其节能效果明显。这类光源的电子镇流器尚不够稳定，暂对大功率灯具不宜普遍推广应用；对于功率较小灯具或质量有保证时，可配用电子镇流器。在电压偏差大的场所，采用高压纳灯和金属卤化物灯时，为了稳定输出、延长光源使用寿命，宜配用恒功率镇流器。</w:t>
      </w:r>
    </w:p>
    <w:p w14:paraId="7D7D0E61">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33" w:name="_Toc8208"/>
      <w:r>
        <w:rPr>
          <w:rFonts w:hint="eastAsia"/>
          <w:color w:val="000000" w:themeColor="text1"/>
          <w:highlight w:val="none"/>
          <w:lang w:val="en-US" w:eastAsia="zh-CN"/>
          <w14:textFill>
            <w14:solidFill>
              <w14:schemeClr w14:val="tx1"/>
            </w14:solidFill>
          </w14:textFill>
        </w:rPr>
        <w:t>5   照明质量</w:t>
      </w:r>
      <w:bookmarkEnd w:id="33"/>
    </w:p>
    <w:p w14:paraId="383941F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5.0.2  消防备用照明的场所按本规范第3.0.2条第3款的规定。</w:t>
      </w:r>
    </w:p>
    <w:p w14:paraId="4102908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5.0.4  化工生产装置各种塔器林立，管道纵横交错，不管在什么地方布置灯具，总可能有地方的照明被遮挡，要完全做到照度均匀需要布置大量灯具，这会造成很大的投资和能耗浪费，而对于非作业面完全没有必要这样做，因此本规范规定作业面邻近区域的照度均匀度保证一个最低值即可，该最低值参考国际照明委员会标准《室外工作场所照明 Lighting of Outdoor Work Places》CIE S 015/E 第5.3条。</w:t>
      </w:r>
    </w:p>
    <w:p w14:paraId="4E79DD71">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34" w:name="_Toc12179"/>
      <w:r>
        <w:rPr>
          <w:rFonts w:hint="eastAsia"/>
          <w:color w:val="000000" w:themeColor="text1"/>
          <w:highlight w:val="none"/>
          <w:lang w:val="en-US" w:eastAsia="zh-CN"/>
          <w14:textFill>
            <w14:solidFill>
              <w14:schemeClr w14:val="tx1"/>
            </w14:solidFill>
          </w14:textFill>
        </w:rPr>
        <w:t>6   灯具布置</w:t>
      </w:r>
      <w:bookmarkEnd w:id="34"/>
    </w:p>
    <w:p w14:paraId="2D9A1215">
      <w:pPr>
        <w:pStyle w:val="2"/>
        <w:ind w:firstLine="0" w:firstLineChars="0"/>
        <w:jc w:val="center"/>
        <w:rPr>
          <w:rFonts w:hint="default"/>
          <w:color w:val="000000" w:themeColor="text1"/>
          <w:highlight w:val="none"/>
          <w:lang w:val="en-US" w:eastAsia="zh-CN"/>
          <w14:textFill>
            <w14:solidFill>
              <w14:schemeClr w14:val="tx1"/>
            </w14:solidFill>
          </w14:textFill>
        </w:rPr>
      </w:pPr>
      <w:bookmarkStart w:id="35" w:name="_Toc26833"/>
      <w:r>
        <w:rPr>
          <w:rFonts w:hint="eastAsia" w:cs="Times New Roman"/>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.1 </w:t>
      </w:r>
      <w:r>
        <w:rPr>
          <w:rFonts w:hint="eastAsia" w:cs="Times New Roman"/>
          <w:color w:val="000000" w:themeColor="text1"/>
          <w:sz w:val="28"/>
          <w:szCs w:val="28"/>
          <w:highlight w:val="none"/>
          <w:lang w:val="en-US" w:eastAsia="zh-CN"/>
          <w14:textFill>
            <w14:solidFill>
              <w14:schemeClr w14:val="tx1"/>
            </w14:solidFill>
          </w14:textFill>
        </w:rPr>
        <w:t>灯具布置</w:t>
      </w:r>
      <w:bookmarkEnd w:id="35"/>
    </w:p>
    <w:p w14:paraId="75B314A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000000" w:themeColor="text1"/>
          <w:sz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6.1.7  室外大面积的工作场所利用高杆灯照明更加容易使照度均匀，照射面积广，高杆灯的数量也远少于普通灯具，具有一定的优势。但是灯杆不宜过高，否则灯具利用效率很低，而且过高的灯杆抗风压困难，根据某厂家的生产数据，35m的高杆灯的下部灯杆已需要采用12mm厚度的Q460高强度钢板，灯杆底部直径达700mm，顶部直径250mm，制造和安装已经有困难，再加上继续加大高度对地面的照明也不再有利，因此本规范对灯杆的高度做了限定。</w:t>
      </w:r>
    </w:p>
    <w:p w14:paraId="0189900A">
      <w:pPr>
        <w:pStyle w:val="2"/>
        <w:ind w:firstLine="0" w:firstLineChars="0"/>
        <w:jc w:val="center"/>
        <w:rPr>
          <w:rFonts w:hint="default"/>
          <w:color w:val="000000" w:themeColor="text1"/>
          <w:highlight w:val="none"/>
          <w:lang w:val="en-US" w:eastAsia="zh-CN"/>
          <w14:textFill>
            <w14:solidFill>
              <w14:schemeClr w14:val="tx1"/>
            </w14:solidFill>
          </w14:textFill>
        </w:rPr>
      </w:pPr>
      <w:bookmarkStart w:id="36" w:name="_Toc4279"/>
      <w:r>
        <w:rPr>
          <w:rFonts w:hint="eastAsia" w:cs="Times New Roman"/>
          <w:color w:val="000000" w:themeColor="text1"/>
          <w:sz w:val="28"/>
          <w:szCs w:val="28"/>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w:t>
      </w:r>
      <w:r>
        <w:rPr>
          <w:rFonts w:hint="eastAsia" w:cs="Times New Roman"/>
          <w:color w:val="000000" w:themeColor="text1"/>
          <w:sz w:val="28"/>
          <w:szCs w:val="28"/>
          <w:highlight w:val="none"/>
          <w:lang w:val="en-US" w:eastAsia="zh-CN"/>
          <w14:textFill>
            <w14:solidFill>
              <w14:schemeClr w14:val="tx1"/>
            </w14:solidFill>
          </w14:textFill>
        </w:rPr>
        <w:t>2</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cs="Times New Roman"/>
          <w:color w:val="000000" w:themeColor="text1"/>
          <w:sz w:val="28"/>
          <w:szCs w:val="28"/>
          <w:highlight w:val="none"/>
          <w:lang w:val="en-US" w:eastAsia="zh-CN"/>
          <w14:textFill>
            <w14:solidFill>
              <w14:schemeClr w14:val="tx1"/>
            </w14:solidFill>
          </w14:textFill>
        </w:rPr>
        <w:t>障碍照明</w:t>
      </w:r>
      <w:bookmarkEnd w:id="36"/>
    </w:p>
    <w:p w14:paraId="231C840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6.2.6  目前的航空障碍照明灯具都是LED光源，寿命可达5万小时以上，未来随着技术发展寿命只会加长，需要维修的情况较少，因此不宜为其专门设置检修平台，一个满足安全要求的检修平台造价较高，而且有些情况下甚至无法安装平台。如果确实没有平台可以利用，需要检修时也可以利用临时措施。</w:t>
      </w:r>
    </w:p>
    <w:p w14:paraId="19095B83">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37" w:name="_Toc15706"/>
      <w:r>
        <w:rPr>
          <w:rFonts w:hint="eastAsia"/>
          <w:color w:val="000000" w:themeColor="text1"/>
          <w:highlight w:val="none"/>
          <w:lang w:val="en-US" w:eastAsia="zh-CN"/>
          <w14:textFill>
            <w14:solidFill>
              <w14:schemeClr w14:val="tx1"/>
            </w14:solidFill>
          </w14:textFill>
        </w:rPr>
        <w:t>7   照明配电及控制</w:t>
      </w:r>
      <w:bookmarkEnd w:id="37"/>
    </w:p>
    <w:p w14:paraId="0BFB0EC0">
      <w:pPr>
        <w:pStyle w:val="2"/>
        <w:bidi w:val="0"/>
        <w:ind w:firstLine="0" w:firstLineChars="0"/>
        <w:jc w:val="center"/>
        <w:rPr>
          <w:rFonts w:hint="default"/>
          <w:color w:val="000000" w:themeColor="text1"/>
          <w:highlight w:val="none"/>
          <w:lang w:val="en-US" w:eastAsia="zh-CN"/>
          <w14:textFill>
            <w14:solidFill>
              <w14:schemeClr w14:val="tx1"/>
            </w14:solidFill>
          </w14:textFill>
        </w:rPr>
      </w:pPr>
      <w:bookmarkStart w:id="38" w:name="_Toc11485"/>
      <w:r>
        <w:rPr>
          <w:rFonts w:hint="eastAsia"/>
          <w:color w:val="000000" w:themeColor="text1"/>
          <w:sz w:val="28"/>
          <w:szCs w:val="28"/>
          <w:highlight w:val="none"/>
          <w:lang w:val="en-US" w:eastAsia="zh-CN"/>
          <w14:textFill>
            <w14:solidFill>
              <w14:schemeClr w14:val="tx1"/>
            </w14:solidFill>
          </w14:textFill>
        </w:rPr>
        <w:t>7.1   照明电压</w:t>
      </w:r>
      <w:bookmarkEnd w:id="38"/>
    </w:p>
    <w:p w14:paraId="02F78E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7.1.1  本条规定了照明电压的选择原则。</w:t>
      </w:r>
    </w:p>
    <w:p w14:paraId="04B6AFB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现行国家标准《标准电压》GB/T 156-2017规定的GB范围内低压系统的标称电压为220V/380V，这是按照我国的实际情况进行的规定，与IEC的规定并不完全一致，其对应的用电设备额定电压为220V/380V，对应的配电降压变压器二次侧空载额定电压应为230V/400V。近年来，国外投资方在我国境内投资的项目，有的采用了配电变压器二次侧空载额定电压为240V/415V，该系统下用电设备额定电压应为230V/400V。对于大部分灯具，都能进行220V/380V和230V/400V双额定电压的认证，但是对于部分消防灯具，因消防部门的规定，不出具GB/T 156标称电压以外的电压认证标识，因此有些消防认证灯具尽管适合两种额定电压，但是其上只标识了220V/380V的额定电压，这种情况下，应具体跟生产厂家沟通，厂家的说明及保证性文件应被看作是有效的。</w:t>
      </w:r>
    </w:p>
    <w:p w14:paraId="76516E2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按照现行国家标准《低压电气装置 第4-41部分：安全防护 电击防护》GB/T 16895.21-2020的划分，特低电压供电系统分为安全特低电压SELV和保护特低电压PELV，SELV的特点是整个特低电压回路包括用电设备外壳完全绝缘安装（尽管规范允许用电设备外壳可以和大地或建筑物地有接触，但本规范不推荐），而PELV的特低电压回路及用电设备外壳都可以接地或接PE线。</w:t>
      </w:r>
    </w:p>
    <w:p w14:paraId="40EAC84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既然特低电压系统是靠电压足够低来保证安全，那任何有可能破坏这种足够低的因素都应该被排除，而供电系统接地网的故障电位升完全有可能会超出这个电压限值，因此，特低电压系统一般采用SELV，这既包括通过隔离降压变压器降压后供电的交流SELV系统，也包括各种蓄电池供电的移动照明设备。应该指出，随着技术的发展，蓄电池的容量、寿命、体积、重量、可靠性都已经完全满足移动照明的需求，价格也非常经济，因此对便携式移动作业灯具，应尽可能使用蓄电池供电，减少交流移动供电系统的使用。但是对于锅炉内部检修等需要几天甚至更长时间照明的场所，检修期间蓄电池需要多次充电明显不利于作业，此种情况下宜采用交流供电，为了保证灵活性和经济性，应采用可移动的隔离降压变压器，而不宜设置固定安装的行灯变压器。</w:t>
      </w:r>
    </w:p>
    <w:p w14:paraId="44DB65F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如采用PELV系统，必须在整个环境内做好等电位连接，在大部分场所不具备可操作性。</w:t>
      </w:r>
    </w:p>
    <w:p w14:paraId="4784AAF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strike/>
          <w:dstrike w:val="0"/>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对于已经接地或其上已经引入特低等级以外电压的设备，采用SELV或PELV实际已经没有意义，不宜在其内部设置检修照明，内部检修时可采用移动照明。</w:t>
      </w:r>
      <w:r>
        <w:rPr>
          <w:rFonts w:hint="eastAsia"/>
          <w:strike w:val="0"/>
          <w:dstrike w:val="0"/>
          <w:color w:val="000000" w:themeColor="text1"/>
          <w:sz w:val="24"/>
          <w:szCs w:val="24"/>
          <w:highlight w:val="none"/>
          <w:lang w:val="en-US" w:eastAsia="zh-CN"/>
          <w14:textFill>
            <w14:solidFill>
              <w14:schemeClr w14:val="tx1"/>
            </w14:solidFill>
          </w14:textFill>
        </w:rPr>
        <w:t>视镜灯跟其余内部作业照明不同，该照明灯一般是安装于设备内部但是用于从外部观察，观察者不会接触灯具，反而会接触设备，因为设备已经接地，甚至上面还安装了其他电压等级的用电设备，对视镜灯采用特低电压供电不会降低设备外壳带危险电压的概率，而对视镜灯采用交流220V供电也不会明显增加设备外壳带危险电压的概率，因此视镜灯可以采用220V供电。</w:t>
      </w:r>
    </w:p>
    <w:p w14:paraId="3ED6A9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7.1.3  本条参考现行国家标准《建筑照明设计标准》GB/T 50034第7.1.4条进行编写；参考标准图集《应急照明设计与安装》19D702-7 P21页，消防应急灯具端子处电压偏差允许值可为额定电压的+20%、-20%”。根据对各生产商的产品控制特效的调研得出，消防疏散指示和疏散照明的电源在截止以前为恒电压、电流、功率输出，因此不需要考虑其电源电池在放电末期的电压降落。</w:t>
      </w:r>
    </w:p>
    <w:p w14:paraId="6C3CCFC0">
      <w:pPr>
        <w:pStyle w:val="2"/>
        <w:bidi w:val="0"/>
        <w:ind w:firstLine="0" w:firstLineChars="0"/>
        <w:jc w:val="center"/>
        <w:rPr>
          <w:rFonts w:hint="eastAsia"/>
          <w:color w:val="000000" w:themeColor="text1"/>
          <w:sz w:val="28"/>
          <w:szCs w:val="28"/>
          <w:highlight w:val="none"/>
          <w:lang w:val="en-US" w:eastAsia="zh-CN"/>
          <w14:textFill>
            <w14:solidFill>
              <w14:schemeClr w14:val="tx1"/>
            </w14:solidFill>
          </w14:textFill>
        </w:rPr>
      </w:pPr>
      <w:bookmarkStart w:id="39" w:name="_Toc5817"/>
      <w:r>
        <w:rPr>
          <w:rFonts w:hint="eastAsia"/>
          <w:color w:val="000000" w:themeColor="text1"/>
          <w:sz w:val="28"/>
          <w:szCs w:val="28"/>
          <w:highlight w:val="none"/>
          <w:lang w:val="en-US" w:eastAsia="zh-CN"/>
          <w14:textFill>
            <w14:solidFill>
              <w14:schemeClr w14:val="tx1"/>
            </w14:solidFill>
          </w14:textFill>
        </w:rPr>
        <w:t>7.2   照明配电系统</w:t>
      </w:r>
      <w:bookmarkEnd w:id="39"/>
    </w:p>
    <w:p w14:paraId="6F12B3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  考虑化工企业通常动力负荷持续稳定，动力、照明宜共用变压器。</w:t>
      </w:r>
    </w:p>
    <w:p w14:paraId="1FA6AF9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strike/>
          <w:dstrike w:val="0"/>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7.2.2  </w:t>
      </w:r>
      <w:r>
        <w:rPr>
          <w:rFonts w:hint="eastAsia"/>
          <w:strike w:val="0"/>
          <w:dstrike w:val="0"/>
          <w:color w:val="000000" w:themeColor="text1"/>
          <w:sz w:val="24"/>
          <w:szCs w:val="24"/>
          <w:highlight w:val="none"/>
          <w:lang w:val="en-US" w:eastAsia="zh-CN"/>
          <w14:textFill>
            <w14:solidFill>
              <w14:schemeClr w14:val="tx1"/>
            </w14:solidFill>
          </w14:textFill>
        </w:rPr>
        <w:t>当变压器带有每小时起动次数多于10次的较大功率电动机时，其起动时母线电压波动如大于额定电压10%，动力、照明宜分别采用变压器，或采用专门的照明稳压电源装置。</w:t>
      </w:r>
    </w:p>
    <w:p w14:paraId="5009B4D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7.2.3  以往实际工作中更多的采用的是TN-S系统。</w:t>
      </w:r>
    </w:p>
    <w:p w14:paraId="79C8D51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7.2.4  从提高供电可靠性的角度出发，推荐放射式。线路较长，如煤储运系统及类似场景，也可采用树干式。</w:t>
      </w:r>
    </w:p>
    <w:p w14:paraId="21BAFD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7.2.5  道路照明的供电，其保护、控制与其它照明通常不同，因此应将道路照明与其它照明的供电回路分开。</w:t>
      </w:r>
    </w:p>
    <w:p w14:paraId="7A5AD30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7.2.6  本条适用于采用交流电压380V/220V的照明配电箱，包括正常照明、备用照明。</w:t>
      </w:r>
    </w:p>
    <w:p w14:paraId="677D8AA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  本款所指的室外照明是指处于厂房或框架（敞开式厂房）之外的完全露天场所的照明，比如道路照明，厂前区景观照明等。</w:t>
      </w:r>
    </w:p>
    <w:p w14:paraId="6DE9D7B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7.2.7  本条件结合化工企业装置区的具体情况对消防疏散照明和疏散指示配电箱(含电池)的布置位置做出规定。</w:t>
      </w:r>
    </w:p>
    <w:p w14:paraId="78F8FB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化工企业内各生产装置之间理论上不会受火灾影响，因此一个场所的消防疏散照明不用考虑其供电电源所在场所着火会有什么影响，同样的，本场所着火也不必考虑对供电电源场所和其他场所有什么影响。如果包含变电所在内的几个相邻建筑共用消防疏散配电箱，该配电箱设置于变电所内部比较安全，环境也比较好。如果相邻的几个装置或建构筑物内部环境都不太好，比如几个相邻的防爆场所，则配电箱更应该设置于不受任何装置火灾影响的户外独立区域。设于户外时应采取措施满足电池的最低运行需求。</w:t>
      </w:r>
    </w:p>
    <w:p w14:paraId="238A2E5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从客观上说，消防疏散照明对于化工企业防爆场所的用处并不大，本款强调的是相对安全的位置，禁止无限提高要求而造成浪费。相对安全的位置系指建、构筑物火灾时对配电箱或集中电源影响较小，如安全出口附近的墙上，甲、乙类仓库的外墙上，爆炸危险区域厂房外部的管廊下，存储易燃易爆品罐区围堰外等。</w:t>
      </w:r>
    </w:p>
    <w:p w14:paraId="28ED8B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7.2.9  采用特低电压供电的回路也存在灯具更换、数量增加可能性，存在过负荷的隐患。</w:t>
      </w:r>
    </w:p>
    <w:p w14:paraId="737E667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7.2.10  本条规定了照明电源的选择原则。</w:t>
      </w:r>
    </w:p>
    <w:p w14:paraId="40CC5AE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  对于化工企业来说，消防备用照明并不比其他备用照明更重要，也无需考虑火灾影响，因此对于所有备用照明统一要求。</w:t>
      </w:r>
    </w:p>
    <w:p w14:paraId="3F0404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  现行国家标准《建筑防火通用规范》GB 55037的第10.1.3条按照消防负荷的重要性不同而对切换地点进行了不同的规定，消防应急照明箱等大多数消防负荷都是要求在防火分区配电箱切换而不要求就地切换，而化工企业甲乙丙类厂房内一般不设置大的配电箱（危险环境设置大的配电箱不光经济性差，而且安全风险也大），大部分设备都是从外部独立变电所直供，因此消防疏散的供电电源切换点改为独立于火灾建构筑物以外的变电所内，并不违背GB 55037规定的原则。如果消防配电箱或电源箱本身设置了双路电源进线，则可以从变电所双路供电。应该认识到，消防疏散配电箱的220V市电主要是做充电电源，在火灾时并不需要甚至需要手动切除，对一个在火灾时不需要的回路设置双重冗余，属实没有必要，在国外的工程中没有碰到此类要求。</w:t>
      </w:r>
    </w:p>
    <w:p w14:paraId="1ED81E3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7.2.13  实践证明，化工企业配电电缆意外遭受机械损伤的可能性几乎没有，因此本条第4款明确规定照明电缆可以断配，即各种进线口处的电缆可以裸漏，以方便安装和后续检修维护，不用再考虑防止机械损伤的措施，当然，也不应该故意增加裸漏电缆的长度。</w:t>
      </w:r>
    </w:p>
    <w:p w14:paraId="67B088C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default"/>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7.2.14  本条第4款的规定来源于大量国际工程项目经验。与国内不同，大量国外项目对用电设备接地采用了环形接地的方式（包括中国工程公司设计的项目和国际工程公司设计的项目），即第一个设备接主接地线，然后用接地线将该设备与下一个设备接地点连接，再从下一个设备接地点引至下下个设备，</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，直至最后一个设备，然后将最后一个设备与另一端主接地线连接。</w:t>
      </w:r>
      <w:r>
        <w:rPr>
          <w:rFonts w:hint="eastAsia"/>
          <w:color w:val="000000" w:themeColor="text1"/>
          <w:sz w:val="24"/>
          <w:szCs w:val="24"/>
          <w:highlight w:val="none"/>
          <w:lang w:val="en-US" w:eastAsia="zh-CN"/>
          <w14:textFill>
            <w14:solidFill>
              <w14:schemeClr w14:val="tx1"/>
            </w14:solidFill>
          </w14:textFill>
        </w:rPr>
        <w:t>与国内常用的每个设备都从主接地线辐射式单点引接相比，环形接地方式可靠性更高（每个设备都保证了两个接地线），而且大大节省了材料。鉴于国内目前的规范现状，本文先从金属保护管开始要求采用环形接地方式，即提高可靠性，还大大减少材料浪费。相邻区域的大小可根据两端主接地线的引接方便性、保护管排列和位置、检查方便性等情况灵活确定。照明保护管内的导线截面都较小，回路开关的额定电流和动作值也较小，6mm</w:t>
      </w:r>
      <w:r>
        <w:rPr>
          <w:rFonts w:hint="eastAsia"/>
          <w:color w:val="000000" w:themeColor="text1"/>
          <w:sz w:val="24"/>
          <w:szCs w:val="24"/>
          <w:highlight w:val="none"/>
          <w:vertAlign w:val="superscript"/>
          <w:lang w:val="en-US" w:eastAsia="zh-CN"/>
          <w14:textFill>
            <w14:solidFill>
              <w14:schemeClr w14:val="tx1"/>
            </w14:solidFill>
          </w14:textFill>
        </w:rPr>
        <w:t>2</w:t>
      </w:r>
      <w:r>
        <w:rPr>
          <w:rFonts w:hint="eastAsia"/>
          <w:color w:val="000000" w:themeColor="text1"/>
          <w:sz w:val="24"/>
          <w:szCs w:val="24"/>
          <w:highlight w:val="none"/>
          <w:vertAlign w:val="baseline"/>
          <w:lang w:val="en-US" w:eastAsia="zh-CN"/>
          <w14:textFill>
            <w14:solidFill>
              <w14:schemeClr w14:val="tx1"/>
            </w14:solidFill>
          </w14:textFill>
        </w:rPr>
        <w:t>截面的铜接地线已足够可靠，跨接线、接地线与金属管连接可采用抱箍的形式。</w:t>
      </w:r>
    </w:p>
    <w:p w14:paraId="3991FA07">
      <w:pPr>
        <w:pStyle w:val="2"/>
        <w:bidi w:val="0"/>
        <w:ind w:firstLine="0" w:firstLineChars="0"/>
        <w:jc w:val="center"/>
        <w:rPr>
          <w:rFonts w:hint="default"/>
          <w:color w:val="000000" w:themeColor="text1"/>
          <w:sz w:val="28"/>
          <w:szCs w:val="28"/>
          <w:highlight w:val="none"/>
          <w:lang w:val="en-US" w:eastAsia="zh-CN"/>
          <w14:textFill>
            <w14:solidFill>
              <w14:schemeClr w14:val="tx1"/>
            </w14:solidFill>
          </w14:textFill>
        </w:rPr>
      </w:pPr>
      <w:bookmarkStart w:id="40" w:name="_Toc9704"/>
      <w:r>
        <w:rPr>
          <w:rFonts w:hint="eastAsia"/>
          <w:color w:val="000000" w:themeColor="text1"/>
          <w:sz w:val="28"/>
          <w:szCs w:val="28"/>
          <w:highlight w:val="none"/>
          <w:lang w:val="en-US" w:eastAsia="zh-CN"/>
          <w14:textFill>
            <w14:solidFill>
              <w14:schemeClr w14:val="tx1"/>
            </w14:solidFill>
          </w14:textFill>
        </w:rPr>
        <w:t>7.3   照明控制</w:t>
      </w:r>
      <w:bookmarkEnd w:id="40"/>
    </w:p>
    <w:p w14:paraId="1188698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0" w:firstLineChars="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7.3.2  本条对现行国家标准《消防应急照明和疏散指示系统技术标准》GB 51309进行补充。化工企业消防疏散照明和疏散指示通常采用集中控制型，火灾时应联动点亮。越简单的逻辑通常越可靠，故本条推荐灯具点亮范围为全厂；具体哪些建、构筑物需要疏散及建、构筑物外部的疏散，由于与火灾时的风向等因素息息相关，可借助全厂应急广播系统来进行引导。</w:t>
      </w:r>
    </w:p>
    <w:p w14:paraId="4292DD43">
      <w:pPr>
        <w:pStyle w:val="2"/>
        <w:keepNext/>
        <w:keepLines/>
        <w:pageBreakBefore/>
        <w:widowControl w:val="0"/>
        <w:kinsoku/>
        <w:wordWrap/>
        <w:overflowPunct/>
        <w:topLinePunct w:val="0"/>
        <w:autoSpaceDE/>
        <w:autoSpaceDN/>
        <w:bidi w:val="0"/>
        <w:adjustRightInd/>
        <w:snapToGrid/>
        <w:spacing w:before="300" w:after="300" w:line="480" w:lineRule="auto"/>
        <w:ind w:firstLine="0" w:firstLineChars="0"/>
        <w:jc w:val="center"/>
        <w:textAlignment w:val="auto"/>
        <w:rPr>
          <w:rFonts w:hint="eastAsia"/>
          <w:color w:val="000000" w:themeColor="text1"/>
          <w:highlight w:val="none"/>
          <w:lang w:val="en-US" w:eastAsia="zh-CN"/>
          <w14:textFill>
            <w14:solidFill>
              <w14:schemeClr w14:val="tx1"/>
            </w14:solidFill>
          </w14:textFill>
        </w:rPr>
      </w:pPr>
      <w:bookmarkStart w:id="41" w:name="_Toc28743"/>
      <w:r>
        <w:rPr>
          <w:rFonts w:hint="eastAsia"/>
          <w:color w:val="000000" w:themeColor="text1"/>
          <w:highlight w:val="none"/>
          <w:lang w:val="en-US" w:eastAsia="zh-CN"/>
          <w14:textFill>
            <w14:solidFill>
              <w14:schemeClr w14:val="tx1"/>
            </w14:solidFill>
          </w14:textFill>
        </w:rPr>
        <w:t>8   照明节能</w:t>
      </w:r>
      <w:bookmarkEnd w:id="41"/>
    </w:p>
    <w:p w14:paraId="09DB917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8.0.2  本条规定的能效水平与现行国家标准《建筑照明设计标准》GB/T 50034的规定一致。</w:t>
      </w:r>
    </w:p>
    <w:p w14:paraId="4E4E537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8.0.2  根据现行国家标准《建筑节能与可再生能源利用通用规范》GB 55015和现行国家标准《建筑照明设计标准》GB/T 50034的规定及条文说明，原则上仅对GB 55015和GB/T 50034规定的场所进行照明功率密度限值考核。</w:t>
      </w:r>
    </w:p>
    <w:p w14:paraId="3A1213D1">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8.0.4  当前部分化工企业装置区照明灯具数量较多，存在设计照度高于国家或行业照度标准值的现象，而缩减灯具数量可有效降低照明能耗，因此在满足照度标准值条件下，通过合理布局、按区规划等尽可能减少灯具的数量。</w:t>
      </w:r>
    </w:p>
    <w:p w14:paraId="4F7BDB2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8.0.5  太阳能取之不尽、用之不竭，符合节能和环保要求。化工企业装置区内管廊、塔器及框架分布密集，阴影分析复杂，区域内遮挡现象显著，造成太阳能利用效率偏低；厂前区一般远离装置区，适合采用太阳能作为照明能源。</w:t>
      </w:r>
    </w:p>
    <w:p w14:paraId="080CDA2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8.0.7  定期进行照明器具的清洁和更换，有利于照明节能。</w:t>
      </w:r>
    </w:p>
    <w:p w14:paraId="2F422344">
      <w:pPr>
        <w:keepNext w:val="0"/>
        <w:keepLines w:val="0"/>
        <w:pageBreakBefore w:val="0"/>
        <w:widowControl w:val="0"/>
        <w:numPr>
          <w:ilvl w:val="0"/>
          <w:numId w:val="0"/>
        </w:numPr>
        <w:kinsoku/>
        <w:wordWrap/>
        <w:overflowPunct/>
        <w:topLinePunct w:val="0"/>
        <w:autoSpaceDE/>
        <w:autoSpaceDN/>
        <w:bidi w:val="0"/>
        <w:adjustRightInd/>
        <w:snapToGrid/>
        <w:ind w:firstLine="0" w:firstLineChars="0"/>
        <w:textAlignment w:val="auto"/>
        <w:rPr>
          <w:rFonts w:hint="default"/>
          <w:sz w:val="28"/>
          <w:szCs w:val="28"/>
          <w:lang w:val="en-US" w:eastAsia="zh-CN"/>
        </w:rPr>
      </w:pPr>
    </w:p>
    <w:sectPr>
      <w:footerReference r:id="rId15" w:type="default"/>
      <w:pgSz w:w="11907" w:h="16840"/>
      <w:pgMar w:top="1440" w:right="1797" w:bottom="1440" w:left="179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0E2FD">
    <w:pPr>
      <w:widowControl w:val="0"/>
      <w:snapToGrid w:val="0"/>
      <w:ind w:right="210" w:rightChars="100"/>
      <w:jc w:val="righ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19D24">
    <w:pPr>
      <w:widowControl w:val="0"/>
      <w:snapToGrid w:val="0"/>
      <w:ind w:right="210" w:rightChars="100"/>
      <w:jc w:val="righ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2</w:t>
    </w:r>
    <w:r>
      <w:rPr>
        <w:rFonts w:ascii="Times New Roman" w:hAnsi="Times New Roman" w:eastAsia="宋体" w:cs="Times New Roman"/>
        <w:kern w:val="2"/>
        <w:sz w:val="18"/>
        <w:szCs w:val="18"/>
        <w:lang w:val="en-US" w:eastAsia="zh-CN"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2F47A">
    <w:pPr>
      <w:pStyle w:val="45"/>
      <w:rPr>
        <w:rStyle w:val="23"/>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E00091">
    <w:pPr>
      <w:pStyle w:val="45"/>
      <w:rPr>
        <w:rStyle w:val="23"/>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FDA08">
    <w:pPr>
      <w:pStyle w:val="45"/>
      <w:rPr>
        <w:rStyle w:val="23"/>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F0E84">
    <w:pPr>
      <w:pStyle w:val="45"/>
      <w:rPr>
        <w:rStyle w:val="23"/>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B99EF">
    <w:pPr>
      <w:pStyle w:val="11"/>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375DE1">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7C375DE1">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948575">
    <w:pPr>
      <w:pStyle w:val="11"/>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4A0CC9">
                          <w:pPr>
                            <w:pStyle w:val="11"/>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C4A0CC9">
                    <w:pPr>
                      <w:pStyle w:val="11"/>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C232C">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0AD020">
                          <w:pPr>
                            <w:pStyle w:val="11"/>
                          </w:pPr>
                          <w:r>
                            <w:fldChar w:fldCharType="begin"/>
                          </w:r>
                          <w:r>
                            <w:instrText xml:space="preserve"> PAGE  \* MERGEFORMAT </w:instrText>
                          </w:r>
                          <w:r>
                            <w:fldChar w:fldCharType="separate"/>
                          </w:r>
                          <w:r>
                            <w:t>27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A0AD020">
                    <w:pPr>
                      <w:pStyle w:val="11"/>
                    </w:pPr>
                    <w:r>
                      <w:fldChar w:fldCharType="begin"/>
                    </w:r>
                    <w:r>
                      <w:instrText xml:space="preserve"> PAGE  \* MERGEFORMAT </w:instrText>
                    </w:r>
                    <w:r>
                      <w:fldChar w:fldCharType="separate"/>
                    </w:r>
                    <w:r>
                      <w:t>27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footnote>
  <w:footnote w:type="continuationSeparator" w:id="5">
    <w:p/>
  </w:footnote>
  <w:footnote w:id="0">
    <w:p w14:paraId="2D33E8E6">
      <w:pPr>
        <w:pStyle w:val="14"/>
        <w:rPr>
          <w:sz w:val="21"/>
          <w:szCs w:val="21"/>
        </w:rPr>
      </w:pPr>
      <w:r>
        <w:rPr>
          <w:rFonts w:hint="eastAsia"/>
          <w:sz w:val="21"/>
          <w:szCs w:val="21"/>
          <w:lang w:val="en-US" w:eastAsia="zh-CN"/>
        </w:rPr>
        <w:t>注：1 指</w:t>
      </w:r>
      <w:r>
        <w:rPr>
          <w:rFonts w:hint="eastAsia"/>
          <w:sz w:val="21"/>
          <w:szCs w:val="21"/>
        </w:rPr>
        <w:t>垂直照度值。</w:t>
      </w:r>
    </w:p>
  </w:footnote>
  <w:footnote w:id="1">
    <w:p w14:paraId="4E2C48F7">
      <w:pPr>
        <w:pStyle w:val="14"/>
        <w:rPr>
          <w:rFonts w:hint="eastAsia"/>
          <w:sz w:val="21"/>
          <w:szCs w:val="21"/>
        </w:rPr>
      </w:pPr>
      <w:r>
        <w:rPr>
          <w:rFonts w:hint="eastAsia"/>
          <w:sz w:val="21"/>
          <w:szCs w:val="21"/>
          <w:lang w:val="en-US" w:eastAsia="zh-CN"/>
        </w:rPr>
        <w:t>注：1 指</w:t>
      </w:r>
      <w:r>
        <w:rPr>
          <w:rFonts w:hint="eastAsia"/>
          <w:sz w:val="21"/>
          <w:szCs w:val="21"/>
        </w:rPr>
        <w:t>垂直照度值。</w:t>
      </w:r>
    </w:p>
    <w:p w14:paraId="3E0AFD70">
      <w:pPr>
        <w:pStyle w:val="14"/>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C7D55B">
    <w:pPr>
      <w:tabs>
        <w:tab w:val="center" w:pos="4154"/>
        <w:tab w:val="right" w:pos="8306"/>
      </w:tabs>
      <w:spacing w:after="220"/>
      <w:ind w:right="360"/>
      <w:jc w:val="left"/>
      <w:rPr>
        <w:rFonts w:hint="eastAsia" w:ascii="黑体" w:hAnsi="Times New Roman" w:eastAsia="黑体" w:cs="Times New Roman"/>
        <w:sz w:val="21"/>
        <w:szCs w:val="21"/>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FB2339">
    <w:pPr>
      <w:widowControl w:val="0"/>
      <w:snapToGrid w:val="0"/>
      <w:ind w:right="360" w:firstLine="360"/>
      <w:jc w:val="left"/>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8508E2"/>
    <w:multiLevelType w:val="singleLevel"/>
    <w:tmpl w:val="B88508E2"/>
    <w:lvl w:ilvl="0" w:tentative="0">
      <w:start w:val="2"/>
      <w:numFmt w:val="decimal"/>
      <w:suff w:val="space"/>
      <w:lvlText w:val="%1）"/>
      <w:lvlJc w:val="left"/>
    </w:lvl>
  </w:abstractNum>
  <w:abstractNum w:abstractNumId="1">
    <w:nsid w:val="E6563508"/>
    <w:multiLevelType w:val="singleLevel"/>
    <w:tmpl w:val="E6563508"/>
    <w:lvl w:ilvl="0" w:tentative="0">
      <w:start w:val="1"/>
      <w:numFmt w:val="decimal"/>
      <w:suff w:val="nothing"/>
      <w:lvlText w:val="%1）"/>
      <w:lvlJc w:val="left"/>
      <w:pPr>
        <w:ind w:left="980" w:leftChars="0" w:firstLine="0" w:firstLineChars="0"/>
      </w:pPr>
    </w:lvl>
  </w:abstractNum>
  <w:abstractNum w:abstractNumId="2">
    <w:nsid w:val="024586CE"/>
    <w:multiLevelType w:val="singleLevel"/>
    <w:tmpl w:val="024586CE"/>
    <w:lvl w:ilvl="0" w:tentative="0">
      <w:start w:val="1"/>
      <w:numFmt w:val="decimal"/>
      <w:suff w:val="space"/>
      <w:lvlText w:val="%1）"/>
      <w:lvlJc w:val="left"/>
    </w:lvl>
  </w:abstractNum>
  <w:abstractNum w:abstractNumId="3">
    <w:nsid w:val="1FC91163"/>
    <w:multiLevelType w:val="multilevel"/>
    <w:tmpl w:val="1FC91163"/>
    <w:lvl w:ilvl="0" w:tentative="0">
      <w:start w:val="1"/>
      <w:numFmt w:val="decimal"/>
      <w:pStyle w:val="37"/>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36"/>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38"/>
      <w:suff w:val="nothing"/>
      <w:lvlText w:val="%1.%2.%3　"/>
      <w:lvlJc w:val="left"/>
      <w:pPr>
        <w:ind w:left="284" w:firstLine="0"/>
      </w:pPr>
      <w:rPr>
        <w:rFonts w:hint="eastAsia" w:ascii="黑体" w:hAnsi="Times New Roman" w:eastAsia="黑体"/>
        <w:b w:val="0"/>
        <w:i w:val="0"/>
        <w:sz w:val="21"/>
      </w:rPr>
    </w:lvl>
    <w:lvl w:ilvl="3" w:tentative="0">
      <w:start w:val="1"/>
      <w:numFmt w:val="decimal"/>
      <w:pStyle w:val="39"/>
      <w:suff w:val="nothing"/>
      <w:lvlText w:val="%1.%2.%3.%4　"/>
      <w:lvlJc w:val="left"/>
      <w:pPr>
        <w:ind w:left="0" w:firstLine="0"/>
      </w:pPr>
      <w:rPr>
        <w:rFonts w:hint="eastAsia" w:ascii="黑体" w:hAnsi="Times New Roman" w:eastAsia="黑体"/>
        <w:b w:val="0"/>
        <w:i w:val="0"/>
        <w:sz w:val="21"/>
      </w:rPr>
    </w:lvl>
    <w:lvl w:ilvl="4" w:tentative="0">
      <w:start w:val="1"/>
      <w:numFmt w:val="decimal"/>
      <w:pStyle w:val="40"/>
      <w:suff w:val="nothing"/>
      <w:lvlText w:val="%1.%2.%3.%4.%5　"/>
      <w:lvlJc w:val="left"/>
      <w:pPr>
        <w:ind w:left="0" w:firstLine="0"/>
      </w:pPr>
      <w:rPr>
        <w:rFonts w:hint="eastAsia" w:ascii="黑体" w:hAnsi="Times New Roman" w:eastAsia="黑体"/>
        <w:b w:val="0"/>
        <w:i w:val="0"/>
        <w:sz w:val="21"/>
      </w:rPr>
    </w:lvl>
    <w:lvl w:ilvl="5" w:tentative="0">
      <w:start w:val="1"/>
      <w:numFmt w:val="decimal"/>
      <w:pStyle w:val="41"/>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21F8F3A1"/>
    <w:multiLevelType w:val="singleLevel"/>
    <w:tmpl w:val="21F8F3A1"/>
    <w:lvl w:ilvl="0" w:tentative="0">
      <w:start w:val="1"/>
      <w:numFmt w:val="decimal"/>
      <w:suff w:val="nothing"/>
      <w:lvlText w:val="%1）"/>
      <w:lvlJc w:val="left"/>
      <w:pPr>
        <w:ind w:left="980" w:leftChars="0" w:firstLine="0" w:firstLineChars="0"/>
      </w:p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footnotePr>
    <w:footnote w:id="4"/>
    <w:footnote w:id="5"/>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2FD"/>
    <w:rsid w:val="0000032A"/>
    <w:rsid w:val="00003AD4"/>
    <w:rsid w:val="0001485A"/>
    <w:rsid w:val="00014A54"/>
    <w:rsid w:val="00015A44"/>
    <w:rsid w:val="00016FD1"/>
    <w:rsid w:val="000237CF"/>
    <w:rsid w:val="00023A1B"/>
    <w:rsid w:val="00026A4B"/>
    <w:rsid w:val="0002724E"/>
    <w:rsid w:val="0003344E"/>
    <w:rsid w:val="0003699E"/>
    <w:rsid w:val="000369A7"/>
    <w:rsid w:val="0003748A"/>
    <w:rsid w:val="00040203"/>
    <w:rsid w:val="000405C2"/>
    <w:rsid w:val="00044203"/>
    <w:rsid w:val="00045202"/>
    <w:rsid w:val="00045B34"/>
    <w:rsid w:val="00045D8E"/>
    <w:rsid w:val="00046C03"/>
    <w:rsid w:val="00047FC3"/>
    <w:rsid w:val="0005678A"/>
    <w:rsid w:val="00056ACB"/>
    <w:rsid w:val="00057D4A"/>
    <w:rsid w:val="00060D75"/>
    <w:rsid w:val="00061017"/>
    <w:rsid w:val="00064178"/>
    <w:rsid w:val="00064CC3"/>
    <w:rsid w:val="000658BD"/>
    <w:rsid w:val="0006610F"/>
    <w:rsid w:val="00066C38"/>
    <w:rsid w:val="0007024D"/>
    <w:rsid w:val="00070A37"/>
    <w:rsid w:val="00072CB7"/>
    <w:rsid w:val="00074544"/>
    <w:rsid w:val="00074A5E"/>
    <w:rsid w:val="000754A0"/>
    <w:rsid w:val="000763E4"/>
    <w:rsid w:val="00080150"/>
    <w:rsid w:val="00080FA6"/>
    <w:rsid w:val="00081F0E"/>
    <w:rsid w:val="00083B64"/>
    <w:rsid w:val="00085F9A"/>
    <w:rsid w:val="000900FD"/>
    <w:rsid w:val="00090A63"/>
    <w:rsid w:val="0009155D"/>
    <w:rsid w:val="0009265E"/>
    <w:rsid w:val="0009346A"/>
    <w:rsid w:val="000938E7"/>
    <w:rsid w:val="00093B72"/>
    <w:rsid w:val="00094ADB"/>
    <w:rsid w:val="000972E4"/>
    <w:rsid w:val="000974AB"/>
    <w:rsid w:val="0009766B"/>
    <w:rsid w:val="000A15FE"/>
    <w:rsid w:val="000A21E9"/>
    <w:rsid w:val="000A630D"/>
    <w:rsid w:val="000A7BC9"/>
    <w:rsid w:val="000B6CBA"/>
    <w:rsid w:val="000B710F"/>
    <w:rsid w:val="000C2D5D"/>
    <w:rsid w:val="000C43E9"/>
    <w:rsid w:val="000C553E"/>
    <w:rsid w:val="000C71C0"/>
    <w:rsid w:val="000C751F"/>
    <w:rsid w:val="000D3853"/>
    <w:rsid w:val="000D6F5C"/>
    <w:rsid w:val="000E19AF"/>
    <w:rsid w:val="000E3A81"/>
    <w:rsid w:val="000E4315"/>
    <w:rsid w:val="000E4DD2"/>
    <w:rsid w:val="000E610B"/>
    <w:rsid w:val="000F3A31"/>
    <w:rsid w:val="000F4C89"/>
    <w:rsid w:val="0010103A"/>
    <w:rsid w:val="001035DE"/>
    <w:rsid w:val="00104AFF"/>
    <w:rsid w:val="001055EE"/>
    <w:rsid w:val="00106B89"/>
    <w:rsid w:val="00107DA6"/>
    <w:rsid w:val="00107DC4"/>
    <w:rsid w:val="001111B6"/>
    <w:rsid w:val="001172BD"/>
    <w:rsid w:val="00120654"/>
    <w:rsid w:val="001207CE"/>
    <w:rsid w:val="001256DA"/>
    <w:rsid w:val="0012780F"/>
    <w:rsid w:val="00127840"/>
    <w:rsid w:val="001360FB"/>
    <w:rsid w:val="001402C7"/>
    <w:rsid w:val="00140B85"/>
    <w:rsid w:val="00140C9D"/>
    <w:rsid w:val="00142AD9"/>
    <w:rsid w:val="001455F1"/>
    <w:rsid w:val="0014594A"/>
    <w:rsid w:val="00145F2E"/>
    <w:rsid w:val="00150CEE"/>
    <w:rsid w:val="00153354"/>
    <w:rsid w:val="0015382E"/>
    <w:rsid w:val="00154431"/>
    <w:rsid w:val="00160413"/>
    <w:rsid w:val="001633B1"/>
    <w:rsid w:val="00163760"/>
    <w:rsid w:val="00163BED"/>
    <w:rsid w:val="00164208"/>
    <w:rsid w:val="001668C9"/>
    <w:rsid w:val="001704E9"/>
    <w:rsid w:val="001753BA"/>
    <w:rsid w:val="00181C9F"/>
    <w:rsid w:val="00183419"/>
    <w:rsid w:val="00187354"/>
    <w:rsid w:val="001876A0"/>
    <w:rsid w:val="00187FE7"/>
    <w:rsid w:val="0019127D"/>
    <w:rsid w:val="00192C18"/>
    <w:rsid w:val="00194E43"/>
    <w:rsid w:val="00196349"/>
    <w:rsid w:val="001A10CA"/>
    <w:rsid w:val="001A12B1"/>
    <w:rsid w:val="001A14FE"/>
    <w:rsid w:val="001A20C1"/>
    <w:rsid w:val="001A338A"/>
    <w:rsid w:val="001A4631"/>
    <w:rsid w:val="001B13CD"/>
    <w:rsid w:val="001B2ABF"/>
    <w:rsid w:val="001D08BC"/>
    <w:rsid w:val="001D2168"/>
    <w:rsid w:val="001D3000"/>
    <w:rsid w:val="001D4AAB"/>
    <w:rsid w:val="001D52E1"/>
    <w:rsid w:val="001E3509"/>
    <w:rsid w:val="001E4CD3"/>
    <w:rsid w:val="001E55BC"/>
    <w:rsid w:val="001F1026"/>
    <w:rsid w:val="001F1EEE"/>
    <w:rsid w:val="001F27E3"/>
    <w:rsid w:val="001F2BCF"/>
    <w:rsid w:val="001F3EBA"/>
    <w:rsid w:val="001F483A"/>
    <w:rsid w:val="001F624B"/>
    <w:rsid w:val="001F794E"/>
    <w:rsid w:val="0020054B"/>
    <w:rsid w:val="00200689"/>
    <w:rsid w:val="002012AA"/>
    <w:rsid w:val="002048A8"/>
    <w:rsid w:val="00206A93"/>
    <w:rsid w:val="0021067D"/>
    <w:rsid w:val="00210E0B"/>
    <w:rsid w:val="002110F9"/>
    <w:rsid w:val="002130E1"/>
    <w:rsid w:val="0021469F"/>
    <w:rsid w:val="00216A23"/>
    <w:rsid w:val="00223B5E"/>
    <w:rsid w:val="002266D3"/>
    <w:rsid w:val="002272D5"/>
    <w:rsid w:val="00231ACD"/>
    <w:rsid w:val="00233193"/>
    <w:rsid w:val="002340F9"/>
    <w:rsid w:val="00234B0A"/>
    <w:rsid w:val="00237B8F"/>
    <w:rsid w:val="00237D31"/>
    <w:rsid w:val="00241071"/>
    <w:rsid w:val="0024295C"/>
    <w:rsid w:val="00244DE8"/>
    <w:rsid w:val="002453A3"/>
    <w:rsid w:val="00247F6F"/>
    <w:rsid w:val="00250EB3"/>
    <w:rsid w:val="00253670"/>
    <w:rsid w:val="00254238"/>
    <w:rsid w:val="00257528"/>
    <w:rsid w:val="002628A6"/>
    <w:rsid w:val="00262A5A"/>
    <w:rsid w:val="0026610C"/>
    <w:rsid w:val="002667A8"/>
    <w:rsid w:val="00273641"/>
    <w:rsid w:val="0027390A"/>
    <w:rsid w:val="00273965"/>
    <w:rsid w:val="00274CEC"/>
    <w:rsid w:val="00276DCA"/>
    <w:rsid w:val="002814F9"/>
    <w:rsid w:val="0028314E"/>
    <w:rsid w:val="00283F4F"/>
    <w:rsid w:val="00284B4E"/>
    <w:rsid w:val="00291BF1"/>
    <w:rsid w:val="002934CF"/>
    <w:rsid w:val="0029688E"/>
    <w:rsid w:val="002A11E1"/>
    <w:rsid w:val="002A1A40"/>
    <w:rsid w:val="002A1ED2"/>
    <w:rsid w:val="002A4714"/>
    <w:rsid w:val="002A6273"/>
    <w:rsid w:val="002A67C7"/>
    <w:rsid w:val="002A7977"/>
    <w:rsid w:val="002B07BF"/>
    <w:rsid w:val="002B43A6"/>
    <w:rsid w:val="002B4DDF"/>
    <w:rsid w:val="002B4EDD"/>
    <w:rsid w:val="002B50C3"/>
    <w:rsid w:val="002C01CC"/>
    <w:rsid w:val="002C0D9C"/>
    <w:rsid w:val="002C2631"/>
    <w:rsid w:val="002C4924"/>
    <w:rsid w:val="002C6C9D"/>
    <w:rsid w:val="002C746C"/>
    <w:rsid w:val="002D2C34"/>
    <w:rsid w:val="002D2E07"/>
    <w:rsid w:val="002D2E7B"/>
    <w:rsid w:val="002D42B1"/>
    <w:rsid w:val="002D49E4"/>
    <w:rsid w:val="002D6AE6"/>
    <w:rsid w:val="002D73B9"/>
    <w:rsid w:val="002E1A9D"/>
    <w:rsid w:val="002E788C"/>
    <w:rsid w:val="002F2D30"/>
    <w:rsid w:val="002F31A1"/>
    <w:rsid w:val="00302300"/>
    <w:rsid w:val="00302BFF"/>
    <w:rsid w:val="003042C0"/>
    <w:rsid w:val="00304A95"/>
    <w:rsid w:val="0030546F"/>
    <w:rsid w:val="00310020"/>
    <w:rsid w:val="00310C18"/>
    <w:rsid w:val="00311672"/>
    <w:rsid w:val="003117E6"/>
    <w:rsid w:val="003135FF"/>
    <w:rsid w:val="00313D12"/>
    <w:rsid w:val="00315A4A"/>
    <w:rsid w:val="00323D8A"/>
    <w:rsid w:val="003247B0"/>
    <w:rsid w:val="00326824"/>
    <w:rsid w:val="00326E78"/>
    <w:rsid w:val="003275B2"/>
    <w:rsid w:val="00333D57"/>
    <w:rsid w:val="003355A4"/>
    <w:rsid w:val="0033566D"/>
    <w:rsid w:val="00337404"/>
    <w:rsid w:val="00344ADF"/>
    <w:rsid w:val="00345A78"/>
    <w:rsid w:val="00347530"/>
    <w:rsid w:val="003506E7"/>
    <w:rsid w:val="00352ADD"/>
    <w:rsid w:val="00356A28"/>
    <w:rsid w:val="00356B31"/>
    <w:rsid w:val="0035752F"/>
    <w:rsid w:val="003618E6"/>
    <w:rsid w:val="00361FDE"/>
    <w:rsid w:val="00361FED"/>
    <w:rsid w:val="003650F0"/>
    <w:rsid w:val="00365163"/>
    <w:rsid w:val="00365617"/>
    <w:rsid w:val="00365704"/>
    <w:rsid w:val="00365D9A"/>
    <w:rsid w:val="00366AB6"/>
    <w:rsid w:val="00367E37"/>
    <w:rsid w:val="00372463"/>
    <w:rsid w:val="00373E09"/>
    <w:rsid w:val="003743EE"/>
    <w:rsid w:val="00374FC7"/>
    <w:rsid w:val="00376AC5"/>
    <w:rsid w:val="00384493"/>
    <w:rsid w:val="00385120"/>
    <w:rsid w:val="003932E0"/>
    <w:rsid w:val="00395708"/>
    <w:rsid w:val="00395A20"/>
    <w:rsid w:val="003A7F1D"/>
    <w:rsid w:val="003A7F4E"/>
    <w:rsid w:val="003B425A"/>
    <w:rsid w:val="003B4BDF"/>
    <w:rsid w:val="003B4CF3"/>
    <w:rsid w:val="003B66E0"/>
    <w:rsid w:val="003B7D65"/>
    <w:rsid w:val="003B7E63"/>
    <w:rsid w:val="003C1A72"/>
    <w:rsid w:val="003C397B"/>
    <w:rsid w:val="003D1A8D"/>
    <w:rsid w:val="003D2D8C"/>
    <w:rsid w:val="003D4178"/>
    <w:rsid w:val="003D4491"/>
    <w:rsid w:val="003E07DB"/>
    <w:rsid w:val="003E0EF6"/>
    <w:rsid w:val="003E2DB7"/>
    <w:rsid w:val="003E2F1C"/>
    <w:rsid w:val="003E5585"/>
    <w:rsid w:val="003E73FB"/>
    <w:rsid w:val="003E776B"/>
    <w:rsid w:val="003E7D05"/>
    <w:rsid w:val="003F0124"/>
    <w:rsid w:val="003F1061"/>
    <w:rsid w:val="003F1CBD"/>
    <w:rsid w:val="003F6E88"/>
    <w:rsid w:val="00402024"/>
    <w:rsid w:val="00402B7A"/>
    <w:rsid w:val="00402C1B"/>
    <w:rsid w:val="0040532C"/>
    <w:rsid w:val="004118B4"/>
    <w:rsid w:val="00411EF3"/>
    <w:rsid w:val="00412B5C"/>
    <w:rsid w:val="00414432"/>
    <w:rsid w:val="004219E6"/>
    <w:rsid w:val="004224D6"/>
    <w:rsid w:val="00423830"/>
    <w:rsid w:val="004241F3"/>
    <w:rsid w:val="004245A4"/>
    <w:rsid w:val="00431B54"/>
    <w:rsid w:val="004328DF"/>
    <w:rsid w:val="00433695"/>
    <w:rsid w:val="004351E6"/>
    <w:rsid w:val="00435C49"/>
    <w:rsid w:val="0044297B"/>
    <w:rsid w:val="00442F32"/>
    <w:rsid w:val="00444A4B"/>
    <w:rsid w:val="00445C8B"/>
    <w:rsid w:val="0044660E"/>
    <w:rsid w:val="00446B2F"/>
    <w:rsid w:val="004500F3"/>
    <w:rsid w:val="004508AA"/>
    <w:rsid w:val="0045180C"/>
    <w:rsid w:val="00453F6E"/>
    <w:rsid w:val="00456931"/>
    <w:rsid w:val="00456C9E"/>
    <w:rsid w:val="00457241"/>
    <w:rsid w:val="004626AA"/>
    <w:rsid w:val="00462BB9"/>
    <w:rsid w:val="00462EBE"/>
    <w:rsid w:val="00466080"/>
    <w:rsid w:val="00470D29"/>
    <w:rsid w:val="004728F1"/>
    <w:rsid w:val="00472FAE"/>
    <w:rsid w:val="00473E46"/>
    <w:rsid w:val="004740D4"/>
    <w:rsid w:val="00483C07"/>
    <w:rsid w:val="004854C8"/>
    <w:rsid w:val="00485C49"/>
    <w:rsid w:val="0048644E"/>
    <w:rsid w:val="00486AB6"/>
    <w:rsid w:val="00487148"/>
    <w:rsid w:val="0049269B"/>
    <w:rsid w:val="004942B2"/>
    <w:rsid w:val="004A13CB"/>
    <w:rsid w:val="004A3072"/>
    <w:rsid w:val="004B0ED7"/>
    <w:rsid w:val="004B3636"/>
    <w:rsid w:val="004B757C"/>
    <w:rsid w:val="004C00C9"/>
    <w:rsid w:val="004C010C"/>
    <w:rsid w:val="004C3535"/>
    <w:rsid w:val="004C75C4"/>
    <w:rsid w:val="004D0186"/>
    <w:rsid w:val="004D152C"/>
    <w:rsid w:val="004D316A"/>
    <w:rsid w:val="004D4BA2"/>
    <w:rsid w:val="004D5966"/>
    <w:rsid w:val="004D6185"/>
    <w:rsid w:val="004D6503"/>
    <w:rsid w:val="004D735F"/>
    <w:rsid w:val="004E0E9B"/>
    <w:rsid w:val="004E1276"/>
    <w:rsid w:val="004E276C"/>
    <w:rsid w:val="004E2C65"/>
    <w:rsid w:val="004E2DAA"/>
    <w:rsid w:val="004E32D7"/>
    <w:rsid w:val="004E3903"/>
    <w:rsid w:val="004F5071"/>
    <w:rsid w:val="004F6354"/>
    <w:rsid w:val="004F7696"/>
    <w:rsid w:val="00500DEC"/>
    <w:rsid w:val="005013D4"/>
    <w:rsid w:val="0050218F"/>
    <w:rsid w:val="00503E42"/>
    <w:rsid w:val="0050730E"/>
    <w:rsid w:val="00507E27"/>
    <w:rsid w:val="00510671"/>
    <w:rsid w:val="00510B8F"/>
    <w:rsid w:val="00512CB1"/>
    <w:rsid w:val="00514B53"/>
    <w:rsid w:val="005208D5"/>
    <w:rsid w:val="00521922"/>
    <w:rsid w:val="005229D2"/>
    <w:rsid w:val="00524DD1"/>
    <w:rsid w:val="0053104A"/>
    <w:rsid w:val="00531565"/>
    <w:rsid w:val="005318D3"/>
    <w:rsid w:val="00535301"/>
    <w:rsid w:val="00536A5E"/>
    <w:rsid w:val="00537742"/>
    <w:rsid w:val="0053790F"/>
    <w:rsid w:val="00540F58"/>
    <w:rsid w:val="00543333"/>
    <w:rsid w:val="00546864"/>
    <w:rsid w:val="0055147F"/>
    <w:rsid w:val="00554800"/>
    <w:rsid w:val="00557EBE"/>
    <w:rsid w:val="0056143B"/>
    <w:rsid w:val="00563B26"/>
    <w:rsid w:val="0056583F"/>
    <w:rsid w:val="00566BD3"/>
    <w:rsid w:val="00570D55"/>
    <w:rsid w:val="00571C15"/>
    <w:rsid w:val="005728B2"/>
    <w:rsid w:val="00572F48"/>
    <w:rsid w:val="00574A37"/>
    <w:rsid w:val="00574AF3"/>
    <w:rsid w:val="00577D91"/>
    <w:rsid w:val="00583065"/>
    <w:rsid w:val="00586E3E"/>
    <w:rsid w:val="0058733C"/>
    <w:rsid w:val="005921EF"/>
    <w:rsid w:val="00592805"/>
    <w:rsid w:val="0059378D"/>
    <w:rsid w:val="005945C2"/>
    <w:rsid w:val="00595DB7"/>
    <w:rsid w:val="005970F5"/>
    <w:rsid w:val="0059756C"/>
    <w:rsid w:val="005A038F"/>
    <w:rsid w:val="005A1524"/>
    <w:rsid w:val="005A1762"/>
    <w:rsid w:val="005A2AD5"/>
    <w:rsid w:val="005A304E"/>
    <w:rsid w:val="005A4BCE"/>
    <w:rsid w:val="005A594B"/>
    <w:rsid w:val="005A7AE5"/>
    <w:rsid w:val="005A7B50"/>
    <w:rsid w:val="005B02D4"/>
    <w:rsid w:val="005B045F"/>
    <w:rsid w:val="005B1F1C"/>
    <w:rsid w:val="005B4ED6"/>
    <w:rsid w:val="005B4F4A"/>
    <w:rsid w:val="005B506A"/>
    <w:rsid w:val="005B5431"/>
    <w:rsid w:val="005B6360"/>
    <w:rsid w:val="005C0DD4"/>
    <w:rsid w:val="005C1257"/>
    <w:rsid w:val="005C3B7F"/>
    <w:rsid w:val="005C3D74"/>
    <w:rsid w:val="005C614F"/>
    <w:rsid w:val="005C6C72"/>
    <w:rsid w:val="005C6ED0"/>
    <w:rsid w:val="005D1703"/>
    <w:rsid w:val="005D2F3A"/>
    <w:rsid w:val="005D4455"/>
    <w:rsid w:val="005D4748"/>
    <w:rsid w:val="005E01FC"/>
    <w:rsid w:val="005E3F9B"/>
    <w:rsid w:val="005E66E7"/>
    <w:rsid w:val="005E68EA"/>
    <w:rsid w:val="005F2C32"/>
    <w:rsid w:val="006020CA"/>
    <w:rsid w:val="006044EA"/>
    <w:rsid w:val="00606C2C"/>
    <w:rsid w:val="00607333"/>
    <w:rsid w:val="0061084B"/>
    <w:rsid w:val="0061640B"/>
    <w:rsid w:val="00617488"/>
    <w:rsid w:val="00620AE8"/>
    <w:rsid w:val="00622ACB"/>
    <w:rsid w:val="00625046"/>
    <w:rsid w:val="00626AD6"/>
    <w:rsid w:val="00626ED6"/>
    <w:rsid w:val="00627E1C"/>
    <w:rsid w:val="006309B4"/>
    <w:rsid w:val="006323B9"/>
    <w:rsid w:val="00637685"/>
    <w:rsid w:val="0064023E"/>
    <w:rsid w:val="006427D1"/>
    <w:rsid w:val="0065056A"/>
    <w:rsid w:val="0065146A"/>
    <w:rsid w:val="00654F8C"/>
    <w:rsid w:val="0065545B"/>
    <w:rsid w:val="006633FF"/>
    <w:rsid w:val="00663833"/>
    <w:rsid w:val="00664BD9"/>
    <w:rsid w:val="00666460"/>
    <w:rsid w:val="00666929"/>
    <w:rsid w:val="00667A7C"/>
    <w:rsid w:val="006705C7"/>
    <w:rsid w:val="00671360"/>
    <w:rsid w:val="00676FAF"/>
    <w:rsid w:val="00680AFE"/>
    <w:rsid w:val="0068376E"/>
    <w:rsid w:val="006844EA"/>
    <w:rsid w:val="00686850"/>
    <w:rsid w:val="0068731E"/>
    <w:rsid w:val="006909CC"/>
    <w:rsid w:val="006918B5"/>
    <w:rsid w:val="00692020"/>
    <w:rsid w:val="006A0879"/>
    <w:rsid w:val="006A2C0A"/>
    <w:rsid w:val="006A30EE"/>
    <w:rsid w:val="006A37E7"/>
    <w:rsid w:val="006A39BB"/>
    <w:rsid w:val="006A3B97"/>
    <w:rsid w:val="006A51C5"/>
    <w:rsid w:val="006A727F"/>
    <w:rsid w:val="006A757D"/>
    <w:rsid w:val="006B0375"/>
    <w:rsid w:val="006B1D40"/>
    <w:rsid w:val="006B1E54"/>
    <w:rsid w:val="006B3B93"/>
    <w:rsid w:val="006B7238"/>
    <w:rsid w:val="006C260D"/>
    <w:rsid w:val="006C30A7"/>
    <w:rsid w:val="006C47B3"/>
    <w:rsid w:val="006C5351"/>
    <w:rsid w:val="006C6767"/>
    <w:rsid w:val="006D0D21"/>
    <w:rsid w:val="006D4594"/>
    <w:rsid w:val="006D51F0"/>
    <w:rsid w:val="006D57A3"/>
    <w:rsid w:val="006E3994"/>
    <w:rsid w:val="006E481B"/>
    <w:rsid w:val="006E4A6D"/>
    <w:rsid w:val="006E6174"/>
    <w:rsid w:val="006E6E69"/>
    <w:rsid w:val="006F6DA2"/>
    <w:rsid w:val="006F7B13"/>
    <w:rsid w:val="007008EC"/>
    <w:rsid w:val="00700B65"/>
    <w:rsid w:val="00702942"/>
    <w:rsid w:val="00703C93"/>
    <w:rsid w:val="00703D41"/>
    <w:rsid w:val="007044DE"/>
    <w:rsid w:val="00710C08"/>
    <w:rsid w:val="0071418C"/>
    <w:rsid w:val="0071784F"/>
    <w:rsid w:val="00717DEA"/>
    <w:rsid w:val="007237EE"/>
    <w:rsid w:val="007269C7"/>
    <w:rsid w:val="007318EB"/>
    <w:rsid w:val="00734300"/>
    <w:rsid w:val="007343F4"/>
    <w:rsid w:val="007348B3"/>
    <w:rsid w:val="00736EB0"/>
    <w:rsid w:val="007415DE"/>
    <w:rsid w:val="00742322"/>
    <w:rsid w:val="00744EB5"/>
    <w:rsid w:val="00747565"/>
    <w:rsid w:val="00755DB4"/>
    <w:rsid w:val="0076498C"/>
    <w:rsid w:val="00764D2B"/>
    <w:rsid w:val="00767BC7"/>
    <w:rsid w:val="00767D67"/>
    <w:rsid w:val="007716C9"/>
    <w:rsid w:val="007718B2"/>
    <w:rsid w:val="00772A7B"/>
    <w:rsid w:val="0077380E"/>
    <w:rsid w:val="00780E7C"/>
    <w:rsid w:val="00780FC6"/>
    <w:rsid w:val="0078758A"/>
    <w:rsid w:val="00790316"/>
    <w:rsid w:val="0079192A"/>
    <w:rsid w:val="00791A91"/>
    <w:rsid w:val="00796471"/>
    <w:rsid w:val="0079712B"/>
    <w:rsid w:val="007A01F1"/>
    <w:rsid w:val="007A0E20"/>
    <w:rsid w:val="007A750A"/>
    <w:rsid w:val="007B08ED"/>
    <w:rsid w:val="007B3A3A"/>
    <w:rsid w:val="007B5B29"/>
    <w:rsid w:val="007B6207"/>
    <w:rsid w:val="007B7118"/>
    <w:rsid w:val="007B72F2"/>
    <w:rsid w:val="007B741A"/>
    <w:rsid w:val="007B7876"/>
    <w:rsid w:val="007C22CD"/>
    <w:rsid w:val="007C2B15"/>
    <w:rsid w:val="007C4212"/>
    <w:rsid w:val="007C45F3"/>
    <w:rsid w:val="007C5219"/>
    <w:rsid w:val="007C75CD"/>
    <w:rsid w:val="007D2605"/>
    <w:rsid w:val="007D5313"/>
    <w:rsid w:val="007E3C25"/>
    <w:rsid w:val="007E7F88"/>
    <w:rsid w:val="007F06A2"/>
    <w:rsid w:val="00800275"/>
    <w:rsid w:val="00806BF9"/>
    <w:rsid w:val="00807E7D"/>
    <w:rsid w:val="00810EC5"/>
    <w:rsid w:val="00814D3B"/>
    <w:rsid w:val="008155C0"/>
    <w:rsid w:val="00817441"/>
    <w:rsid w:val="008203F1"/>
    <w:rsid w:val="008211A0"/>
    <w:rsid w:val="00825F94"/>
    <w:rsid w:val="0082701E"/>
    <w:rsid w:val="00831B3F"/>
    <w:rsid w:val="00833612"/>
    <w:rsid w:val="00833634"/>
    <w:rsid w:val="00834598"/>
    <w:rsid w:val="00834970"/>
    <w:rsid w:val="00837766"/>
    <w:rsid w:val="00845101"/>
    <w:rsid w:val="008461FC"/>
    <w:rsid w:val="00857AD8"/>
    <w:rsid w:val="00861201"/>
    <w:rsid w:val="00863087"/>
    <w:rsid w:val="008663E5"/>
    <w:rsid w:val="00867970"/>
    <w:rsid w:val="00871E0D"/>
    <w:rsid w:val="008722D3"/>
    <w:rsid w:val="00873A8A"/>
    <w:rsid w:val="00874408"/>
    <w:rsid w:val="00874A95"/>
    <w:rsid w:val="00880C5E"/>
    <w:rsid w:val="00882AE8"/>
    <w:rsid w:val="00884E8E"/>
    <w:rsid w:val="00886425"/>
    <w:rsid w:val="00887737"/>
    <w:rsid w:val="008904CC"/>
    <w:rsid w:val="00892441"/>
    <w:rsid w:val="008977BB"/>
    <w:rsid w:val="008A2CC2"/>
    <w:rsid w:val="008A388D"/>
    <w:rsid w:val="008A49CD"/>
    <w:rsid w:val="008B0C69"/>
    <w:rsid w:val="008B3932"/>
    <w:rsid w:val="008B3BE4"/>
    <w:rsid w:val="008B5288"/>
    <w:rsid w:val="008B5C2F"/>
    <w:rsid w:val="008B6FE6"/>
    <w:rsid w:val="008C2B22"/>
    <w:rsid w:val="008C2B53"/>
    <w:rsid w:val="008C3B41"/>
    <w:rsid w:val="008C494D"/>
    <w:rsid w:val="008C54B7"/>
    <w:rsid w:val="008C70F1"/>
    <w:rsid w:val="008C7F86"/>
    <w:rsid w:val="008D0E1F"/>
    <w:rsid w:val="008D1936"/>
    <w:rsid w:val="008D69C7"/>
    <w:rsid w:val="008D7B0B"/>
    <w:rsid w:val="008F2763"/>
    <w:rsid w:val="008F2BD8"/>
    <w:rsid w:val="008F366E"/>
    <w:rsid w:val="008F4A49"/>
    <w:rsid w:val="008F591B"/>
    <w:rsid w:val="008F6DB5"/>
    <w:rsid w:val="00901641"/>
    <w:rsid w:val="00903870"/>
    <w:rsid w:val="009075BD"/>
    <w:rsid w:val="00910986"/>
    <w:rsid w:val="0091447E"/>
    <w:rsid w:val="00914A18"/>
    <w:rsid w:val="00922D14"/>
    <w:rsid w:val="009265FE"/>
    <w:rsid w:val="009267A3"/>
    <w:rsid w:val="00935594"/>
    <w:rsid w:val="0093574A"/>
    <w:rsid w:val="00950E93"/>
    <w:rsid w:val="009530EB"/>
    <w:rsid w:val="0095480F"/>
    <w:rsid w:val="00954DEA"/>
    <w:rsid w:val="009570BA"/>
    <w:rsid w:val="00961305"/>
    <w:rsid w:val="00966E42"/>
    <w:rsid w:val="009726CC"/>
    <w:rsid w:val="00972F05"/>
    <w:rsid w:val="00974E2B"/>
    <w:rsid w:val="00975BF8"/>
    <w:rsid w:val="00976224"/>
    <w:rsid w:val="00982E13"/>
    <w:rsid w:val="0098406B"/>
    <w:rsid w:val="00986FB1"/>
    <w:rsid w:val="00987CB1"/>
    <w:rsid w:val="00991C45"/>
    <w:rsid w:val="00996925"/>
    <w:rsid w:val="009A012E"/>
    <w:rsid w:val="009A119F"/>
    <w:rsid w:val="009A1881"/>
    <w:rsid w:val="009A68D7"/>
    <w:rsid w:val="009B275F"/>
    <w:rsid w:val="009B4B14"/>
    <w:rsid w:val="009B5EC8"/>
    <w:rsid w:val="009C1B73"/>
    <w:rsid w:val="009C3955"/>
    <w:rsid w:val="009C3975"/>
    <w:rsid w:val="009C45DB"/>
    <w:rsid w:val="009C62CC"/>
    <w:rsid w:val="009C7671"/>
    <w:rsid w:val="009D0447"/>
    <w:rsid w:val="009D0AF2"/>
    <w:rsid w:val="009D2393"/>
    <w:rsid w:val="009D3BC4"/>
    <w:rsid w:val="009D47C0"/>
    <w:rsid w:val="009D5919"/>
    <w:rsid w:val="009E0D0B"/>
    <w:rsid w:val="009E1C67"/>
    <w:rsid w:val="009E5ADD"/>
    <w:rsid w:val="009F08AB"/>
    <w:rsid w:val="009F5375"/>
    <w:rsid w:val="009F5FC1"/>
    <w:rsid w:val="009F704B"/>
    <w:rsid w:val="009F78CB"/>
    <w:rsid w:val="00A026C0"/>
    <w:rsid w:val="00A02BEF"/>
    <w:rsid w:val="00A045A4"/>
    <w:rsid w:val="00A12249"/>
    <w:rsid w:val="00A159CD"/>
    <w:rsid w:val="00A23159"/>
    <w:rsid w:val="00A24585"/>
    <w:rsid w:val="00A25CF1"/>
    <w:rsid w:val="00A25DA3"/>
    <w:rsid w:val="00A263D2"/>
    <w:rsid w:val="00A26635"/>
    <w:rsid w:val="00A3200D"/>
    <w:rsid w:val="00A335EF"/>
    <w:rsid w:val="00A34E1F"/>
    <w:rsid w:val="00A35C08"/>
    <w:rsid w:val="00A412EF"/>
    <w:rsid w:val="00A43BDD"/>
    <w:rsid w:val="00A43EE4"/>
    <w:rsid w:val="00A4611F"/>
    <w:rsid w:val="00A46780"/>
    <w:rsid w:val="00A46D20"/>
    <w:rsid w:val="00A4761E"/>
    <w:rsid w:val="00A55AA6"/>
    <w:rsid w:val="00A55AE6"/>
    <w:rsid w:val="00A560E9"/>
    <w:rsid w:val="00A61DBB"/>
    <w:rsid w:val="00A63357"/>
    <w:rsid w:val="00A64253"/>
    <w:rsid w:val="00A652E3"/>
    <w:rsid w:val="00A7653F"/>
    <w:rsid w:val="00A76F18"/>
    <w:rsid w:val="00A77671"/>
    <w:rsid w:val="00A802F5"/>
    <w:rsid w:val="00A81AAE"/>
    <w:rsid w:val="00A81B20"/>
    <w:rsid w:val="00A830D3"/>
    <w:rsid w:val="00A908E2"/>
    <w:rsid w:val="00A920F5"/>
    <w:rsid w:val="00AA129F"/>
    <w:rsid w:val="00AA2EB6"/>
    <w:rsid w:val="00AA360D"/>
    <w:rsid w:val="00AA3E1E"/>
    <w:rsid w:val="00AA614D"/>
    <w:rsid w:val="00AA67DD"/>
    <w:rsid w:val="00AA733B"/>
    <w:rsid w:val="00AB65F2"/>
    <w:rsid w:val="00AB6F30"/>
    <w:rsid w:val="00AC0023"/>
    <w:rsid w:val="00AC02AD"/>
    <w:rsid w:val="00AC1F27"/>
    <w:rsid w:val="00AC26B2"/>
    <w:rsid w:val="00AC30D0"/>
    <w:rsid w:val="00AC3C3D"/>
    <w:rsid w:val="00AC7D90"/>
    <w:rsid w:val="00AD13AA"/>
    <w:rsid w:val="00AD17DA"/>
    <w:rsid w:val="00AD28D6"/>
    <w:rsid w:val="00AD2D09"/>
    <w:rsid w:val="00AD344E"/>
    <w:rsid w:val="00AE18D3"/>
    <w:rsid w:val="00AE75B0"/>
    <w:rsid w:val="00AF0CC4"/>
    <w:rsid w:val="00AF5408"/>
    <w:rsid w:val="00B02853"/>
    <w:rsid w:val="00B031DF"/>
    <w:rsid w:val="00B046BB"/>
    <w:rsid w:val="00B128A9"/>
    <w:rsid w:val="00B151F8"/>
    <w:rsid w:val="00B15210"/>
    <w:rsid w:val="00B158C2"/>
    <w:rsid w:val="00B16151"/>
    <w:rsid w:val="00B17ABB"/>
    <w:rsid w:val="00B205A2"/>
    <w:rsid w:val="00B21AC7"/>
    <w:rsid w:val="00B22570"/>
    <w:rsid w:val="00B2293A"/>
    <w:rsid w:val="00B22AED"/>
    <w:rsid w:val="00B231AD"/>
    <w:rsid w:val="00B254C4"/>
    <w:rsid w:val="00B263F8"/>
    <w:rsid w:val="00B344B2"/>
    <w:rsid w:val="00B351CF"/>
    <w:rsid w:val="00B3521F"/>
    <w:rsid w:val="00B408B7"/>
    <w:rsid w:val="00B429B8"/>
    <w:rsid w:val="00B4439F"/>
    <w:rsid w:val="00B462DB"/>
    <w:rsid w:val="00B46668"/>
    <w:rsid w:val="00B46B9A"/>
    <w:rsid w:val="00B47865"/>
    <w:rsid w:val="00B51D3C"/>
    <w:rsid w:val="00B5257F"/>
    <w:rsid w:val="00B52BFF"/>
    <w:rsid w:val="00B57649"/>
    <w:rsid w:val="00B609BE"/>
    <w:rsid w:val="00B62490"/>
    <w:rsid w:val="00B64282"/>
    <w:rsid w:val="00B647F1"/>
    <w:rsid w:val="00B66A52"/>
    <w:rsid w:val="00B66E91"/>
    <w:rsid w:val="00B67CD2"/>
    <w:rsid w:val="00B701FC"/>
    <w:rsid w:val="00B760E0"/>
    <w:rsid w:val="00B7768A"/>
    <w:rsid w:val="00B77F5E"/>
    <w:rsid w:val="00B80009"/>
    <w:rsid w:val="00B80B47"/>
    <w:rsid w:val="00B81A78"/>
    <w:rsid w:val="00B843AF"/>
    <w:rsid w:val="00B84FD8"/>
    <w:rsid w:val="00B90AAB"/>
    <w:rsid w:val="00B9133C"/>
    <w:rsid w:val="00B93A50"/>
    <w:rsid w:val="00B953A8"/>
    <w:rsid w:val="00BA4188"/>
    <w:rsid w:val="00BA5A99"/>
    <w:rsid w:val="00BA5E80"/>
    <w:rsid w:val="00BA71EF"/>
    <w:rsid w:val="00BB010B"/>
    <w:rsid w:val="00BB218E"/>
    <w:rsid w:val="00BB2C08"/>
    <w:rsid w:val="00BB795C"/>
    <w:rsid w:val="00BB7DBB"/>
    <w:rsid w:val="00BC14D3"/>
    <w:rsid w:val="00BC1F5C"/>
    <w:rsid w:val="00BC489D"/>
    <w:rsid w:val="00BC49F1"/>
    <w:rsid w:val="00BC53CA"/>
    <w:rsid w:val="00BC602B"/>
    <w:rsid w:val="00BC7010"/>
    <w:rsid w:val="00BD15EB"/>
    <w:rsid w:val="00BD419B"/>
    <w:rsid w:val="00BE157D"/>
    <w:rsid w:val="00BE5FD9"/>
    <w:rsid w:val="00BF09CB"/>
    <w:rsid w:val="00BF13AF"/>
    <w:rsid w:val="00BF3275"/>
    <w:rsid w:val="00BF38AE"/>
    <w:rsid w:val="00BF5EDB"/>
    <w:rsid w:val="00C0091B"/>
    <w:rsid w:val="00C00FB4"/>
    <w:rsid w:val="00C010F9"/>
    <w:rsid w:val="00C017D2"/>
    <w:rsid w:val="00C05374"/>
    <w:rsid w:val="00C062FC"/>
    <w:rsid w:val="00C11FAF"/>
    <w:rsid w:val="00C1244E"/>
    <w:rsid w:val="00C1497A"/>
    <w:rsid w:val="00C166D7"/>
    <w:rsid w:val="00C16D19"/>
    <w:rsid w:val="00C2049E"/>
    <w:rsid w:val="00C208CB"/>
    <w:rsid w:val="00C208D2"/>
    <w:rsid w:val="00C20A2C"/>
    <w:rsid w:val="00C336BD"/>
    <w:rsid w:val="00C338EB"/>
    <w:rsid w:val="00C33C2F"/>
    <w:rsid w:val="00C34B30"/>
    <w:rsid w:val="00C35CD0"/>
    <w:rsid w:val="00C36D4A"/>
    <w:rsid w:val="00C37A9D"/>
    <w:rsid w:val="00C40DEA"/>
    <w:rsid w:val="00C44C7F"/>
    <w:rsid w:val="00C503E1"/>
    <w:rsid w:val="00C50EF7"/>
    <w:rsid w:val="00C53BBD"/>
    <w:rsid w:val="00C5667F"/>
    <w:rsid w:val="00C60419"/>
    <w:rsid w:val="00C613FC"/>
    <w:rsid w:val="00C61F01"/>
    <w:rsid w:val="00C62FE3"/>
    <w:rsid w:val="00C65568"/>
    <w:rsid w:val="00C655E5"/>
    <w:rsid w:val="00C6665D"/>
    <w:rsid w:val="00C733CB"/>
    <w:rsid w:val="00C74E8C"/>
    <w:rsid w:val="00C763AE"/>
    <w:rsid w:val="00C765FD"/>
    <w:rsid w:val="00C83420"/>
    <w:rsid w:val="00C837F5"/>
    <w:rsid w:val="00C874C4"/>
    <w:rsid w:val="00C879E5"/>
    <w:rsid w:val="00C948D1"/>
    <w:rsid w:val="00C970E9"/>
    <w:rsid w:val="00C97704"/>
    <w:rsid w:val="00CA1120"/>
    <w:rsid w:val="00CA1C69"/>
    <w:rsid w:val="00CA2213"/>
    <w:rsid w:val="00CA5314"/>
    <w:rsid w:val="00CB1EB3"/>
    <w:rsid w:val="00CB27B2"/>
    <w:rsid w:val="00CB2ACC"/>
    <w:rsid w:val="00CB3E3D"/>
    <w:rsid w:val="00CB455D"/>
    <w:rsid w:val="00CB6051"/>
    <w:rsid w:val="00CB759F"/>
    <w:rsid w:val="00CC060A"/>
    <w:rsid w:val="00CC25A6"/>
    <w:rsid w:val="00CC2619"/>
    <w:rsid w:val="00CC412E"/>
    <w:rsid w:val="00CC4838"/>
    <w:rsid w:val="00CC736C"/>
    <w:rsid w:val="00CD268F"/>
    <w:rsid w:val="00CD2A82"/>
    <w:rsid w:val="00CD2D2C"/>
    <w:rsid w:val="00CD2F51"/>
    <w:rsid w:val="00CD4067"/>
    <w:rsid w:val="00CD53EE"/>
    <w:rsid w:val="00CD56B7"/>
    <w:rsid w:val="00CD6AB3"/>
    <w:rsid w:val="00CD7140"/>
    <w:rsid w:val="00CD770C"/>
    <w:rsid w:val="00CD77B1"/>
    <w:rsid w:val="00CE0046"/>
    <w:rsid w:val="00CE2C5E"/>
    <w:rsid w:val="00CE2D90"/>
    <w:rsid w:val="00CF1D90"/>
    <w:rsid w:val="00CF6878"/>
    <w:rsid w:val="00CF7D47"/>
    <w:rsid w:val="00D02757"/>
    <w:rsid w:val="00D04D2F"/>
    <w:rsid w:val="00D05B27"/>
    <w:rsid w:val="00D06EB5"/>
    <w:rsid w:val="00D100A4"/>
    <w:rsid w:val="00D10260"/>
    <w:rsid w:val="00D11368"/>
    <w:rsid w:val="00D12DC4"/>
    <w:rsid w:val="00D1334B"/>
    <w:rsid w:val="00D13877"/>
    <w:rsid w:val="00D14D76"/>
    <w:rsid w:val="00D16383"/>
    <w:rsid w:val="00D228ED"/>
    <w:rsid w:val="00D22D4F"/>
    <w:rsid w:val="00D265BC"/>
    <w:rsid w:val="00D27DC9"/>
    <w:rsid w:val="00D27EA2"/>
    <w:rsid w:val="00D27EA9"/>
    <w:rsid w:val="00D300C9"/>
    <w:rsid w:val="00D302FD"/>
    <w:rsid w:val="00D320FF"/>
    <w:rsid w:val="00D569C9"/>
    <w:rsid w:val="00D577D9"/>
    <w:rsid w:val="00D610D5"/>
    <w:rsid w:val="00D6244B"/>
    <w:rsid w:val="00D6329C"/>
    <w:rsid w:val="00D645A0"/>
    <w:rsid w:val="00D674CC"/>
    <w:rsid w:val="00D6778E"/>
    <w:rsid w:val="00D7059B"/>
    <w:rsid w:val="00D708B0"/>
    <w:rsid w:val="00D71425"/>
    <w:rsid w:val="00D72519"/>
    <w:rsid w:val="00D74AE0"/>
    <w:rsid w:val="00D7638A"/>
    <w:rsid w:val="00D7717E"/>
    <w:rsid w:val="00D778C2"/>
    <w:rsid w:val="00D80F4A"/>
    <w:rsid w:val="00D902D7"/>
    <w:rsid w:val="00D91B17"/>
    <w:rsid w:val="00D9291A"/>
    <w:rsid w:val="00D93343"/>
    <w:rsid w:val="00D94AD5"/>
    <w:rsid w:val="00D94F7C"/>
    <w:rsid w:val="00D95A58"/>
    <w:rsid w:val="00D97973"/>
    <w:rsid w:val="00DA0750"/>
    <w:rsid w:val="00DA0AEC"/>
    <w:rsid w:val="00DA31AB"/>
    <w:rsid w:val="00DA6436"/>
    <w:rsid w:val="00DA71C3"/>
    <w:rsid w:val="00DB2FC1"/>
    <w:rsid w:val="00DB4D34"/>
    <w:rsid w:val="00DB5EFD"/>
    <w:rsid w:val="00DB7494"/>
    <w:rsid w:val="00DC0D24"/>
    <w:rsid w:val="00DD28A9"/>
    <w:rsid w:val="00DD37B8"/>
    <w:rsid w:val="00DD4485"/>
    <w:rsid w:val="00DD5DCE"/>
    <w:rsid w:val="00DE0E31"/>
    <w:rsid w:val="00DE22E7"/>
    <w:rsid w:val="00DE2A49"/>
    <w:rsid w:val="00DE2AD3"/>
    <w:rsid w:val="00DF2C3A"/>
    <w:rsid w:val="00DF2F34"/>
    <w:rsid w:val="00DF40EF"/>
    <w:rsid w:val="00DF57BD"/>
    <w:rsid w:val="00E00712"/>
    <w:rsid w:val="00E02A94"/>
    <w:rsid w:val="00E04083"/>
    <w:rsid w:val="00E05C73"/>
    <w:rsid w:val="00E068E3"/>
    <w:rsid w:val="00E125EA"/>
    <w:rsid w:val="00E13E0D"/>
    <w:rsid w:val="00E14817"/>
    <w:rsid w:val="00E1560F"/>
    <w:rsid w:val="00E17E14"/>
    <w:rsid w:val="00E23727"/>
    <w:rsid w:val="00E2419B"/>
    <w:rsid w:val="00E3247D"/>
    <w:rsid w:val="00E32923"/>
    <w:rsid w:val="00E365ED"/>
    <w:rsid w:val="00E37EAD"/>
    <w:rsid w:val="00E40C7A"/>
    <w:rsid w:val="00E41384"/>
    <w:rsid w:val="00E4159A"/>
    <w:rsid w:val="00E46B0F"/>
    <w:rsid w:val="00E4719A"/>
    <w:rsid w:val="00E50B80"/>
    <w:rsid w:val="00E51525"/>
    <w:rsid w:val="00E51DB4"/>
    <w:rsid w:val="00E52C1B"/>
    <w:rsid w:val="00E54588"/>
    <w:rsid w:val="00E54AE2"/>
    <w:rsid w:val="00E55922"/>
    <w:rsid w:val="00E573BF"/>
    <w:rsid w:val="00E61C53"/>
    <w:rsid w:val="00E61E81"/>
    <w:rsid w:val="00E629DB"/>
    <w:rsid w:val="00E65A70"/>
    <w:rsid w:val="00E705BB"/>
    <w:rsid w:val="00E7176A"/>
    <w:rsid w:val="00E7331A"/>
    <w:rsid w:val="00E73BB3"/>
    <w:rsid w:val="00E76280"/>
    <w:rsid w:val="00E8018C"/>
    <w:rsid w:val="00E8308E"/>
    <w:rsid w:val="00E83368"/>
    <w:rsid w:val="00E862B7"/>
    <w:rsid w:val="00E87064"/>
    <w:rsid w:val="00E87AE9"/>
    <w:rsid w:val="00E925BA"/>
    <w:rsid w:val="00E92794"/>
    <w:rsid w:val="00E93CFB"/>
    <w:rsid w:val="00E94C01"/>
    <w:rsid w:val="00E96535"/>
    <w:rsid w:val="00E96A67"/>
    <w:rsid w:val="00E978D6"/>
    <w:rsid w:val="00E97E14"/>
    <w:rsid w:val="00EA0113"/>
    <w:rsid w:val="00EA414E"/>
    <w:rsid w:val="00EA5504"/>
    <w:rsid w:val="00EA5DC8"/>
    <w:rsid w:val="00EA68A1"/>
    <w:rsid w:val="00EB038B"/>
    <w:rsid w:val="00EB06C0"/>
    <w:rsid w:val="00EB07C9"/>
    <w:rsid w:val="00EB245B"/>
    <w:rsid w:val="00EB2FD3"/>
    <w:rsid w:val="00EC2669"/>
    <w:rsid w:val="00EC6C37"/>
    <w:rsid w:val="00EC7C5D"/>
    <w:rsid w:val="00ED07B2"/>
    <w:rsid w:val="00ED0CC2"/>
    <w:rsid w:val="00ED136D"/>
    <w:rsid w:val="00ED233B"/>
    <w:rsid w:val="00ED4DD4"/>
    <w:rsid w:val="00ED53AA"/>
    <w:rsid w:val="00ED54B2"/>
    <w:rsid w:val="00ED70DB"/>
    <w:rsid w:val="00ED73B6"/>
    <w:rsid w:val="00EE5F48"/>
    <w:rsid w:val="00EF1359"/>
    <w:rsid w:val="00EF1D42"/>
    <w:rsid w:val="00EF2D9B"/>
    <w:rsid w:val="00EF6DBC"/>
    <w:rsid w:val="00EF765D"/>
    <w:rsid w:val="00EF7664"/>
    <w:rsid w:val="00F0173B"/>
    <w:rsid w:val="00F018EB"/>
    <w:rsid w:val="00F06622"/>
    <w:rsid w:val="00F076C1"/>
    <w:rsid w:val="00F124E2"/>
    <w:rsid w:val="00F127BD"/>
    <w:rsid w:val="00F13746"/>
    <w:rsid w:val="00F2490F"/>
    <w:rsid w:val="00F27459"/>
    <w:rsid w:val="00F3137D"/>
    <w:rsid w:val="00F31EF8"/>
    <w:rsid w:val="00F32FAD"/>
    <w:rsid w:val="00F34D79"/>
    <w:rsid w:val="00F359BD"/>
    <w:rsid w:val="00F3738B"/>
    <w:rsid w:val="00F41AF3"/>
    <w:rsid w:val="00F42A12"/>
    <w:rsid w:val="00F50FE6"/>
    <w:rsid w:val="00F51D35"/>
    <w:rsid w:val="00F6178F"/>
    <w:rsid w:val="00F62764"/>
    <w:rsid w:val="00F63E65"/>
    <w:rsid w:val="00F6607B"/>
    <w:rsid w:val="00F7145B"/>
    <w:rsid w:val="00F73180"/>
    <w:rsid w:val="00F73316"/>
    <w:rsid w:val="00F73919"/>
    <w:rsid w:val="00F73D74"/>
    <w:rsid w:val="00F744BB"/>
    <w:rsid w:val="00F74B55"/>
    <w:rsid w:val="00F77546"/>
    <w:rsid w:val="00F802BE"/>
    <w:rsid w:val="00F821B5"/>
    <w:rsid w:val="00F82D5B"/>
    <w:rsid w:val="00F83922"/>
    <w:rsid w:val="00F848D9"/>
    <w:rsid w:val="00F8537B"/>
    <w:rsid w:val="00F90225"/>
    <w:rsid w:val="00F9045A"/>
    <w:rsid w:val="00F9132A"/>
    <w:rsid w:val="00F914B6"/>
    <w:rsid w:val="00F922E0"/>
    <w:rsid w:val="00F93C3C"/>
    <w:rsid w:val="00F960B3"/>
    <w:rsid w:val="00F96357"/>
    <w:rsid w:val="00F96471"/>
    <w:rsid w:val="00F9647D"/>
    <w:rsid w:val="00F96AD7"/>
    <w:rsid w:val="00F97419"/>
    <w:rsid w:val="00F97469"/>
    <w:rsid w:val="00F97731"/>
    <w:rsid w:val="00FA1163"/>
    <w:rsid w:val="00FA3112"/>
    <w:rsid w:val="00FA5DCC"/>
    <w:rsid w:val="00FB2553"/>
    <w:rsid w:val="00FB3B57"/>
    <w:rsid w:val="00FB713D"/>
    <w:rsid w:val="00FB7B6B"/>
    <w:rsid w:val="00FC206D"/>
    <w:rsid w:val="00FC693E"/>
    <w:rsid w:val="00FC77DC"/>
    <w:rsid w:val="00FD197C"/>
    <w:rsid w:val="00FD1FEA"/>
    <w:rsid w:val="00FD52E8"/>
    <w:rsid w:val="00FD7768"/>
    <w:rsid w:val="00FE14E5"/>
    <w:rsid w:val="00FE2220"/>
    <w:rsid w:val="00FE225B"/>
    <w:rsid w:val="00FE2E82"/>
    <w:rsid w:val="00FE33E3"/>
    <w:rsid w:val="00FE4196"/>
    <w:rsid w:val="00FE4200"/>
    <w:rsid w:val="00FE5216"/>
    <w:rsid w:val="00FE772D"/>
    <w:rsid w:val="00FE7A75"/>
    <w:rsid w:val="00FF598B"/>
    <w:rsid w:val="00FF6304"/>
    <w:rsid w:val="01680C5E"/>
    <w:rsid w:val="01AD231C"/>
    <w:rsid w:val="021A60F6"/>
    <w:rsid w:val="022D6EFC"/>
    <w:rsid w:val="02615BE1"/>
    <w:rsid w:val="029677B3"/>
    <w:rsid w:val="029E0988"/>
    <w:rsid w:val="02A73B69"/>
    <w:rsid w:val="02B8628E"/>
    <w:rsid w:val="02DB24BD"/>
    <w:rsid w:val="036C63C0"/>
    <w:rsid w:val="03887EF2"/>
    <w:rsid w:val="038D1736"/>
    <w:rsid w:val="03CF0840"/>
    <w:rsid w:val="03FB3FC4"/>
    <w:rsid w:val="04143599"/>
    <w:rsid w:val="04251521"/>
    <w:rsid w:val="04441161"/>
    <w:rsid w:val="044B6418"/>
    <w:rsid w:val="045A6A33"/>
    <w:rsid w:val="04860B7C"/>
    <w:rsid w:val="048B7615"/>
    <w:rsid w:val="04AD51B8"/>
    <w:rsid w:val="04D87301"/>
    <w:rsid w:val="05014C42"/>
    <w:rsid w:val="051922E9"/>
    <w:rsid w:val="052A53FB"/>
    <w:rsid w:val="05511549"/>
    <w:rsid w:val="0569390B"/>
    <w:rsid w:val="059F3346"/>
    <w:rsid w:val="05C30845"/>
    <w:rsid w:val="05FB615F"/>
    <w:rsid w:val="05FD32C8"/>
    <w:rsid w:val="062A54C5"/>
    <w:rsid w:val="06524DBC"/>
    <w:rsid w:val="0667328F"/>
    <w:rsid w:val="068B69B3"/>
    <w:rsid w:val="0692675A"/>
    <w:rsid w:val="06C520B8"/>
    <w:rsid w:val="06EE7D94"/>
    <w:rsid w:val="071E4FBC"/>
    <w:rsid w:val="073625A7"/>
    <w:rsid w:val="07402F73"/>
    <w:rsid w:val="075D1DD8"/>
    <w:rsid w:val="075F7C10"/>
    <w:rsid w:val="0783154D"/>
    <w:rsid w:val="079F680F"/>
    <w:rsid w:val="07D12719"/>
    <w:rsid w:val="07D224B4"/>
    <w:rsid w:val="07E635B1"/>
    <w:rsid w:val="080963D5"/>
    <w:rsid w:val="08473268"/>
    <w:rsid w:val="08932AB3"/>
    <w:rsid w:val="08AA7FC6"/>
    <w:rsid w:val="08F224E1"/>
    <w:rsid w:val="09502C50"/>
    <w:rsid w:val="09C9041E"/>
    <w:rsid w:val="09D516AE"/>
    <w:rsid w:val="09EB05D3"/>
    <w:rsid w:val="0A140921"/>
    <w:rsid w:val="0A1E73F4"/>
    <w:rsid w:val="0A590C06"/>
    <w:rsid w:val="0A7E518D"/>
    <w:rsid w:val="0A9145E4"/>
    <w:rsid w:val="0A9E6368"/>
    <w:rsid w:val="0AC515BB"/>
    <w:rsid w:val="0B22357E"/>
    <w:rsid w:val="0B5F44E7"/>
    <w:rsid w:val="0B6B55CC"/>
    <w:rsid w:val="0BA672CE"/>
    <w:rsid w:val="0BC728BD"/>
    <w:rsid w:val="0BFC36A7"/>
    <w:rsid w:val="0C5731CF"/>
    <w:rsid w:val="0C630F32"/>
    <w:rsid w:val="0C72647B"/>
    <w:rsid w:val="0CB10CD7"/>
    <w:rsid w:val="0D061ED8"/>
    <w:rsid w:val="0D4A59E0"/>
    <w:rsid w:val="0D6738EC"/>
    <w:rsid w:val="0DEA55DF"/>
    <w:rsid w:val="0E282191"/>
    <w:rsid w:val="0E500807"/>
    <w:rsid w:val="0E9733D5"/>
    <w:rsid w:val="0EB15AEF"/>
    <w:rsid w:val="0EBD33B9"/>
    <w:rsid w:val="0EC2508F"/>
    <w:rsid w:val="0EDD181E"/>
    <w:rsid w:val="0EE40994"/>
    <w:rsid w:val="0EEE0FD4"/>
    <w:rsid w:val="0F9C3745"/>
    <w:rsid w:val="0FA12732"/>
    <w:rsid w:val="0FB00C3D"/>
    <w:rsid w:val="0FB82358"/>
    <w:rsid w:val="0FC54454"/>
    <w:rsid w:val="0FE475BB"/>
    <w:rsid w:val="0FEB2AD1"/>
    <w:rsid w:val="10393BAA"/>
    <w:rsid w:val="104E12E8"/>
    <w:rsid w:val="10594E9B"/>
    <w:rsid w:val="105A3B37"/>
    <w:rsid w:val="10A235DA"/>
    <w:rsid w:val="10C1696E"/>
    <w:rsid w:val="10C961E4"/>
    <w:rsid w:val="11134B92"/>
    <w:rsid w:val="112D7E69"/>
    <w:rsid w:val="11471564"/>
    <w:rsid w:val="115A6145"/>
    <w:rsid w:val="11BB08B1"/>
    <w:rsid w:val="11CF0FAB"/>
    <w:rsid w:val="121869B8"/>
    <w:rsid w:val="1233215F"/>
    <w:rsid w:val="12437721"/>
    <w:rsid w:val="129B1196"/>
    <w:rsid w:val="12A54313"/>
    <w:rsid w:val="12B66353"/>
    <w:rsid w:val="13115CD3"/>
    <w:rsid w:val="131B057A"/>
    <w:rsid w:val="13520EB5"/>
    <w:rsid w:val="139D0937"/>
    <w:rsid w:val="13A0618B"/>
    <w:rsid w:val="13AC3495"/>
    <w:rsid w:val="13AD66F0"/>
    <w:rsid w:val="13DD1C23"/>
    <w:rsid w:val="13E05FAA"/>
    <w:rsid w:val="13E80CCE"/>
    <w:rsid w:val="1425541A"/>
    <w:rsid w:val="148D7EBE"/>
    <w:rsid w:val="148F7048"/>
    <w:rsid w:val="14C10CA0"/>
    <w:rsid w:val="15432190"/>
    <w:rsid w:val="15653AC4"/>
    <w:rsid w:val="15836462"/>
    <w:rsid w:val="15C51555"/>
    <w:rsid w:val="16144FA0"/>
    <w:rsid w:val="168B7996"/>
    <w:rsid w:val="16F57852"/>
    <w:rsid w:val="17147090"/>
    <w:rsid w:val="17222C66"/>
    <w:rsid w:val="17264BD1"/>
    <w:rsid w:val="174278B6"/>
    <w:rsid w:val="176B3463"/>
    <w:rsid w:val="179671F7"/>
    <w:rsid w:val="17DF5D40"/>
    <w:rsid w:val="17E36307"/>
    <w:rsid w:val="17EA20AA"/>
    <w:rsid w:val="185D11EC"/>
    <w:rsid w:val="187F2B40"/>
    <w:rsid w:val="18B237FA"/>
    <w:rsid w:val="18B34294"/>
    <w:rsid w:val="18BA45B6"/>
    <w:rsid w:val="19636159"/>
    <w:rsid w:val="19B141B7"/>
    <w:rsid w:val="19DB3039"/>
    <w:rsid w:val="19DB60BB"/>
    <w:rsid w:val="1A027439"/>
    <w:rsid w:val="1A1E129A"/>
    <w:rsid w:val="1A672193"/>
    <w:rsid w:val="1A896419"/>
    <w:rsid w:val="1B0659E2"/>
    <w:rsid w:val="1B0B1E6A"/>
    <w:rsid w:val="1B103C96"/>
    <w:rsid w:val="1B113A9E"/>
    <w:rsid w:val="1B3D2198"/>
    <w:rsid w:val="1B430AAF"/>
    <w:rsid w:val="1B524F87"/>
    <w:rsid w:val="1BD60FD0"/>
    <w:rsid w:val="1BDD1A82"/>
    <w:rsid w:val="1C0357E6"/>
    <w:rsid w:val="1C9C4DC6"/>
    <w:rsid w:val="1CD66406"/>
    <w:rsid w:val="1CED5EC0"/>
    <w:rsid w:val="1D012A8E"/>
    <w:rsid w:val="1D0D3BB9"/>
    <w:rsid w:val="1D28483F"/>
    <w:rsid w:val="1D442EAA"/>
    <w:rsid w:val="1D534968"/>
    <w:rsid w:val="1D627E47"/>
    <w:rsid w:val="1D725E5F"/>
    <w:rsid w:val="1DB2224A"/>
    <w:rsid w:val="1DC006E8"/>
    <w:rsid w:val="1E0B605A"/>
    <w:rsid w:val="1E167BC7"/>
    <w:rsid w:val="1E236E56"/>
    <w:rsid w:val="1E262979"/>
    <w:rsid w:val="1E2C37FE"/>
    <w:rsid w:val="1E4333CA"/>
    <w:rsid w:val="1E596E61"/>
    <w:rsid w:val="1E684144"/>
    <w:rsid w:val="1E6B4C25"/>
    <w:rsid w:val="1E6F3EAC"/>
    <w:rsid w:val="1E731BD2"/>
    <w:rsid w:val="1E771506"/>
    <w:rsid w:val="1EE063C4"/>
    <w:rsid w:val="1F011544"/>
    <w:rsid w:val="1F1937FD"/>
    <w:rsid w:val="1F4D40E8"/>
    <w:rsid w:val="1F523991"/>
    <w:rsid w:val="1F9A2385"/>
    <w:rsid w:val="1F9F5096"/>
    <w:rsid w:val="1FA47C80"/>
    <w:rsid w:val="1FDA7B14"/>
    <w:rsid w:val="1FEF4501"/>
    <w:rsid w:val="1FF53F90"/>
    <w:rsid w:val="20174D06"/>
    <w:rsid w:val="20726CB6"/>
    <w:rsid w:val="207842C7"/>
    <w:rsid w:val="20C8705B"/>
    <w:rsid w:val="20EA2D3C"/>
    <w:rsid w:val="214C60C8"/>
    <w:rsid w:val="218954B8"/>
    <w:rsid w:val="218D7036"/>
    <w:rsid w:val="219E2BD7"/>
    <w:rsid w:val="21C254C4"/>
    <w:rsid w:val="21FF13B1"/>
    <w:rsid w:val="220621CC"/>
    <w:rsid w:val="220E01E4"/>
    <w:rsid w:val="221A0A42"/>
    <w:rsid w:val="221E46FB"/>
    <w:rsid w:val="223F7CBE"/>
    <w:rsid w:val="2259754F"/>
    <w:rsid w:val="226F2A0B"/>
    <w:rsid w:val="22896798"/>
    <w:rsid w:val="22A814C4"/>
    <w:rsid w:val="22BB4904"/>
    <w:rsid w:val="22BC4355"/>
    <w:rsid w:val="22C12162"/>
    <w:rsid w:val="22F619EB"/>
    <w:rsid w:val="23264D1B"/>
    <w:rsid w:val="233A11F2"/>
    <w:rsid w:val="233A65B6"/>
    <w:rsid w:val="23582989"/>
    <w:rsid w:val="236E0272"/>
    <w:rsid w:val="237B1C44"/>
    <w:rsid w:val="238115CF"/>
    <w:rsid w:val="2388774D"/>
    <w:rsid w:val="23B171F1"/>
    <w:rsid w:val="23C93547"/>
    <w:rsid w:val="23F30609"/>
    <w:rsid w:val="242F7AEF"/>
    <w:rsid w:val="243E2100"/>
    <w:rsid w:val="24C12B2A"/>
    <w:rsid w:val="250052C3"/>
    <w:rsid w:val="255F09DD"/>
    <w:rsid w:val="257832A6"/>
    <w:rsid w:val="25A12DD9"/>
    <w:rsid w:val="25C4545C"/>
    <w:rsid w:val="25C66AC5"/>
    <w:rsid w:val="25C7685A"/>
    <w:rsid w:val="25E17E34"/>
    <w:rsid w:val="26800C37"/>
    <w:rsid w:val="271E71B5"/>
    <w:rsid w:val="272D45D3"/>
    <w:rsid w:val="27394F8D"/>
    <w:rsid w:val="2777594D"/>
    <w:rsid w:val="2797476D"/>
    <w:rsid w:val="27BA198A"/>
    <w:rsid w:val="282B0C73"/>
    <w:rsid w:val="28D54A71"/>
    <w:rsid w:val="28FC6DCD"/>
    <w:rsid w:val="29051014"/>
    <w:rsid w:val="29172E6B"/>
    <w:rsid w:val="2968067B"/>
    <w:rsid w:val="29747CF3"/>
    <w:rsid w:val="29E01150"/>
    <w:rsid w:val="29E928DF"/>
    <w:rsid w:val="29F05C91"/>
    <w:rsid w:val="2A0D2752"/>
    <w:rsid w:val="2A185B06"/>
    <w:rsid w:val="2A2D2F77"/>
    <w:rsid w:val="2A3750A4"/>
    <w:rsid w:val="2A5F01D5"/>
    <w:rsid w:val="2A6F26DF"/>
    <w:rsid w:val="2A781B3D"/>
    <w:rsid w:val="2B013E8E"/>
    <w:rsid w:val="2B243CA7"/>
    <w:rsid w:val="2B2A5695"/>
    <w:rsid w:val="2C1D6F45"/>
    <w:rsid w:val="2C401DFA"/>
    <w:rsid w:val="2C7566AC"/>
    <w:rsid w:val="2C787B47"/>
    <w:rsid w:val="2C826D08"/>
    <w:rsid w:val="2D1175A7"/>
    <w:rsid w:val="2D1F6134"/>
    <w:rsid w:val="2D4A403C"/>
    <w:rsid w:val="2D570CF9"/>
    <w:rsid w:val="2D804985"/>
    <w:rsid w:val="2DC412A4"/>
    <w:rsid w:val="2E0B429E"/>
    <w:rsid w:val="2E2312BE"/>
    <w:rsid w:val="2E3C59F8"/>
    <w:rsid w:val="2E850977"/>
    <w:rsid w:val="2EAC33E2"/>
    <w:rsid w:val="2EE54BFF"/>
    <w:rsid w:val="2F1937E8"/>
    <w:rsid w:val="2F1C5639"/>
    <w:rsid w:val="2F360FE1"/>
    <w:rsid w:val="2F4A7CBB"/>
    <w:rsid w:val="2FB747F1"/>
    <w:rsid w:val="2FFB2B49"/>
    <w:rsid w:val="30242C1C"/>
    <w:rsid w:val="306C0F64"/>
    <w:rsid w:val="30704587"/>
    <w:rsid w:val="30822176"/>
    <w:rsid w:val="30897BC5"/>
    <w:rsid w:val="30A56294"/>
    <w:rsid w:val="30F7088F"/>
    <w:rsid w:val="30F966D7"/>
    <w:rsid w:val="312C330E"/>
    <w:rsid w:val="31496359"/>
    <w:rsid w:val="317520BC"/>
    <w:rsid w:val="31915AF3"/>
    <w:rsid w:val="319469B5"/>
    <w:rsid w:val="31946A67"/>
    <w:rsid w:val="319B05F0"/>
    <w:rsid w:val="31B12793"/>
    <w:rsid w:val="31B83828"/>
    <w:rsid w:val="31E10A79"/>
    <w:rsid w:val="32276DFE"/>
    <w:rsid w:val="322D5960"/>
    <w:rsid w:val="325B51AB"/>
    <w:rsid w:val="32A0461A"/>
    <w:rsid w:val="32A67E34"/>
    <w:rsid w:val="32B346B6"/>
    <w:rsid w:val="32B81635"/>
    <w:rsid w:val="336037B0"/>
    <w:rsid w:val="33721875"/>
    <w:rsid w:val="33843993"/>
    <w:rsid w:val="339729B4"/>
    <w:rsid w:val="339F7DC0"/>
    <w:rsid w:val="33B8515E"/>
    <w:rsid w:val="33DB146C"/>
    <w:rsid w:val="343B1A88"/>
    <w:rsid w:val="345570A2"/>
    <w:rsid w:val="34860FB8"/>
    <w:rsid w:val="348674D1"/>
    <w:rsid w:val="35337105"/>
    <w:rsid w:val="35384F44"/>
    <w:rsid w:val="35492330"/>
    <w:rsid w:val="356773AC"/>
    <w:rsid w:val="359A0321"/>
    <w:rsid w:val="35AA111A"/>
    <w:rsid w:val="361207D0"/>
    <w:rsid w:val="363B35C4"/>
    <w:rsid w:val="36AA355C"/>
    <w:rsid w:val="36C8026D"/>
    <w:rsid w:val="378D1080"/>
    <w:rsid w:val="37AC3D63"/>
    <w:rsid w:val="37C06287"/>
    <w:rsid w:val="37C30902"/>
    <w:rsid w:val="37C44C8D"/>
    <w:rsid w:val="37C75C12"/>
    <w:rsid w:val="384D38EC"/>
    <w:rsid w:val="385B0683"/>
    <w:rsid w:val="388572C9"/>
    <w:rsid w:val="39511E95"/>
    <w:rsid w:val="39586403"/>
    <w:rsid w:val="39976D5A"/>
    <w:rsid w:val="39986DC1"/>
    <w:rsid w:val="39C368DA"/>
    <w:rsid w:val="39C63645"/>
    <w:rsid w:val="3A14006A"/>
    <w:rsid w:val="3A175020"/>
    <w:rsid w:val="3A51667F"/>
    <w:rsid w:val="3A7C1983"/>
    <w:rsid w:val="3A7D517E"/>
    <w:rsid w:val="3AA2053D"/>
    <w:rsid w:val="3AAA57FC"/>
    <w:rsid w:val="3AC342F5"/>
    <w:rsid w:val="3AE10E07"/>
    <w:rsid w:val="3B033A34"/>
    <w:rsid w:val="3B311A7B"/>
    <w:rsid w:val="3B31421A"/>
    <w:rsid w:val="3B5069AB"/>
    <w:rsid w:val="3B5A71BA"/>
    <w:rsid w:val="3B924073"/>
    <w:rsid w:val="3B9D74DC"/>
    <w:rsid w:val="3BA60898"/>
    <w:rsid w:val="3BB24134"/>
    <w:rsid w:val="3BB71E3F"/>
    <w:rsid w:val="3BC33E98"/>
    <w:rsid w:val="3BE02EA6"/>
    <w:rsid w:val="3C505361"/>
    <w:rsid w:val="3C6749A6"/>
    <w:rsid w:val="3CA45D62"/>
    <w:rsid w:val="3CB86AC1"/>
    <w:rsid w:val="3CC2763E"/>
    <w:rsid w:val="3CDC651E"/>
    <w:rsid w:val="3CE15C8A"/>
    <w:rsid w:val="3CF03BF1"/>
    <w:rsid w:val="3D0828C8"/>
    <w:rsid w:val="3D145A6E"/>
    <w:rsid w:val="3D2F71E0"/>
    <w:rsid w:val="3E047890"/>
    <w:rsid w:val="3E163352"/>
    <w:rsid w:val="3E261F21"/>
    <w:rsid w:val="3E2F0495"/>
    <w:rsid w:val="3E7D7529"/>
    <w:rsid w:val="3E9A1742"/>
    <w:rsid w:val="3F2E2282"/>
    <w:rsid w:val="3F685738"/>
    <w:rsid w:val="3F815E95"/>
    <w:rsid w:val="3F8313C0"/>
    <w:rsid w:val="3F865BC8"/>
    <w:rsid w:val="3FA858D7"/>
    <w:rsid w:val="3FB037EA"/>
    <w:rsid w:val="3FBD02B0"/>
    <w:rsid w:val="3FF15277"/>
    <w:rsid w:val="40202543"/>
    <w:rsid w:val="40341457"/>
    <w:rsid w:val="403969EE"/>
    <w:rsid w:val="4062144F"/>
    <w:rsid w:val="40771616"/>
    <w:rsid w:val="409C65D3"/>
    <w:rsid w:val="40D4197F"/>
    <w:rsid w:val="40F4327E"/>
    <w:rsid w:val="410924C1"/>
    <w:rsid w:val="41711B14"/>
    <w:rsid w:val="41E55A5E"/>
    <w:rsid w:val="41F10240"/>
    <w:rsid w:val="41FA7928"/>
    <w:rsid w:val="41FE1AD4"/>
    <w:rsid w:val="41FE2C3B"/>
    <w:rsid w:val="420D3358"/>
    <w:rsid w:val="42390634"/>
    <w:rsid w:val="42691183"/>
    <w:rsid w:val="427F16EC"/>
    <w:rsid w:val="42B717A5"/>
    <w:rsid w:val="42E57A84"/>
    <w:rsid w:val="42FC28F1"/>
    <w:rsid w:val="43365A5C"/>
    <w:rsid w:val="43596927"/>
    <w:rsid w:val="43615FD2"/>
    <w:rsid w:val="43857DD3"/>
    <w:rsid w:val="44127471"/>
    <w:rsid w:val="44327F78"/>
    <w:rsid w:val="446B30A5"/>
    <w:rsid w:val="44743895"/>
    <w:rsid w:val="44903906"/>
    <w:rsid w:val="44985375"/>
    <w:rsid w:val="44E9617A"/>
    <w:rsid w:val="45126D3D"/>
    <w:rsid w:val="453D1F64"/>
    <w:rsid w:val="457F5E93"/>
    <w:rsid w:val="45F510A2"/>
    <w:rsid w:val="463511E5"/>
    <w:rsid w:val="465810BA"/>
    <w:rsid w:val="46B2007B"/>
    <w:rsid w:val="46D14DC9"/>
    <w:rsid w:val="46D50B31"/>
    <w:rsid w:val="472F0025"/>
    <w:rsid w:val="47897AF5"/>
    <w:rsid w:val="47BE0940"/>
    <w:rsid w:val="47C337A3"/>
    <w:rsid w:val="47EE009A"/>
    <w:rsid w:val="48671F9C"/>
    <w:rsid w:val="48765EF0"/>
    <w:rsid w:val="48956EFF"/>
    <w:rsid w:val="48CA7B79"/>
    <w:rsid w:val="48CE4731"/>
    <w:rsid w:val="48CF415E"/>
    <w:rsid w:val="48DF1391"/>
    <w:rsid w:val="49166187"/>
    <w:rsid w:val="4942027F"/>
    <w:rsid w:val="49516B58"/>
    <w:rsid w:val="498A2485"/>
    <w:rsid w:val="49A44075"/>
    <w:rsid w:val="49F72B69"/>
    <w:rsid w:val="4A1E32D8"/>
    <w:rsid w:val="4A455374"/>
    <w:rsid w:val="4A4809D5"/>
    <w:rsid w:val="4A5720FB"/>
    <w:rsid w:val="4A6101C4"/>
    <w:rsid w:val="4A803810"/>
    <w:rsid w:val="4AA128BF"/>
    <w:rsid w:val="4AFB1112"/>
    <w:rsid w:val="4B1D2688"/>
    <w:rsid w:val="4B4A433A"/>
    <w:rsid w:val="4B534430"/>
    <w:rsid w:val="4B810B5B"/>
    <w:rsid w:val="4BEE0510"/>
    <w:rsid w:val="4BF25E27"/>
    <w:rsid w:val="4BFF4057"/>
    <w:rsid w:val="4C213839"/>
    <w:rsid w:val="4C776080"/>
    <w:rsid w:val="4C7A02C8"/>
    <w:rsid w:val="4CE566B4"/>
    <w:rsid w:val="4CE6353B"/>
    <w:rsid w:val="4CE74703"/>
    <w:rsid w:val="4D3245B5"/>
    <w:rsid w:val="4D393F67"/>
    <w:rsid w:val="4D49087C"/>
    <w:rsid w:val="4D942FD5"/>
    <w:rsid w:val="4DA95731"/>
    <w:rsid w:val="4F00270B"/>
    <w:rsid w:val="4F082819"/>
    <w:rsid w:val="4F80268F"/>
    <w:rsid w:val="4F836083"/>
    <w:rsid w:val="4FC26844"/>
    <w:rsid w:val="4FDC241B"/>
    <w:rsid w:val="500B7261"/>
    <w:rsid w:val="503B2853"/>
    <w:rsid w:val="508B09DB"/>
    <w:rsid w:val="50CA45A4"/>
    <w:rsid w:val="50D008D4"/>
    <w:rsid w:val="50DC1B38"/>
    <w:rsid w:val="50ED4034"/>
    <w:rsid w:val="511A6C20"/>
    <w:rsid w:val="512A2DAC"/>
    <w:rsid w:val="512F6C62"/>
    <w:rsid w:val="51C915B1"/>
    <w:rsid w:val="5213773A"/>
    <w:rsid w:val="521E01B7"/>
    <w:rsid w:val="52282717"/>
    <w:rsid w:val="52372902"/>
    <w:rsid w:val="52575E4D"/>
    <w:rsid w:val="527C37E2"/>
    <w:rsid w:val="52C409EC"/>
    <w:rsid w:val="52E41049"/>
    <w:rsid w:val="536D30B4"/>
    <w:rsid w:val="537074D7"/>
    <w:rsid w:val="53774CFF"/>
    <w:rsid w:val="53780202"/>
    <w:rsid w:val="53AD1D22"/>
    <w:rsid w:val="54252428"/>
    <w:rsid w:val="542913A8"/>
    <w:rsid w:val="547D007E"/>
    <w:rsid w:val="54851639"/>
    <w:rsid w:val="54A37FCC"/>
    <w:rsid w:val="54B84ABC"/>
    <w:rsid w:val="54BD528B"/>
    <w:rsid w:val="553C3601"/>
    <w:rsid w:val="55567E1D"/>
    <w:rsid w:val="556656F7"/>
    <w:rsid w:val="557B66CE"/>
    <w:rsid w:val="55D13859"/>
    <w:rsid w:val="55FD4CE6"/>
    <w:rsid w:val="56435F3C"/>
    <w:rsid w:val="56E57C75"/>
    <w:rsid w:val="56FB2042"/>
    <w:rsid w:val="57082DDD"/>
    <w:rsid w:val="57497260"/>
    <w:rsid w:val="574E4A59"/>
    <w:rsid w:val="57571DB9"/>
    <w:rsid w:val="57905DB9"/>
    <w:rsid w:val="57AD0B81"/>
    <w:rsid w:val="57BC2184"/>
    <w:rsid w:val="57D071A4"/>
    <w:rsid w:val="57EA3EC9"/>
    <w:rsid w:val="58183713"/>
    <w:rsid w:val="5849505A"/>
    <w:rsid w:val="587924B3"/>
    <w:rsid w:val="587B189E"/>
    <w:rsid w:val="589D1345"/>
    <w:rsid w:val="593E00F4"/>
    <w:rsid w:val="59A62066"/>
    <w:rsid w:val="59B56775"/>
    <w:rsid w:val="59D63A74"/>
    <w:rsid w:val="5A0D39DF"/>
    <w:rsid w:val="5A426E6B"/>
    <w:rsid w:val="5A5F0287"/>
    <w:rsid w:val="5A760D1C"/>
    <w:rsid w:val="5A9643B9"/>
    <w:rsid w:val="5AC47CF0"/>
    <w:rsid w:val="5B262939"/>
    <w:rsid w:val="5B5D3E2F"/>
    <w:rsid w:val="5B9A6C84"/>
    <w:rsid w:val="5BA75AB5"/>
    <w:rsid w:val="5BAA35EF"/>
    <w:rsid w:val="5BB66216"/>
    <w:rsid w:val="5BC53865"/>
    <w:rsid w:val="5BFD4704"/>
    <w:rsid w:val="5C510E24"/>
    <w:rsid w:val="5CD56070"/>
    <w:rsid w:val="5CDB71E4"/>
    <w:rsid w:val="5CDD26E7"/>
    <w:rsid w:val="5CF6309F"/>
    <w:rsid w:val="5D1F0548"/>
    <w:rsid w:val="5DA818EF"/>
    <w:rsid w:val="5DCB3ACF"/>
    <w:rsid w:val="5E341CA2"/>
    <w:rsid w:val="5E4B06C0"/>
    <w:rsid w:val="5EA04E69"/>
    <w:rsid w:val="5ED52ACA"/>
    <w:rsid w:val="5ED84FB4"/>
    <w:rsid w:val="5ED969E5"/>
    <w:rsid w:val="5EE353BB"/>
    <w:rsid w:val="5EF03455"/>
    <w:rsid w:val="5F056BF5"/>
    <w:rsid w:val="5F0F2927"/>
    <w:rsid w:val="5F233803"/>
    <w:rsid w:val="5F7104A2"/>
    <w:rsid w:val="600B6D2C"/>
    <w:rsid w:val="60462E92"/>
    <w:rsid w:val="60661E0D"/>
    <w:rsid w:val="60764187"/>
    <w:rsid w:val="607A7680"/>
    <w:rsid w:val="60805802"/>
    <w:rsid w:val="60AD5C12"/>
    <w:rsid w:val="60CC2038"/>
    <w:rsid w:val="610349CE"/>
    <w:rsid w:val="610A6045"/>
    <w:rsid w:val="61253181"/>
    <w:rsid w:val="612F67BE"/>
    <w:rsid w:val="615D2A23"/>
    <w:rsid w:val="615D2ABA"/>
    <w:rsid w:val="61946F44"/>
    <w:rsid w:val="619A393A"/>
    <w:rsid w:val="61A60ADB"/>
    <w:rsid w:val="61B251D8"/>
    <w:rsid w:val="623954AB"/>
    <w:rsid w:val="625B0068"/>
    <w:rsid w:val="626B1D7D"/>
    <w:rsid w:val="62974FF9"/>
    <w:rsid w:val="62B06376"/>
    <w:rsid w:val="62B94C60"/>
    <w:rsid w:val="62D27E30"/>
    <w:rsid w:val="63121C38"/>
    <w:rsid w:val="631F248C"/>
    <w:rsid w:val="634933FE"/>
    <w:rsid w:val="63626220"/>
    <w:rsid w:val="6368365E"/>
    <w:rsid w:val="638D24E1"/>
    <w:rsid w:val="63A75D22"/>
    <w:rsid w:val="63AA708C"/>
    <w:rsid w:val="63C36AB0"/>
    <w:rsid w:val="63E42EEF"/>
    <w:rsid w:val="640B0BB1"/>
    <w:rsid w:val="64151D68"/>
    <w:rsid w:val="646463A5"/>
    <w:rsid w:val="647414DA"/>
    <w:rsid w:val="649C3411"/>
    <w:rsid w:val="652A37E6"/>
    <w:rsid w:val="654712BF"/>
    <w:rsid w:val="655A481C"/>
    <w:rsid w:val="65610962"/>
    <w:rsid w:val="658A25D1"/>
    <w:rsid w:val="65BE2B43"/>
    <w:rsid w:val="66827BC4"/>
    <w:rsid w:val="673B426B"/>
    <w:rsid w:val="6744437A"/>
    <w:rsid w:val="67496BBD"/>
    <w:rsid w:val="67574F14"/>
    <w:rsid w:val="675D46A9"/>
    <w:rsid w:val="67992086"/>
    <w:rsid w:val="67D76533"/>
    <w:rsid w:val="688E36C2"/>
    <w:rsid w:val="68CE17D4"/>
    <w:rsid w:val="68F9081A"/>
    <w:rsid w:val="68FF2F57"/>
    <w:rsid w:val="69405C7E"/>
    <w:rsid w:val="69495978"/>
    <w:rsid w:val="694F779D"/>
    <w:rsid w:val="69B903B0"/>
    <w:rsid w:val="69BC671C"/>
    <w:rsid w:val="69F06DC8"/>
    <w:rsid w:val="6A605D12"/>
    <w:rsid w:val="6B0F039A"/>
    <w:rsid w:val="6B347DF9"/>
    <w:rsid w:val="6B81166C"/>
    <w:rsid w:val="6BBA00C5"/>
    <w:rsid w:val="6BC6435F"/>
    <w:rsid w:val="6BDF67CB"/>
    <w:rsid w:val="6BF85361"/>
    <w:rsid w:val="6C404423"/>
    <w:rsid w:val="6C5B7FCD"/>
    <w:rsid w:val="6C6F12F5"/>
    <w:rsid w:val="6C784183"/>
    <w:rsid w:val="6C8F4C14"/>
    <w:rsid w:val="6CA337E1"/>
    <w:rsid w:val="6CE177BE"/>
    <w:rsid w:val="6CF838A2"/>
    <w:rsid w:val="6D1C51EA"/>
    <w:rsid w:val="6D837B38"/>
    <w:rsid w:val="6D886835"/>
    <w:rsid w:val="6D9B2FE1"/>
    <w:rsid w:val="6DC76FF9"/>
    <w:rsid w:val="6DE215E4"/>
    <w:rsid w:val="6DE91B45"/>
    <w:rsid w:val="6E1F7A09"/>
    <w:rsid w:val="6E396833"/>
    <w:rsid w:val="6E3C4D68"/>
    <w:rsid w:val="6E6C58B8"/>
    <w:rsid w:val="6E6D6647"/>
    <w:rsid w:val="6E933D19"/>
    <w:rsid w:val="6E9F158A"/>
    <w:rsid w:val="6EAB5982"/>
    <w:rsid w:val="6F6654F5"/>
    <w:rsid w:val="6F6F1730"/>
    <w:rsid w:val="6F9A4CA5"/>
    <w:rsid w:val="6FC438EB"/>
    <w:rsid w:val="6FDE4F37"/>
    <w:rsid w:val="6FEE2CD6"/>
    <w:rsid w:val="6FF440BA"/>
    <w:rsid w:val="701F1148"/>
    <w:rsid w:val="70251C9A"/>
    <w:rsid w:val="70311372"/>
    <w:rsid w:val="708923AF"/>
    <w:rsid w:val="70A409DA"/>
    <w:rsid w:val="70C3220A"/>
    <w:rsid w:val="70C4712E"/>
    <w:rsid w:val="70CB7DD4"/>
    <w:rsid w:val="70D43728"/>
    <w:rsid w:val="711530E1"/>
    <w:rsid w:val="711649B8"/>
    <w:rsid w:val="7119641A"/>
    <w:rsid w:val="71491751"/>
    <w:rsid w:val="71CB1AC1"/>
    <w:rsid w:val="71CC326F"/>
    <w:rsid w:val="71CE26CC"/>
    <w:rsid w:val="7229276A"/>
    <w:rsid w:val="724E4D5C"/>
    <w:rsid w:val="72A56903"/>
    <w:rsid w:val="72BE43A6"/>
    <w:rsid w:val="72E25FAF"/>
    <w:rsid w:val="731510AC"/>
    <w:rsid w:val="735B2AA7"/>
    <w:rsid w:val="736E0E6D"/>
    <w:rsid w:val="73DE07C4"/>
    <w:rsid w:val="73E15372"/>
    <w:rsid w:val="741479D4"/>
    <w:rsid w:val="74422EB3"/>
    <w:rsid w:val="74444C61"/>
    <w:rsid w:val="74515114"/>
    <w:rsid w:val="74652E63"/>
    <w:rsid w:val="74D12CB3"/>
    <w:rsid w:val="74FC737A"/>
    <w:rsid w:val="75037C8D"/>
    <w:rsid w:val="75333E20"/>
    <w:rsid w:val="75E66060"/>
    <w:rsid w:val="760854B5"/>
    <w:rsid w:val="760C2423"/>
    <w:rsid w:val="76322B8E"/>
    <w:rsid w:val="765069A7"/>
    <w:rsid w:val="76985EA2"/>
    <w:rsid w:val="76993D55"/>
    <w:rsid w:val="769B35A3"/>
    <w:rsid w:val="76A04AAB"/>
    <w:rsid w:val="76BD581E"/>
    <w:rsid w:val="76F14B05"/>
    <w:rsid w:val="770D005F"/>
    <w:rsid w:val="77517EC5"/>
    <w:rsid w:val="777756CF"/>
    <w:rsid w:val="77910638"/>
    <w:rsid w:val="77AF11A9"/>
    <w:rsid w:val="77B82D0E"/>
    <w:rsid w:val="78117EEA"/>
    <w:rsid w:val="782F0F3C"/>
    <w:rsid w:val="78390B7E"/>
    <w:rsid w:val="78455B5D"/>
    <w:rsid w:val="785B7B36"/>
    <w:rsid w:val="788D02BA"/>
    <w:rsid w:val="790862B1"/>
    <w:rsid w:val="7943305C"/>
    <w:rsid w:val="794F1E90"/>
    <w:rsid w:val="79504B56"/>
    <w:rsid w:val="79532387"/>
    <w:rsid w:val="797110D8"/>
    <w:rsid w:val="797307CE"/>
    <w:rsid w:val="7974718E"/>
    <w:rsid w:val="79A539F0"/>
    <w:rsid w:val="79B057A4"/>
    <w:rsid w:val="7A5E3C4E"/>
    <w:rsid w:val="7ABC1A6A"/>
    <w:rsid w:val="7ABF29EE"/>
    <w:rsid w:val="7ACB42C0"/>
    <w:rsid w:val="7AD64481"/>
    <w:rsid w:val="7B8C1AB6"/>
    <w:rsid w:val="7BBD6BA9"/>
    <w:rsid w:val="7BD947C0"/>
    <w:rsid w:val="7BEE7808"/>
    <w:rsid w:val="7C2F774D"/>
    <w:rsid w:val="7C4D2708"/>
    <w:rsid w:val="7C4E1EC6"/>
    <w:rsid w:val="7C661E25"/>
    <w:rsid w:val="7C96222A"/>
    <w:rsid w:val="7C99137B"/>
    <w:rsid w:val="7D145441"/>
    <w:rsid w:val="7D427EA1"/>
    <w:rsid w:val="7D4A4048"/>
    <w:rsid w:val="7D6D2CAB"/>
    <w:rsid w:val="7D7814F9"/>
    <w:rsid w:val="7D7C0952"/>
    <w:rsid w:val="7DD5770E"/>
    <w:rsid w:val="7DE30098"/>
    <w:rsid w:val="7E2631CC"/>
    <w:rsid w:val="7E314AA0"/>
    <w:rsid w:val="7E4B68DF"/>
    <w:rsid w:val="7E4F1946"/>
    <w:rsid w:val="7E502C4A"/>
    <w:rsid w:val="7E5747D4"/>
    <w:rsid w:val="7E5A0FDB"/>
    <w:rsid w:val="7EC66194"/>
    <w:rsid w:val="7ECC4693"/>
    <w:rsid w:val="7EE74155"/>
    <w:rsid w:val="7EE92901"/>
    <w:rsid w:val="7F334FF2"/>
    <w:rsid w:val="7F4219EB"/>
    <w:rsid w:val="7FB128BC"/>
    <w:rsid w:val="7FDF6BD9"/>
    <w:rsid w:val="7FF27DF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32"/>
    </w:rPr>
  </w:style>
  <w:style w:type="paragraph" w:styleId="3">
    <w:name w:val="heading 3"/>
    <w:basedOn w:val="1"/>
    <w:next w:val="1"/>
    <w:link w:val="59"/>
    <w:qFormat/>
    <w:uiPriority w:val="0"/>
    <w:pPr>
      <w:keepNext/>
      <w:keepLines/>
      <w:spacing w:before="260" w:after="260" w:line="416" w:lineRule="auto"/>
      <w:outlineLvl w:val="2"/>
    </w:pPr>
    <w:rPr>
      <w:b/>
      <w:bCs/>
      <w:sz w:val="32"/>
      <w:szCs w:val="32"/>
    </w:rPr>
  </w:style>
  <w:style w:type="character" w:default="1" w:styleId="22">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4">
    <w:name w:val="Normal Indent"/>
    <w:basedOn w:val="1"/>
    <w:link w:val="32"/>
    <w:qFormat/>
    <w:uiPriority w:val="0"/>
    <w:pPr>
      <w:ind w:firstLine="420"/>
    </w:pPr>
    <w:rPr>
      <w:szCs w:val="20"/>
    </w:rPr>
  </w:style>
  <w:style w:type="paragraph" w:styleId="5">
    <w:name w:val="Document Map"/>
    <w:basedOn w:val="1"/>
    <w:link w:val="61"/>
    <w:qFormat/>
    <w:uiPriority w:val="0"/>
    <w:rPr>
      <w:rFonts w:ascii="宋体"/>
      <w:sz w:val="18"/>
      <w:szCs w:val="18"/>
    </w:rPr>
  </w:style>
  <w:style w:type="paragraph" w:styleId="6">
    <w:name w:val="annotation text"/>
    <w:basedOn w:val="1"/>
    <w:link w:val="34"/>
    <w:qFormat/>
    <w:uiPriority w:val="0"/>
    <w:pPr>
      <w:jc w:val="left"/>
    </w:pPr>
  </w:style>
  <w:style w:type="paragraph" w:styleId="7">
    <w:name w:val="Body Text"/>
    <w:basedOn w:val="1"/>
    <w:link w:val="62"/>
    <w:qFormat/>
    <w:uiPriority w:val="0"/>
    <w:pPr>
      <w:spacing w:after="120"/>
    </w:pPr>
  </w:style>
  <w:style w:type="paragraph" w:styleId="8">
    <w:name w:val="Body Text Indent"/>
    <w:basedOn w:val="1"/>
    <w:qFormat/>
    <w:uiPriority w:val="0"/>
    <w:pPr>
      <w:spacing w:line="360" w:lineRule="auto"/>
      <w:ind w:firstLine="525"/>
    </w:pPr>
    <w:rPr>
      <w:sz w:val="24"/>
    </w:rPr>
  </w:style>
  <w:style w:type="paragraph" w:styleId="9">
    <w:name w:val="Date"/>
    <w:basedOn w:val="1"/>
    <w:next w:val="1"/>
    <w:link w:val="58"/>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link w:val="43"/>
    <w:qFormat/>
    <w:uiPriority w:val="99"/>
    <w:pPr>
      <w:tabs>
        <w:tab w:val="center" w:pos="4153"/>
        <w:tab w:val="right" w:pos="8306"/>
      </w:tabs>
      <w:snapToGrid w:val="0"/>
      <w:jc w:val="left"/>
    </w:pPr>
    <w:rPr>
      <w:sz w:val="18"/>
      <w:szCs w:val="18"/>
    </w:rPr>
  </w:style>
  <w:style w:type="paragraph" w:styleId="12">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footnote text"/>
    <w:qFormat/>
    <w:uiPriority w:val="0"/>
    <w:pPr>
      <w:widowControl w:val="0"/>
      <w:snapToGrid w:val="0"/>
      <w:jc w:val="left"/>
    </w:pPr>
    <w:rPr>
      <w:rFonts w:ascii="Times New Roman" w:hAnsi="Times New Roman" w:eastAsia="宋体" w:cs="Times New Roman"/>
      <w:kern w:val="2"/>
      <w:sz w:val="18"/>
      <w:szCs w:val="18"/>
      <w:lang w:val="en-US" w:eastAsia="zh-CN" w:bidi="ar-SA"/>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Title"/>
    <w:basedOn w:val="1"/>
    <w:next w:val="1"/>
    <w:link w:val="60"/>
    <w:qFormat/>
    <w:uiPriority w:val="0"/>
    <w:pPr>
      <w:spacing w:before="240" w:after="60"/>
      <w:jc w:val="center"/>
      <w:outlineLvl w:val="0"/>
    </w:pPr>
    <w:rPr>
      <w:rFonts w:ascii="Cambria" w:hAnsi="Cambria"/>
      <w:b/>
      <w:bCs/>
      <w:sz w:val="32"/>
      <w:szCs w:val="32"/>
    </w:rPr>
  </w:style>
  <w:style w:type="paragraph" w:styleId="17">
    <w:name w:val="annotation subject"/>
    <w:basedOn w:val="6"/>
    <w:next w:val="6"/>
    <w:link w:val="35"/>
    <w:qFormat/>
    <w:uiPriority w:val="0"/>
    <w:rPr>
      <w:b/>
      <w:bCs/>
    </w:rPr>
  </w:style>
  <w:style w:type="paragraph" w:styleId="18">
    <w:name w:val="Body Text First Indent"/>
    <w:basedOn w:val="7"/>
    <w:link w:val="63"/>
    <w:qFormat/>
    <w:uiPriority w:val="0"/>
    <w:pPr>
      <w:spacing w:before="120"/>
      <w:ind w:firstLine="420" w:firstLineChars="100"/>
    </w:pPr>
  </w:style>
  <w:style w:type="table" w:styleId="20">
    <w:name w:val="Table Grid"/>
    <w:basedOn w:val="1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Table Theme"/>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Emphasis"/>
    <w:qFormat/>
    <w:uiPriority w:val="20"/>
    <w:rPr>
      <w:i/>
      <w:iCs/>
    </w:rPr>
  </w:style>
  <w:style w:type="character" w:styleId="25">
    <w:name w:val="annotation reference"/>
    <w:qFormat/>
    <w:uiPriority w:val="0"/>
    <w:rPr>
      <w:sz w:val="21"/>
      <w:szCs w:val="21"/>
    </w:rPr>
  </w:style>
  <w:style w:type="character" w:styleId="26">
    <w:name w:val="footnote reference"/>
    <w:qFormat/>
    <w:uiPriority w:val="0"/>
    <w:rPr>
      <w:vertAlign w:val="superscript"/>
    </w:rPr>
  </w:style>
  <w:style w:type="paragraph" w:customStyle="1" w:styleId="27">
    <w:name w:val="_Style 18"/>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8">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9">
    <w:name w:val="段"/>
    <w:link w:val="3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0">
    <w:name w:val="段 Char"/>
    <w:link w:val="29"/>
    <w:qFormat/>
    <w:uiPriority w:val="0"/>
    <w:rPr>
      <w:rFonts w:ascii="宋体"/>
      <w:sz w:val="21"/>
      <w:lang w:val="en-US" w:eastAsia="zh-CN" w:bidi="ar-SA"/>
    </w:rPr>
  </w:style>
  <w:style w:type="paragraph" w:customStyle="1" w:styleId="3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2">
    <w:name w:val="正文缩进 Char"/>
    <w:link w:val="4"/>
    <w:qFormat/>
    <w:uiPriority w:val="0"/>
    <w:rPr>
      <w:rFonts w:eastAsia="宋体"/>
      <w:kern w:val="2"/>
      <w:sz w:val="21"/>
      <w:lang w:val="en-US" w:eastAsia="zh-CN" w:bidi="ar-SA"/>
    </w:rPr>
  </w:style>
  <w:style w:type="character" w:customStyle="1" w:styleId="33">
    <w:name w:val="页眉 Char"/>
    <w:link w:val="12"/>
    <w:qFormat/>
    <w:uiPriority w:val="0"/>
    <w:rPr>
      <w:kern w:val="2"/>
      <w:sz w:val="18"/>
      <w:szCs w:val="18"/>
    </w:rPr>
  </w:style>
  <w:style w:type="character" w:customStyle="1" w:styleId="34">
    <w:name w:val="批注文字 Char"/>
    <w:link w:val="6"/>
    <w:qFormat/>
    <w:uiPriority w:val="0"/>
    <w:rPr>
      <w:kern w:val="2"/>
      <w:sz w:val="21"/>
      <w:szCs w:val="24"/>
    </w:rPr>
  </w:style>
  <w:style w:type="character" w:customStyle="1" w:styleId="35">
    <w:name w:val="批注主题 Char"/>
    <w:link w:val="17"/>
    <w:qFormat/>
    <w:uiPriority w:val="0"/>
    <w:rPr>
      <w:b/>
      <w:bCs/>
      <w:kern w:val="2"/>
      <w:sz w:val="21"/>
      <w:szCs w:val="24"/>
    </w:rPr>
  </w:style>
  <w:style w:type="paragraph" w:customStyle="1" w:styleId="36">
    <w:name w:val="一级条标题"/>
    <w:next w:val="1"/>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37">
    <w:name w:val="章标题"/>
    <w:next w:val="1"/>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8">
    <w:name w:val="二级条标题"/>
    <w:basedOn w:val="36"/>
    <w:next w:val="1"/>
    <w:qFormat/>
    <w:uiPriority w:val="0"/>
    <w:pPr>
      <w:numPr>
        <w:ilvl w:val="2"/>
        <w:numId w:val="1"/>
      </w:numPr>
      <w:spacing w:before="50" w:after="50"/>
      <w:outlineLvl w:val="3"/>
    </w:pPr>
  </w:style>
  <w:style w:type="paragraph" w:customStyle="1" w:styleId="39">
    <w:name w:val="三级条标题"/>
    <w:basedOn w:val="38"/>
    <w:next w:val="1"/>
    <w:qFormat/>
    <w:uiPriority w:val="0"/>
    <w:pPr>
      <w:numPr>
        <w:ilvl w:val="3"/>
        <w:numId w:val="1"/>
      </w:numPr>
      <w:outlineLvl w:val="4"/>
    </w:pPr>
  </w:style>
  <w:style w:type="paragraph" w:customStyle="1" w:styleId="40">
    <w:name w:val="四级条标题"/>
    <w:basedOn w:val="39"/>
    <w:next w:val="1"/>
    <w:qFormat/>
    <w:uiPriority w:val="0"/>
    <w:pPr>
      <w:numPr>
        <w:ilvl w:val="4"/>
        <w:numId w:val="1"/>
      </w:numPr>
      <w:outlineLvl w:val="5"/>
    </w:pPr>
  </w:style>
  <w:style w:type="paragraph" w:customStyle="1" w:styleId="41">
    <w:name w:val="五级条标题"/>
    <w:basedOn w:val="40"/>
    <w:next w:val="1"/>
    <w:qFormat/>
    <w:uiPriority w:val="0"/>
    <w:pPr>
      <w:numPr>
        <w:ilvl w:val="5"/>
        <w:numId w:val="1"/>
      </w:numPr>
      <w:outlineLvl w:val="6"/>
    </w:pPr>
  </w:style>
  <w:style w:type="paragraph" w:styleId="42">
    <w:name w:val="List Paragraph"/>
    <w:basedOn w:val="1"/>
    <w:qFormat/>
    <w:uiPriority w:val="34"/>
    <w:pPr>
      <w:ind w:firstLine="420" w:firstLineChars="200"/>
    </w:pPr>
    <w:rPr>
      <w:rFonts w:ascii="Calibri" w:hAnsi="Calibri" w:eastAsia="宋体" w:cs="Times New Roman"/>
      <w:szCs w:val="22"/>
    </w:rPr>
  </w:style>
  <w:style w:type="character" w:customStyle="1" w:styleId="43">
    <w:name w:val="页脚 Char"/>
    <w:link w:val="11"/>
    <w:qFormat/>
    <w:uiPriority w:val="99"/>
    <w:rPr>
      <w:kern w:val="2"/>
      <w:sz w:val="18"/>
      <w:szCs w:val="18"/>
    </w:rPr>
  </w:style>
  <w:style w:type="paragraph" w:customStyle="1" w:styleId="4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45">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46">
    <w:name w:val="标准书眉一"/>
    <w:qFormat/>
    <w:uiPriority w:val="0"/>
    <w:pPr>
      <w:jc w:val="both"/>
    </w:pPr>
    <w:rPr>
      <w:rFonts w:ascii="Times New Roman" w:hAnsi="Times New Roman" w:eastAsia="宋体" w:cs="Times New Roman"/>
      <w:lang w:val="en-US" w:eastAsia="zh-CN" w:bidi="ar-SA"/>
    </w:rPr>
  </w:style>
  <w:style w:type="paragraph" w:customStyle="1" w:styleId="47">
    <w:name w:val="发布部门"/>
    <w:next w:val="1"/>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4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49">
    <w:name w:val="封面标准号2"/>
    <w:basedOn w:val="1"/>
    <w:qFormat/>
    <w:uiPriority w:val="0"/>
    <w:pPr>
      <w:framePr w:w="9138" w:h="1244" w:hRule="exact" w:wrap="around" w:vAnchor="page" w:hAnchor="margin" w:y="2908"/>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50">
    <w:name w:val="封面标准代替信息"/>
    <w:basedOn w:val="49"/>
    <w:qFormat/>
    <w:uiPriority w:val="0"/>
    <w:pPr>
      <w:spacing w:before="57"/>
    </w:pPr>
    <w:rPr>
      <w:rFonts w:ascii="宋体"/>
      <w:sz w:val="21"/>
    </w:rPr>
  </w:style>
  <w:style w:type="paragraph" w:customStyle="1" w:styleId="51">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52">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53">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54">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55">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56">
    <w:name w:val="实施日期"/>
    <w:basedOn w:val="48"/>
    <w:qFormat/>
    <w:uiPriority w:val="0"/>
    <w:pPr>
      <w:framePr w:hSpace="0" w:xAlign="right"/>
      <w:jc w:val="right"/>
    </w:pPr>
  </w:style>
  <w:style w:type="paragraph" w:customStyle="1" w:styleId="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58">
    <w:name w:val="日期 Char"/>
    <w:link w:val="9"/>
    <w:qFormat/>
    <w:uiPriority w:val="0"/>
    <w:rPr>
      <w:kern w:val="2"/>
      <w:sz w:val="21"/>
      <w:szCs w:val="24"/>
    </w:rPr>
  </w:style>
  <w:style w:type="character" w:customStyle="1" w:styleId="59">
    <w:name w:val="标题 3 Char"/>
    <w:link w:val="3"/>
    <w:qFormat/>
    <w:uiPriority w:val="0"/>
    <w:rPr>
      <w:b/>
      <w:bCs/>
      <w:kern w:val="2"/>
      <w:sz w:val="32"/>
      <w:szCs w:val="32"/>
    </w:rPr>
  </w:style>
  <w:style w:type="character" w:customStyle="1" w:styleId="60">
    <w:name w:val="标题 Char"/>
    <w:link w:val="16"/>
    <w:qFormat/>
    <w:uiPriority w:val="0"/>
    <w:rPr>
      <w:rFonts w:ascii="Cambria" w:hAnsi="Cambria" w:cs="Times New Roman"/>
      <w:b/>
      <w:bCs/>
      <w:kern w:val="2"/>
      <w:sz w:val="32"/>
      <w:szCs w:val="32"/>
    </w:rPr>
  </w:style>
  <w:style w:type="character" w:customStyle="1" w:styleId="61">
    <w:name w:val="文档结构图 Char"/>
    <w:link w:val="5"/>
    <w:qFormat/>
    <w:uiPriority w:val="0"/>
    <w:rPr>
      <w:rFonts w:ascii="宋体"/>
      <w:kern w:val="2"/>
      <w:sz w:val="18"/>
      <w:szCs w:val="18"/>
    </w:rPr>
  </w:style>
  <w:style w:type="character" w:customStyle="1" w:styleId="62">
    <w:name w:val="正文文本 Char"/>
    <w:link w:val="7"/>
    <w:qFormat/>
    <w:uiPriority w:val="0"/>
    <w:rPr>
      <w:kern w:val="2"/>
      <w:sz w:val="21"/>
      <w:szCs w:val="24"/>
    </w:rPr>
  </w:style>
  <w:style w:type="character" w:customStyle="1" w:styleId="63">
    <w:name w:val="正文首行缩进 Char"/>
    <w:basedOn w:val="62"/>
    <w:link w:val="18"/>
    <w:qFormat/>
    <w:uiPriority w:val="0"/>
  </w:style>
  <w:style w:type="paragraph" w:customStyle="1" w:styleId="64">
    <w:name w:val="标准书眉_偶数页"/>
    <w:basedOn w:val="65"/>
    <w:next w:val="1"/>
    <w:qFormat/>
    <w:uiPriority w:val="0"/>
    <w:pPr>
      <w:tabs>
        <w:tab w:val="center" w:pos="4154"/>
        <w:tab w:val="right" w:pos="8306"/>
      </w:tabs>
      <w:jc w:val="left"/>
    </w:pPr>
    <w:rPr>
      <w:rFonts w:ascii="黑体" w:eastAsia="黑体"/>
    </w:rPr>
  </w:style>
  <w:style w:type="paragraph" w:customStyle="1" w:styleId="65">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46</Pages>
  <Words>4858</Words>
  <Characters>6176</Characters>
  <Lines>85</Lines>
  <Paragraphs>23</Paragraphs>
  <TotalTime>1</TotalTime>
  <ScaleCrop>false</ScaleCrop>
  <LinksUpToDate>false</LinksUpToDate>
  <CharactersWithSpaces>6678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2024-01-18T02:36:00Z</dcterms:created>
  <dc:creator>liuchx</dc:creator>
  <cp:lastModifiedBy>田小野</cp:lastModifiedBy>
  <cp:lastPrinted>2025-06-15T10:26:00Z</cp:lastPrinted>
  <dcterms:modified xsi:type="dcterms:W3CDTF">2025-07-18T07:21:37Z</dcterms:modified>
  <dc:title>标准</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BE2807D5AC1F4E9C97017FFB345F387B_13</vt:lpwstr>
  </property>
</Properties>
</file>