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b/>
          <w:bCs/>
          <w:szCs w:val="32"/>
        </w:rPr>
        <w:t>《刚度可控式桩筏基础设计规范》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  <w:bookmarkStart w:id="0" w:name="_GoBack"/>
      <w:bookmarkEnd w:id="0"/>
    </w:p>
    <w:p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2C201E7D"/>
    <w:rsid w:val="3093272F"/>
    <w:rsid w:val="538452A3"/>
    <w:rsid w:val="556B1177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145</Characters>
  <Lines>2</Lines>
  <Paragraphs>1</Paragraphs>
  <TotalTime>0</TotalTime>
  <ScaleCrop>false</ScaleCrop>
  <LinksUpToDate>false</LinksUpToDate>
  <CharactersWithSpaces>267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康旭</cp:lastModifiedBy>
  <dcterms:modified xsi:type="dcterms:W3CDTF">2025-02-28T03:32:50Z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14F9E30885C54C18B32BC76E96947839</vt:lpwstr>
  </property>
</Properties>
</file>