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5C9FB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shd w:val="clear" w:color="auto" w:fill="auto"/>
          </w:tcPr>
          <w:p w14:paraId="02764A7A">
            <w:pPr>
              <w:pStyle w:val="17"/>
              <w:framePr w:wrap="around"/>
              <w:rPr>
                <w:rFonts w:hint="eastAsia" w:hAnsi="黑体" w:cs="黑体"/>
                <w:highlight w:val="none"/>
              </w:rPr>
            </w:pPr>
            <w:r>
              <w:rPr>
                <w:rFonts w:hint="eastAsia" w:hAnsi="黑体" w:cs="黑体"/>
                <w:highlight w:val="none"/>
              </w:rPr>
              <mc:AlternateContent>
                <mc:Choice Requires="wps">
                  <w:drawing>
                    <wp:anchor distT="0" distB="0" distL="114300" distR="114300" simplePos="0" relativeHeight="251663360"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20"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3120;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iuL+zVAAAABwEAAA8AAAAAAAAAAQAgAAAAIgAA&#10;AGRycy9kb3ducmV2LnhtbFBLAQIUABQAAAAIAIdO4kADZR1ICwIAACEEAAAOAAAAAAAAAAEAIAAA&#10;ACQBAABkcnMvZTJvRG9jLnhtbFBLBQYAAAAABgAGAFkBAAChBQAAAAA=&#10;">
                      <v:fill on="t" focussize="0,0"/>
                      <v:stroke on="f"/>
                      <v:imagedata o:title=""/>
                      <o:lock v:ext="edit" aspectratio="f"/>
                    </v:rect>
                  </w:pict>
                </mc:Fallback>
              </mc:AlternateContent>
            </w:r>
            <w:r>
              <w:rPr>
                <w:rFonts w:hint="eastAsia" w:hAnsi="黑体" w:cs="黑体"/>
                <w:highlight w:val="none"/>
              </w:rPr>
              <w:t>备案号：XXXXX——2024</w:t>
            </w:r>
          </w:p>
        </w:tc>
      </w:tr>
    </w:tbl>
    <w:p w14:paraId="4B8BB8DC">
      <w:pPr>
        <w:snapToGrid w:val="0"/>
        <w:spacing w:line="360" w:lineRule="auto"/>
        <w:jc w:val="center"/>
        <w:rPr>
          <w:rFonts w:ascii="黑体" w:hAnsi="黑体" w:eastAsia="黑体" w:cs="黑体"/>
          <w:sz w:val="28"/>
          <w:szCs w:val="28"/>
          <w:highlight w:val="none"/>
        </w:rPr>
      </w:pPr>
    </w:p>
    <w:p w14:paraId="4495EB73">
      <w:pPr>
        <w:pStyle w:val="20"/>
        <w:framePr w:w="9744" w:h="5132" w:hRule="exact" w:wrap="around" w:x="697" w:y="6348"/>
        <w:rPr>
          <w:rFonts w:hint="eastAsia" w:hAnsi="黑体" w:cs="黑体"/>
          <w:highlight w:val="none"/>
        </w:rPr>
      </w:pPr>
      <w:bookmarkStart w:id="0" w:name="OLE_LINK47"/>
      <w:r>
        <w:rPr>
          <w:rFonts w:hint="eastAsia" w:hAnsi="黑体" w:cs="黑体"/>
          <w:highlight w:val="none"/>
        </w:rPr>
        <w:t>工业有机污染场地覆盖阻隔技术规范</w:t>
      </w:r>
    </w:p>
    <w:bookmarkEnd w:id="0"/>
    <w:p w14:paraId="10FEF57C">
      <w:pPr>
        <w:pStyle w:val="21"/>
        <w:framePr w:w="9744" w:h="5132" w:hRule="exact" w:wrap="around" w:x="697" w:y="6348"/>
        <w:rPr>
          <w:rFonts w:hint="eastAsia" w:ascii="黑体" w:hAnsi="黑体" w:cs="黑体"/>
          <w:highlight w:val="none"/>
        </w:rPr>
      </w:pPr>
      <w:r>
        <w:rPr>
          <w:rFonts w:hint="eastAsia" w:ascii="黑体" w:hAnsi="黑体" w:cs="黑体"/>
          <w:highlight w:val="none"/>
        </w:rPr>
        <w:t xml:space="preserve">Technical code for cover barriers at industrial </w:t>
      </w:r>
    </w:p>
    <w:p w14:paraId="7A34C2D2">
      <w:pPr>
        <w:pStyle w:val="21"/>
        <w:framePr w:w="9744" w:h="5132" w:hRule="exact" w:wrap="around" w:x="697" w:y="6348"/>
        <w:spacing w:before="0"/>
        <w:rPr>
          <w:rFonts w:hint="eastAsia" w:ascii="黑体" w:hAnsi="黑体" w:cs="黑体"/>
          <w:highlight w:val="none"/>
        </w:rPr>
      </w:pPr>
      <w:r>
        <w:rPr>
          <w:rFonts w:hint="eastAsia" w:ascii="黑体" w:hAnsi="黑体" w:cs="黑体"/>
          <w:highlight w:val="none"/>
        </w:rPr>
        <w:t>organic contaminated sites</w:t>
      </w:r>
    </w:p>
    <w:tbl>
      <w:tblPr>
        <w:tblStyle w:val="13"/>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14:paraId="4EA65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2" w:hRule="atLeast"/>
        </w:trPr>
        <w:tc>
          <w:tcPr>
            <w:tcW w:w="9855" w:type="dxa"/>
            <w:tcBorders>
              <w:top w:val="nil"/>
              <w:left w:val="nil"/>
              <w:bottom w:val="nil"/>
              <w:right w:val="nil"/>
            </w:tcBorders>
            <w:shd w:val="clear" w:color="auto" w:fill="auto"/>
          </w:tcPr>
          <w:p w14:paraId="5C383675">
            <w:pPr>
              <w:pStyle w:val="23"/>
              <w:framePr w:w="9744" w:h="5132" w:hRule="exact" w:wrap="around" w:x="697" w:y="6348"/>
              <w:rPr>
                <w:rFonts w:hint="eastAsia" w:ascii="黑体" w:hAnsi="黑体" w:eastAsia="黑体" w:cs="黑体"/>
                <w:highlight w:val="none"/>
              </w:rPr>
            </w:pPr>
            <w:r>
              <w:rPr>
                <w:rFonts w:hint="default" w:ascii="黑体" w:hAnsi="黑体" w:eastAsia="黑体" w:cs="黑体"/>
                <w:highlight w:val="none"/>
                <w:lang w:val="en-US"/>
              </w:rPr>
              <mc:AlternateContent>
                <mc:Choice Requires="wps">
                  <w:drawing>
                    <wp:anchor distT="0" distB="0" distL="114300" distR="114300" simplePos="0" relativeHeight="251665408"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18"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1072;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b3UlbAkCAAAh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E2bQHO3oqeJf7+PsgzOlxR9cHcY&#10;iXl3C/KnZxZWnbCtukGEoVOipmaKmJ/9UxAdT6VsO3yBmkDFLkBS6NBgHwGJOzukQRzPg1CHwCQd&#10;Flf5PM9pRpJi0/ks2vEKUT5VO/Thk4KeRaPiSINO6GJ/68OY+pSSugej6402JjnYblcG2V7QUmzS&#10;d0L3l2nGxmQLsWxEjCeJZmQ2KrSF+kgsEcbNondFRgf4m7OBtqri/tdOoOLMfLak1FUxm8U1TM5s&#10;/mFKDl5GtpcRYSVBVTxwNpqrMK7uzqFuO7qpSKQt3JC6jU7Eo/JjV6dmaXOSdKctj6t56aesvy97&#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b3UlbAkCAAAhBAAADgAAAAAAAAABACAAAAAk&#10;AQAAZHJzL2Uyb0RvYy54bWxQSwUGAAAAAAYABgBZAQAAnwUAAAAA&#10;">
                      <v:fill on="t" focussize="0,0"/>
                      <v:stroke on="f"/>
                      <v:imagedata o:title=""/>
                      <o:lock v:ext="edit" aspectratio="f"/>
                      <w10:anchorlock/>
                    </v:rect>
                  </w:pict>
                </mc:Fallback>
              </mc:AlternateContent>
            </w:r>
            <w:r>
              <w:rPr>
                <w:rFonts w:hint="default" w:ascii="黑体" w:hAnsi="黑体" w:eastAsia="黑体" w:cs="黑体"/>
                <w:highlight w:val="none"/>
                <w:lang w:val="en-US"/>
              </w:rPr>
              <mc:AlternateContent>
                <mc:Choice Requires="wps">
                  <w:drawing>
                    <wp:anchor distT="0" distB="0" distL="114300" distR="114300" simplePos="0" relativeHeight="251664384" behindDoc="1" locked="0" layoutInCell="1" allowOverlap="1">
                      <wp:simplePos x="0" y="0"/>
                      <wp:positionH relativeFrom="column">
                        <wp:posOffset>2454910</wp:posOffset>
                      </wp:positionH>
                      <wp:positionV relativeFrom="paragraph">
                        <wp:posOffset>255905</wp:posOffset>
                      </wp:positionV>
                      <wp:extent cx="1270000" cy="304800"/>
                      <wp:effectExtent l="0" t="0" r="6350" b="0"/>
                      <wp:wrapNone/>
                      <wp:docPr id="17"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2096;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GL5dYAAAAJAQAADwAAAAAAAAABACAAAAAiAAAA&#10;ZHJzL2Rvd25yZXYueG1sUEsBAhQAFAAAAAgAh07iQOSabQ4JAgAAIQQAAA4AAAAAAAAAAQAgAAAA&#10;JQEAAGRycy9lMm9Eb2MueG1sUEsFBgAAAAAGAAYAWQEAAKAFAAAAAA==&#10;">
                      <v:fill on="t" focussize="0,0"/>
                      <v:stroke on="f"/>
                      <v:imagedata o:title=""/>
                      <o:lock v:ext="edit" aspectratio="f"/>
                    </v:rect>
                  </w:pict>
                </mc:Fallback>
              </mc:AlternateContent>
            </w:r>
            <w:r>
              <w:rPr>
                <w:rFonts w:hint="eastAsia" w:ascii="黑体" w:hAnsi="黑体" w:eastAsia="黑体" w:cs="黑体"/>
                <w:highlight w:val="none"/>
                <w:lang w:val="en-US" w:eastAsia="zh-CN"/>
              </w:rPr>
              <w:t>征求意见</w:t>
            </w:r>
            <w:r>
              <w:rPr>
                <w:rFonts w:hint="eastAsia" w:ascii="黑体" w:hAnsi="黑体" w:eastAsia="黑体" w:cs="黑体"/>
                <w:highlight w:val="none"/>
              </w:rPr>
              <w:t>稿</w:t>
            </w:r>
          </w:p>
        </w:tc>
      </w:tr>
    </w:tbl>
    <w:p w14:paraId="1845712C">
      <w:pPr>
        <w:pStyle w:val="18"/>
        <w:framePr w:w="4490" w:wrap="around" w:x="3485" w:y="2451"/>
        <w:rPr>
          <w:rFonts w:hint="eastAsia" w:hAnsi="黑体" w:cs="黑体"/>
          <w:sz w:val="28"/>
          <w:szCs w:val="32"/>
          <w:highlight w:val="none"/>
        </w:rPr>
      </w:pPr>
      <w:r>
        <w:rPr>
          <w:rFonts w:hint="eastAsia" w:hAnsi="黑体" w:cs="黑体"/>
          <w:sz w:val="28"/>
          <w:szCs w:val="32"/>
          <w:highlight w:val="none"/>
        </w:rPr>
        <w:t>中华人民共和国化工行业标准</w:t>
      </w:r>
    </w:p>
    <w:p w14:paraId="1AF687AB">
      <w:pPr>
        <w:snapToGrid w:val="0"/>
        <w:spacing w:line="360" w:lineRule="auto"/>
        <w:jc w:val="center"/>
        <w:rPr>
          <w:rFonts w:ascii="黑体" w:hAnsi="黑体" w:eastAsia="黑体" w:cs="黑体"/>
          <w:sz w:val="28"/>
          <w:szCs w:val="28"/>
          <w:highlight w:val="none"/>
        </w:rPr>
      </w:pPr>
    </w:p>
    <w:p w14:paraId="7986CE3F">
      <w:pPr>
        <w:pStyle w:val="33"/>
        <w:framePr w:w="8075" w:h="567" w:hRule="exact" w:wrap="around" w:x="1791" w:y="3465"/>
        <w:spacing w:before="0"/>
        <w:rPr>
          <w:rFonts w:hint="eastAsia" w:hAnsi="黑体" w:cs="黑体"/>
          <w:highlight w:val="none"/>
        </w:rPr>
      </w:pPr>
      <w:r>
        <w:rPr>
          <w:rFonts w:hint="eastAsia" w:ascii="黑体" w:hAnsi="黑体" w:cs="黑体"/>
          <w:highlight w:val="none"/>
        </w:rPr>
        <w:t xml:space="preserve">HG/T </w:t>
      </w:r>
      <w:r>
        <w:rPr>
          <w:rFonts w:hint="eastAsia" w:hAnsi="黑体" w:cs="黑体"/>
          <w:highlight w:val="none"/>
        </w:rPr>
        <w:t>XXXXX—</w:t>
      </w:r>
      <w:bookmarkStart w:id="1" w:name="StdNo2"/>
      <w:r>
        <w:rPr>
          <w:rFonts w:hint="eastAsia" w:hAnsi="黑体" w:cs="黑体"/>
          <w:highlight w:val="none"/>
        </w:rPr>
        <w:fldChar w:fldCharType="begin">
          <w:ffData>
            <w:name w:val="StdNo2"/>
            <w:enabled/>
            <w:calcOnExit w:val="0"/>
            <w:textInput>
              <w:default w:val="XXXX"/>
              <w:maxLength w:val="4"/>
            </w:textInput>
          </w:ffData>
        </w:fldChar>
      </w:r>
      <w:r>
        <w:rPr>
          <w:rFonts w:hint="eastAsia" w:hAnsi="黑体" w:cs="黑体"/>
          <w:highlight w:val="none"/>
        </w:rPr>
        <w:instrText xml:space="preserve"> FORMTEXT </w:instrText>
      </w:r>
      <w:r>
        <w:rPr>
          <w:rFonts w:hint="eastAsia" w:hAnsi="黑体" w:cs="黑体"/>
          <w:highlight w:val="none"/>
        </w:rPr>
        <w:fldChar w:fldCharType="separate"/>
      </w:r>
      <w:r>
        <w:rPr>
          <w:rFonts w:hint="eastAsia" w:hAnsi="黑体" w:cs="黑体"/>
          <w:highlight w:val="none"/>
        </w:rPr>
        <w:t>XXXX</w:t>
      </w:r>
      <w:r>
        <w:rPr>
          <w:rFonts w:hint="eastAsia" w:hAnsi="黑体" w:cs="黑体"/>
          <w:highlight w:val="none"/>
        </w:rPr>
        <w:fldChar w:fldCharType="end"/>
      </w:r>
      <w:bookmarkEnd w:id="1"/>
    </w:p>
    <w:p w14:paraId="654E37DC">
      <w:pPr>
        <w:pStyle w:val="19"/>
        <w:framePr w:w="1856" w:wrap="around" w:vAnchor="page" w:hAnchor="page" w:x="8287" w:y="1523"/>
        <w:rPr>
          <w:rFonts w:hint="eastAsia" w:ascii="黑体" w:hAnsi="黑体" w:eastAsia="黑体" w:cs="黑体"/>
          <w:highlight w:val="none"/>
        </w:rPr>
      </w:pPr>
      <w:r>
        <w:rPr>
          <w:rFonts w:hint="eastAsia" w:ascii="黑体" w:hAnsi="黑体" w:eastAsia="黑体" w:cs="黑体"/>
          <w:sz w:val="28"/>
          <w:szCs w:val="28"/>
          <w:highlight w:val="none"/>
          <w:u w:val="single"/>
        </w:rPr>
        <w:t xml:space="preserve">                                                       </w:t>
      </w:r>
      <w:r>
        <w:rPr>
          <w:rFonts w:hint="eastAsia" w:ascii="黑体" w:hAnsi="黑体" w:eastAsia="黑体" w:cs="黑体"/>
          <w:highlight w:val="none"/>
        </w:rPr>
        <w:t>HG</w:t>
      </w:r>
    </w:p>
    <w:p w14:paraId="60A3A645">
      <w:pPr>
        <w:snapToGrid w:val="0"/>
        <w:spacing w:line="360" w:lineRule="auto"/>
        <w:jc w:val="left"/>
        <w:rPr>
          <w:rFonts w:ascii="黑体" w:hAnsi="黑体" w:eastAsia="黑体" w:cs="黑体"/>
          <w:sz w:val="28"/>
          <w:szCs w:val="28"/>
          <w:highlight w:val="none"/>
          <w:u w:val="single"/>
        </w:rPr>
      </w:pPr>
      <w:r>
        <w:rPr>
          <w:rFonts w:hint="eastAsia" w:ascii="黑体" w:hAnsi="黑体" w:eastAsia="黑体" w:cs="黑体"/>
          <w:sz w:val="28"/>
          <w:szCs w:val="28"/>
          <w:highlight w:val="none"/>
          <w:u w:val="single"/>
        </w:rPr>
        <w:t xml:space="preserve">                                                           </w:t>
      </w:r>
    </w:p>
    <w:p w14:paraId="2D917859">
      <w:pPr>
        <w:snapToGrid w:val="0"/>
        <w:spacing w:line="360" w:lineRule="auto"/>
        <w:jc w:val="center"/>
        <w:rPr>
          <w:rFonts w:ascii="黑体" w:hAnsi="黑体" w:eastAsia="黑体" w:cs="黑体"/>
          <w:sz w:val="28"/>
          <w:szCs w:val="28"/>
          <w:highlight w:val="none"/>
        </w:rPr>
      </w:pPr>
    </w:p>
    <w:p w14:paraId="257FAC6A">
      <w:pPr>
        <w:snapToGrid w:val="0"/>
        <w:spacing w:line="360" w:lineRule="auto"/>
        <w:jc w:val="center"/>
        <w:rPr>
          <w:rFonts w:ascii="黑体" w:hAnsi="黑体" w:eastAsia="黑体" w:cs="黑体"/>
          <w:sz w:val="28"/>
          <w:szCs w:val="28"/>
          <w:highlight w:val="none"/>
        </w:rPr>
      </w:pPr>
    </w:p>
    <w:p w14:paraId="76DE2B15">
      <w:pPr>
        <w:snapToGrid w:val="0"/>
        <w:spacing w:line="360" w:lineRule="auto"/>
        <w:jc w:val="center"/>
        <w:rPr>
          <w:rFonts w:ascii="黑体" w:hAnsi="黑体" w:eastAsia="黑体" w:cs="黑体"/>
          <w:sz w:val="28"/>
          <w:szCs w:val="28"/>
          <w:highlight w:val="none"/>
        </w:rPr>
      </w:pPr>
    </w:p>
    <w:p w14:paraId="0735272E">
      <w:pPr>
        <w:snapToGrid w:val="0"/>
        <w:spacing w:line="360" w:lineRule="auto"/>
        <w:jc w:val="center"/>
        <w:rPr>
          <w:rFonts w:ascii="黑体" w:hAnsi="黑体" w:eastAsia="黑体" w:cs="黑体"/>
          <w:sz w:val="28"/>
          <w:szCs w:val="28"/>
          <w:highlight w:val="none"/>
        </w:rPr>
      </w:pPr>
    </w:p>
    <w:p w14:paraId="3DEE0AFF">
      <w:pPr>
        <w:snapToGrid w:val="0"/>
        <w:spacing w:line="360" w:lineRule="auto"/>
        <w:jc w:val="center"/>
        <w:rPr>
          <w:rFonts w:ascii="黑体" w:hAnsi="黑体" w:eastAsia="黑体" w:cs="黑体"/>
          <w:sz w:val="28"/>
          <w:szCs w:val="28"/>
          <w:highlight w:val="none"/>
        </w:rPr>
      </w:pPr>
    </w:p>
    <w:p w14:paraId="765E7945">
      <w:pPr>
        <w:snapToGrid w:val="0"/>
        <w:spacing w:line="360" w:lineRule="auto"/>
        <w:jc w:val="center"/>
        <w:rPr>
          <w:rFonts w:ascii="黑体" w:hAnsi="黑体" w:eastAsia="黑体" w:cs="黑体"/>
          <w:sz w:val="28"/>
          <w:szCs w:val="28"/>
          <w:highlight w:val="none"/>
        </w:rPr>
      </w:pPr>
    </w:p>
    <w:p w14:paraId="4EDE804F">
      <w:pPr>
        <w:pStyle w:val="29"/>
        <w:framePr w:wrap="around" w:hAnchor="page" w:x="1833" w:y="12947"/>
        <w:rPr>
          <w:rFonts w:hint="eastAsia" w:ascii="黑体" w:hAnsi="黑体" w:cs="黑体"/>
          <w:highlight w:val="none"/>
        </w:rPr>
      </w:pPr>
      <w:bookmarkStart w:id="2" w:name="FY"/>
      <w:r>
        <w:rPr>
          <w:rFonts w:hint="eastAsia" w:ascii="黑体" w:hAnsi="黑体" w:cs="黑体"/>
          <w:highlight w:val="none"/>
        </w:rPr>
        <w:fldChar w:fldCharType="begin">
          <w:ffData>
            <w:name w:val="FY"/>
            <w:enabled/>
            <w:calcOnExit w:val="0"/>
            <w:textInput>
              <w:default w:val="XXXX"/>
              <w:maxLength w:val="4"/>
            </w:textInput>
          </w:ffData>
        </w:fldChar>
      </w:r>
      <w:r>
        <w:rPr>
          <w:rFonts w:hint="eastAsia" w:ascii="黑体" w:hAnsi="黑体" w:cs="黑体"/>
          <w:highlight w:val="none"/>
        </w:rPr>
        <w:instrText xml:space="preserve"> FORMTEXT </w:instrText>
      </w:r>
      <w:r>
        <w:rPr>
          <w:rFonts w:hint="eastAsia" w:ascii="黑体" w:hAnsi="黑体" w:cs="黑体"/>
          <w:highlight w:val="none"/>
        </w:rPr>
        <w:fldChar w:fldCharType="separate"/>
      </w:r>
      <w:r>
        <w:rPr>
          <w:rFonts w:hint="eastAsia" w:ascii="黑体" w:hAnsi="黑体" w:cs="黑体"/>
          <w:highlight w:val="none"/>
        </w:rPr>
        <w:t>XXXX</w:t>
      </w:r>
      <w:r>
        <w:rPr>
          <w:rFonts w:hint="eastAsia" w:ascii="黑体" w:hAnsi="黑体" w:cs="黑体"/>
          <w:highlight w:val="none"/>
        </w:rPr>
        <w:fldChar w:fldCharType="end"/>
      </w:r>
      <w:bookmarkEnd w:id="2"/>
      <w:r>
        <w:rPr>
          <w:rFonts w:hint="eastAsia" w:ascii="黑体" w:hAnsi="黑体" w:cs="黑体"/>
          <w:highlight w:val="none"/>
        </w:rPr>
        <w:t xml:space="preserve"> - </w:t>
      </w:r>
      <w:r>
        <w:rPr>
          <w:rFonts w:hint="eastAsia" w:ascii="黑体" w:hAnsi="黑体" w:cs="黑体"/>
          <w:highlight w:val="none"/>
        </w:rPr>
        <w:fldChar w:fldCharType="begin">
          <w:ffData>
            <w:name w:val="FM"/>
            <w:enabled/>
            <w:calcOnExit w:val="0"/>
            <w:textInput>
              <w:default w:val="XX"/>
              <w:maxLength w:val="2"/>
            </w:textInput>
          </w:ffData>
        </w:fldChar>
      </w:r>
      <w:r>
        <w:rPr>
          <w:rFonts w:hint="eastAsia" w:ascii="黑体" w:hAnsi="黑体" w:cs="黑体"/>
          <w:highlight w:val="none"/>
        </w:rPr>
        <w:instrText xml:space="preserve"> FORMTEXT </w:instrText>
      </w:r>
      <w:r>
        <w:rPr>
          <w:rFonts w:hint="eastAsia" w:ascii="黑体" w:hAnsi="黑体" w:cs="黑体"/>
          <w:highlight w:val="none"/>
        </w:rPr>
        <w:fldChar w:fldCharType="separate"/>
      </w:r>
      <w:r>
        <w:rPr>
          <w:rFonts w:hint="eastAsia" w:ascii="黑体" w:hAnsi="黑体" w:cs="黑体"/>
          <w:highlight w:val="none"/>
        </w:rPr>
        <w:t>XX</w:t>
      </w:r>
      <w:r>
        <w:rPr>
          <w:rFonts w:hint="eastAsia" w:ascii="黑体" w:hAnsi="黑体" w:cs="黑体"/>
          <w:highlight w:val="none"/>
        </w:rPr>
        <w:fldChar w:fldCharType="end"/>
      </w:r>
      <w:r>
        <w:rPr>
          <w:rFonts w:hint="eastAsia" w:ascii="黑体" w:hAnsi="黑体" w:cs="黑体"/>
          <w:highlight w:val="none"/>
        </w:rPr>
        <w:t xml:space="preserve"> - </w:t>
      </w:r>
      <w:bookmarkStart w:id="3" w:name="FD"/>
      <w:r>
        <w:rPr>
          <w:rFonts w:hint="eastAsia" w:ascii="黑体" w:hAnsi="黑体" w:cs="黑体"/>
          <w:highlight w:val="none"/>
        </w:rPr>
        <w:fldChar w:fldCharType="begin">
          <w:ffData>
            <w:name w:val="FD"/>
            <w:enabled/>
            <w:calcOnExit w:val="0"/>
            <w:textInput>
              <w:default w:val="XX"/>
              <w:maxLength w:val="2"/>
            </w:textInput>
          </w:ffData>
        </w:fldChar>
      </w:r>
      <w:r>
        <w:rPr>
          <w:rFonts w:hint="eastAsia" w:ascii="黑体" w:hAnsi="黑体" w:cs="黑体"/>
          <w:highlight w:val="none"/>
        </w:rPr>
        <w:instrText xml:space="preserve"> FORMTEXT </w:instrText>
      </w:r>
      <w:r>
        <w:rPr>
          <w:rFonts w:hint="eastAsia" w:ascii="黑体" w:hAnsi="黑体" w:cs="黑体"/>
          <w:highlight w:val="none"/>
        </w:rPr>
        <w:fldChar w:fldCharType="separate"/>
      </w:r>
      <w:r>
        <w:rPr>
          <w:rFonts w:hint="eastAsia" w:ascii="黑体" w:hAnsi="黑体" w:cs="黑体"/>
          <w:highlight w:val="none"/>
        </w:rPr>
        <w:t>XX</w:t>
      </w:r>
      <w:r>
        <w:rPr>
          <w:rFonts w:hint="eastAsia" w:ascii="黑体" w:hAnsi="黑体" w:cs="黑体"/>
          <w:highlight w:val="none"/>
        </w:rPr>
        <w:fldChar w:fldCharType="end"/>
      </w:r>
      <w:bookmarkEnd w:id="3"/>
      <w:r>
        <w:rPr>
          <w:rFonts w:hint="eastAsia" w:ascii="黑体" w:hAnsi="黑体" w:cs="黑体"/>
          <w:highlight w:val="none"/>
        </w:rPr>
        <w:t>发布</w:t>
      </w:r>
    </w:p>
    <w:p w14:paraId="3C3F2C17">
      <w:pPr>
        <w:pStyle w:val="31"/>
        <w:framePr w:wrap="around" w:hAnchor="page" w:x="6057" w:y="12977"/>
        <w:ind w:right="420"/>
        <w:rPr>
          <w:rFonts w:hint="eastAsia" w:ascii="黑体" w:hAnsi="黑体" w:cs="黑体"/>
          <w:highlight w:val="none"/>
        </w:rPr>
      </w:pPr>
      <w:bookmarkStart w:id="4" w:name="SY"/>
      <w:r>
        <w:rPr>
          <w:rFonts w:hint="eastAsia" w:ascii="黑体" w:hAnsi="黑体" w:cs="黑体"/>
          <w:highlight w:val="none"/>
        </w:rPr>
        <w:fldChar w:fldCharType="begin">
          <w:ffData>
            <w:name w:val="SY"/>
            <w:enabled/>
            <w:calcOnExit w:val="0"/>
            <w:textInput>
              <w:default w:val="XXXX"/>
              <w:maxLength w:val="4"/>
            </w:textInput>
          </w:ffData>
        </w:fldChar>
      </w:r>
      <w:r>
        <w:rPr>
          <w:rFonts w:hint="eastAsia" w:ascii="黑体" w:hAnsi="黑体" w:cs="黑体"/>
          <w:highlight w:val="none"/>
        </w:rPr>
        <w:instrText xml:space="preserve">FORMTEXT</w:instrText>
      </w:r>
      <w:r>
        <w:rPr>
          <w:rFonts w:hint="eastAsia" w:ascii="黑体" w:hAnsi="黑体" w:cs="黑体"/>
          <w:highlight w:val="none"/>
        </w:rPr>
        <w:fldChar w:fldCharType="separate"/>
      </w:r>
      <w:r>
        <w:rPr>
          <w:rFonts w:hint="eastAsia" w:ascii="黑体" w:hAnsi="黑体" w:cs="黑体"/>
          <w:highlight w:val="none"/>
        </w:rPr>
        <w:t>XXXX</w:t>
      </w:r>
      <w:r>
        <w:rPr>
          <w:rFonts w:hint="eastAsia" w:ascii="黑体" w:hAnsi="黑体" w:cs="黑体"/>
          <w:highlight w:val="none"/>
        </w:rPr>
        <w:fldChar w:fldCharType="end"/>
      </w:r>
      <w:bookmarkEnd w:id="4"/>
      <w:r>
        <w:rPr>
          <w:rFonts w:hint="eastAsia" w:ascii="黑体" w:hAnsi="黑体" w:cs="黑体"/>
          <w:highlight w:val="none"/>
        </w:rPr>
        <w:t xml:space="preserve"> - </w:t>
      </w:r>
      <w:bookmarkStart w:id="5" w:name="SM"/>
      <w:r>
        <w:rPr>
          <w:rFonts w:hint="eastAsia" w:ascii="黑体" w:hAnsi="黑体" w:cs="黑体"/>
          <w:highlight w:val="none"/>
        </w:rPr>
        <w:fldChar w:fldCharType="begin">
          <w:ffData>
            <w:name w:val="SM"/>
            <w:enabled/>
            <w:calcOnExit w:val="0"/>
            <w:textInput>
              <w:default w:val="XX"/>
              <w:maxLength w:val="2"/>
            </w:textInput>
          </w:ffData>
        </w:fldChar>
      </w:r>
      <w:r>
        <w:rPr>
          <w:rFonts w:hint="eastAsia" w:ascii="黑体" w:hAnsi="黑体" w:cs="黑体"/>
          <w:highlight w:val="none"/>
        </w:rPr>
        <w:instrText xml:space="preserve"> FORMTEXT </w:instrText>
      </w:r>
      <w:r>
        <w:rPr>
          <w:rFonts w:hint="eastAsia" w:ascii="黑体" w:hAnsi="黑体" w:cs="黑体"/>
          <w:highlight w:val="none"/>
        </w:rPr>
        <w:fldChar w:fldCharType="separate"/>
      </w:r>
      <w:r>
        <w:rPr>
          <w:rFonts w:hint="eastAsia" w:ascii="黑体" w:hAnsi="黑体" w:cs="黑体"/>
          <w:highlight w:val="none"/>
        </w:rPr>
        <w:t>XX</w:t>
      </w:r>
      <w:r>
        <w:rPr>
          <w:rFonts w:hint="eastAsia" w:ascii="黑体" w:hAnsi="黑体" w:cs="黑体"/>
          <w:highlight w:val="none"/>
        </w:rPr>
        <w:fldChar w:fldCharType="end"/>
      </w:r>
      <w:bookmarkEnd w:id="5"/>
      <w:r>
        <w:rPr>
          <w:rFonts w:hint="eastAsia" w:ascii="黑体" w:hAnsi="黑体" w:cs="黑体"/>
          <w:highlight w:val="none"/>
        </w:rPr>
        <w:t xml:space="preserve"> - </w:t>
      </w:r>
      <w:bookmarkStart w:id="6" w:name="SD"/>
      <w:r>
        <w:rPr>
          <w:rFonts w:hint="eastAsia" w:ascii="黑体" w:hAnsi="黑体" w:cs="黑体"/>
          <w:highlight w:val="none"/>
        </w:rPr>
        <w:fldChar w:fldCharType="begin">
          <w:ffData>
            <w:name w:val="SD"/>
            <w:enabled/>
            <w:calcOnExit w:val="0"/>
            <w:textInput>
              <w:default w:val="XX"/>
              <w:maxLength w:val="2"/>
            </w:textInput>
          </w:ffData>
        </w:fldChar>
      </w:r>
      <w:r>
        <w:rPr>
          <w:rFonts w:hint="eastAsia" w:ascii="黑体" w:hAnsi="黑体" w:cs="黑体"/>
          <w:highlight w:val="none"/>
        </w:rPr>
        <w:instrText xml:space="preserve"> FORMTEXT </w:instrText>
      </w:r>
      <w:r>
        <w:rPr>
          <w:rFonts w:hint="eastAsia" w:ascii="黑体" w:hAnsi="黑体" w:cs="黑体"/>
          <w:highlight w:val="none"/>
        </w:rPr>
        <w:fldChar w:fldCharType="separate"/>
      </w:r>
      <w:r>
        <w:rPr>
          <w:rFonts w:hint="eastAsia" w:ascii="黑体" w:hAnsi="黑体" w:cs="黑体"/>
          <w:highlight w:val="none"/>
        </w:rPr>
        <w:t>XX</w:t>
      </w:r>
      <w:r>
        <w:rPr>
          <w:rFonts w:hint="eastAsia" w:ascii="黑体" w:hAnsi="黑体" w:cs="黑体"/>
          <w:highlight w:val="none"/>
        </w:rPr>
        <w:fldChar w:fldCharType="end"/>
      </w:r>
      <w:bookmarkEnd w:id="6"/>
      <w:r>
        <w:rPr>
          <w:rFonts w:hint="eastAsia" w:ascii="黑体" w:hAnsi="黑体" w:cs="黑体"/>
          <w:highlight w:val="none"/>
        </w:rPr>
        <w:t>实施</w:t>
      </w:r>
    </w:p>
    <w:p w14:paraId="72673B39">
      <w:pPr>
        <w:snapToGrid w:val="0"/>
        <w:spacing w:line="360" w:lineRule="auto"/>
        <w:jc w:val="left"/>
        <w:rPr>
          <w:rFonts w:ascii="黑体" w:hAnsi="黑体" w:eastAsia="黑体" w:cs="黑体"/>
          <w:sz w:val="28"/>
          <w:szCs w:val="28"/>
          <w:highlight w:val="none"/>
          <w:u w:val="single"/>
        </w:rPr>
      </w:pPr>
      <w:r>
        <w:rPr>
          <w:rFonts w:hint="eastAsia" w:ascii="黑体" w:hAnsi="黑体" w:eastAsia="黑体" w:cs="黑体"/>
          <w:sz w:val="28"/>
          <w:szCs w:val="28"/>
          <w:highlight w:val="none"/>
          <w:u w:val="single"/>
        </w:rPr>
        <w:t xml:space="preserve">                                                            </w:t>
      </w:r>
    </w:p>
    <w:p w14:paraId="112FAE9D">
      <w:pPr>
        <w:pStyle w:val="25"/>
        <w:framePr w:w="8178" w:wrap="around" w:x="1863"/>
        <w:rPr>
          <w:rFonts w:hint="eastAsia" w:hAnsi="黑体" w:cs="黑体"/>
          <w:highlight w:val="none"/>
        </w:rPr>
      </w:pPr>
      <w:r>
        <w:rPr>
          <w:rFonts w:hint="eastAsia" w:hAnsi="黑体" w:cs="黑体"/>
          <w:highlight w:val="none"/>
        </w:rPr>
        <w:t>中华人民共和国工业和信息化部</w:t>
      </w:r>
      <w:r>
        <w:rPr>
          <w:rFonts w:hint="eastAsia" w:ascii="黑体" w:hAnsi="黑体" w:eastAsia="黑体" w:cs="黑体"/>
          <w:highlight w:val="none"/>
        </w:rPr>
        <w:t xml:space="preserve">   </w:t>
      </w:r>
      <w:r>
        <w:rPr>
          <w:rStyle w:val="28"/>
          <w:rFonts w:hint="eastAsia" w:hAnsi="黑体" w:cs="黑体"/>
          <w:highlight w:val="none"/>
        </w:rPr>
        <w:t>发布</w:t>
      </w:r>
    </w:p>
    <w:p w14:paraId="15393361">
      <w:pPr>
        <w:snapToGrid/>
        <w:spacing w:line="240" w:lineRule="auto"/>
        <w:jc w:val="left"/>
        <w:rPr>
          <w:rFonts w:ascii="黑体" w:hAnsi="黑体" w:eastAsia="黑体" w:cs="黑体"/>
          <w:sz w:val="28"/>
          <w:szCs w:val="28"/>
          <w:highlight w:val="none"/>
        </w:rPr>
      </w:pPr>
      <w:r>
        <w:rPr>
          <w:rFonts w:ascii="黑体" w:hAnsi="黑体" w:eastAsia="黑体" w:cs="黑体"/>
          <w:sz w:val="28"/>
          <w:szCs w:val="28"/>
          <w:highlight w:val="none"/>
        </w:rPr>
        <w:br w:type="page"/>
      </w:r>
    </w:p>
    <w:p w14:paraId="1023EE3A">
      <w:pPr>
        <w:keepNext/>
        <w:keepLines/>
        <w:adjustRightInd w:val="0"/>
        <w:snapToGrid w:val="0"/>
        <w:spacing w:before="156" w:beforeLines="50" w:line="360" w:lineRule="auto"/>
        <w:jc w:val="center"/>
        <w:rPr>
          <w:sz w:val="30"/>
          <w:szCs w:val="30"/>
          <w:highlight w:val="none"/>
        </w:rPr>
      </w:pPr>
    </w:p>
    <w:p w14:paraId="4D76D839">
      <w:pPr>
        <w:keepNext/>
        <w:keepLines/>
        <w:adjustRightInd w:val="0"/>
        <w:snapToGrid w:val="0"/>
        <w:spacing w:before="156" w:beforeLines="50" w:line="360" w:lineRule="auto"/>
        <w:jc w:val="center"/>
        <w:rPr>
          <w:sz w:val="30"/>
          <w:szCs w:val="30"/>
          <w:highlight w:val="none"/>
        </w:rPr>
      </w:pPr>
    </w:p>
    <w:p w14:paraId="6351E28A">
      <w:pPr>
        <w:keepNext/>
        <w:keepLines/>
        <w:adjustRightInd w:val="0"/>
        <w:snapToGrid w:val="0"/>
        <w:spacing w:before="156" w:beforeLines="50" w:line="360" w:lineRule="auto"/>
        <w:jc w:val="center"/>
        <w:rPr>
          <w:b/>
          <w:sz w:val="36"/>
          <w:szCs w:val="36"/>
          <w:highlight w:val="none"/>
        </w:rPr>
      </w:pPr>
      <w:r>
        <w:rPr>
          <w:b/>
          <w:sz w:val="36"/>
          <w:szCs w:val="36"/>
          <w:highlight w:val="none"/>
        </w:rPr>
        <w:t>中华人民共和国化工行业标准</w:t>
      </w:r>
    </w:p>
    <w:p w14:paraId="476B45D5">
      <w:pPr>
        <w:keepNext/>
        <w:keepLines/>
        <w:adjustRightInd w:val="0"/>
        <w:snapToGrid w:val="0"/>
        <w:spacing w:before="156" w:beforeLines="50" w:line="360" w:lineRule="auto"/>
        <w:jc w:val="center"/>
        <w:rPr>
          <w:rFonts w:hint="eastAsia" w:ascii="Cambria" w:hAnsi="Cambria"/>
          <w:b/>
          <w:bCs/>
          <w:sz w:val="48"/>
          <w:szCs w:val="48"/>
          <w:highlight w:val="none"/>
        </w:rPr>
      </w:pPr>
    </w:p>
    <w:p w14:paraId="576CAE2F">
      <w:pPr>
        <w:keepNext/>
        <w:keepLines/>
        <w:adjustRightInd w:val="0"/>
        <w:snapToGrid w:val="0"/>
        <w:spacing w:before="156" w:beforeLines="50" w:line="360" w:lineRule="auto"/>
        <w:jc w:val="center"/>
        <w:rPr>
          <w:rFonts w:ascii="Cambria" w:hAnsi="Cambria"/>
          <w:b/>
          <w:bCs/>
          <w:sz w:val="48"/>
          <w:szCs w:val="48"/>
          <w:highlight w:val="none"/>
        </w:rPr>
      </w:pPr>
      <w:r>
        <w:rPr>
          <w:rFonts w:hint="eastAsia" w:ascii="Cambria" w:hAnsi="Cambria"/>
          <w:b/>
          <w:bCs/>
          <w:sz w:val="48"/>
          <w:szCs w:val="48"/>
          <w:highlight w:val="none"/>
        </w:rPr>
        <w:t>工业有机污染场地覆盖阻隔技术规范</w:t>
      </w:r>
    </w:p>
    <w:p w14:paraId="7F632A0C">
      <w:pPr>
        <w:keepNext/>
        <w:keepLines/>
        <w:adjustRightInd w:val="0"/>
        <w:snapToGrid w:val="0"/>
        <w:spacing w:before="156" w:beforeLines="50" w:line="360" w:lineRule="auto"/>
        <w:jc w:val="center"/>
        <w:rPr>
          <w:rFonts w:hint="eastAsia"/>
          <w:sz w:val="30"/>
          <w:szCs w:val="30"/>
          <w:highlight w:val="none"/>
        </w:rPr>
      </w:pPr>
      <w:r>
        <w:rPr>
          <w:rFonts w:hint="eastAsia"/>
          <w:sz w:val="30"/>
          <w:szCs w:val="30"/>
          <w:highlight w:val="none"/>
        </w:rPr>
        <w:t xml:space="preserve">Technical code for cover barriers at industrial </w:t>
      </w:r>
    </w:p>
    <w:p w14:paraId="06DA1BF7">
      <w:pPr>
        <w:keepNext/>
        <w:keepLines/>
        <w:adjustRightInd w:val="0"/>
        <w:snapToGrid w:val="0"/>
        <w:spacing w:before="156" w:beforeLines="50" w:line="360" w:lineRule="auto"/>
        <w:jc w:val="center"/>
        <w:rPr>
          <w:rFonts w:hint="eastAsia"/>
          <w:sz w:val="30"/>
          <w:szCs w:val="30"/>
          <w:highlight w:val="none"/>
        </w:rPr>
      </w:pPr>
      <w:r>
        <w:rPr>
          <w:rFonts w:hint="eastAsia"/>
          <w:sz w:val="30"/>
          <w:szCs w:val="30"/>
          <w:highlight w:val="none"/>
        </w:rPr>
        <w:t>organic contaminated sites</w:t>
      </w:r>
    </w:p>
    <w:p w14:paraId="1A50FA8F">
      <w:pPr>
        <w:keepNext/>
        <w:keepLines/>
        <w:adjustRightInd w:val="0"/>
        <w:snapToGrid w:val="0"/>
        <w:spacing w:before="156" w:beforeLines="50" w:line="360" w:lineRule="auto"/>
        <w:jc w:val="center"/>
        <w:rPr>
          <w:sz w:val="30"/>
          <w:szCs w:val="30"/>
          <w:highlight w:val="none"/>
        </w:rPr>
      </w:pPr>
    </w:p>
    <w:p w14:paraId="2FA8FE84">
      <w:pPr>
        <w:keepNext/>
        <w:keepLines/>
        <w:adjustRightInd w:val="0"/>
        <w:snapToGrid w:val="0"/>
        <w:spacing w:before="156" w:beforeLines="50" w:line="360" w:lineRule="auto"/>
        <w:jc w:val="center"/>
        <w:rPr>
          <w:sz w:val="30"/>
          <w:szCs w:val="30"/>
          <w:highlight w:val="none"/>
        </w:rPr>
      </w:pPr>
      <w:r>
        <w:rPr>
          <w:sz w:val="30"/>
          <w:szCs w:val="30"/>
          <w:highlight w:val="none"/>
        </w:rPr>
        <w:t xml:space="preserve">HG/T </w:t>
      </w:r>
      <w:r>
        <w:rPr>
          <w:rFonts w:hint="eastAsia"/>
          <w:sz w:val="30"/>
          <w:szCs w:val="30"/>
          <w:highlight w:val="none"/>
          <w:lang w:val="en-US" w:eastAsia="zh-CN"/>
        </w:rPr>
        <w:t>XXXXX</w:t>
      </w:r>
      <w:r>
        <w:rPr>
          <w:sz w:val="30"/>
          <w:szCs w:val="30"/>
          <w:highlight w:val="none"/>
        </w:rPr>
        <w:t>-</w:t>
      </w:r>
      <w:r>
        <w:rPr>
          <w:rFonts w:hint="eastAsia"/>
          <w:sz w:val="30"/>
          <w:szCs w:val="30"/>
          <w:highlight w:val="none"/>
          <w:lang w:val="en-US" w:eastAsia="zh-CN"/>
        </w:rPr>
        <w:t>XXX</w:t>
      </w:r>
      <w:r>
        <w:rPr>
          <w:sz w:val="30"/>
          <w:szCs w:val="30"/>
          <w:highlight w:val="none"/>
        </w:rPr>
        <w:t>X</w:t>
      </w:r>
    </w:p>
    <w:p w14:paraId="0138DB22">
      <w:pPr>
        <w:keepNext/>
        <w:keepLines/>
        <w:adjustRightInd w:val="0"/>
        <w:snapToGrid w:val="0"/>
        <w:spacing w:before="156" w:beforeLines="50" w:line="360" w:lineRule="auto"/>
        <w:jc w:val="center"/>
        <w:rPr>
          <w:sz w:val="30"/>
          <w:szCs w:val="30"/>
          <w:highlight w:val="none"/>
        </w:rPr>
      </w:pPr>
      <w:r>
        <w:rPr>
          <w:sz w:val="30"/>
          <w:szCs w:val="30"/>
          <w:highlight w:val="none"/>
        </w:rPr>
        <w:t>(</w:t>
      </w:r>
      <w:r>
        <w:rPr>
          <w:rFonts w:hint="eastAsia"/>
          <w:sz w:val="30"/>
          <w:szCs w:val="30"/>
          <w:highlight w:val="none"/>
          <w:lang w:val="en-US" w:eastAsia="zh-CN"/>
        </w:rPr>
        <w:t>征求意见</w:t>
      </w:r>
      <w:r>
        <w:rPr>
          <w:rFonts w:hint="eastAsia"/>
          <w:sz w:val="30"/>
          <w:szCs w:val="30"/>
          <w:highlight w:val="none"/>
        </w:rPr>
        <w:t>稿</w:t>
      </w:r>
      <w:r>
        <w:rPr>
          <w:sz w:val="30"/>
          <w:szCs w:val="30"/>
          <w:highlight w:val="none"/>
        </w:rPr>
        <w:t>)</w:t>
      </w:r>
    </w:p>
    <w:p w14:paraId="699C82BD">
      <w:pPr>
        <w:spacing w:line="380" w:lineRule="atLeast"/>
        <w:jc w:val="center"/>
        <w:rPr>
          <w:b/>
          <w:sz w:val="28"/>
          <w:szCs w:val="28"/>
          <w:highlight w:val="none"/>
        </w:rPr>
      </w:pPr>
    </w:p>
    <w:p w14:paraId="345073D6">
      <w:pPr>
        <w:spacing w:line="380" w:lineRule="atLeast"/>
        <w:jc w:val="center"/>
        <w:rPr>
          <w:b/>
          <w:sz w:val="28"/>
          <w:szCs w:val="28"/>
          <w:highlight w:val="none"/>
        </w:rPr>
      </w:pPr>
    </w:p>
    <w:p w14:paraId="0D78B728">
      <w:pPr>
        <w:spacing w:line="380" w:lineRule="atLeast"/>
        <w:jc w:val="center"/>
        <w:rPr>
          <w:b/>
          <w:sz w:val="28"/>
          <w:szCs w:val="28"/>
          <w:highlight w:val="none"/>
        </w:rPr>
      </w:pPr>
    </w:p>
    <w:p w14:paraId="6B1727E9">
      <w:pPr>
        <w:keepNext/>
        <w:keepLines/>
        <w:adjustRightInd w:val="0"/>
        <w:snapToGrid w:val="0"/>
        <w:spacing w:before="156" w:beforeLines="50" w:after="156" w:line="360" w:lineRule="auto"/>
        <w:ind w:firstLine="1416" w:firstLineChars="472"/>
        <w:jc w:val="left"/>
        <w:rPr>
          <w:sz w:val="30"/>
          <w:szCs w:val="30"/>
          <w:highlight w:val="none"/>
        </w:rPr>
      </w:pPr>
      <w:r>
        <w:rPr>
          <w:sz w:val="30"/>
          <w:szCs w:val="30"/>
          <w:highlight w:val="none"/>
        </w:rPr>
        <w:t>主编单位：</w:t>
      </w:r>
      <w:r>
        <w:rPr>
          <w:rFonts w:hint="eastAsia"/>
          <w:sz w:val="30"/>
          <w:szCs w:val="30"/>
          <w:highlight w:val="none"/>
          <w:lang w:val="en-US" w:eastAsia="zh-CN"/>
        </w:rPr>
        <w:t>东南大学、中化学土木工程有限公司</w:t>
      </w:r>
    </w:p>
    <w:p w14:paraId="72630031">
      <w:pPr>
        <w:keepNext/>
        <w:keepLines/>
        <w:adjustRightInd w:val="0"/>
        <w:snapToGrid w:val="0"/>
        <w:spacing w:before="156" w:beforeLines="50" w:after="156" w:line="360" w:lineRule="auto"/>
        <w:ind w:firstLine="1416" w:firstLineChars="472"/>
        <w:jc w:val="left"/>
        <w:rPr>
          <w:sz w:val="30"/>
          <w:szCs w:val="30"/>
          <w:highlight w:val="none"/>
        </w:rPr>
      </w:pPr>
      <w:r>
        <w:rPr>
          <w:sz w:val="30"/>
          <w:szCs w:val="30"/>
          <w:highlight w:val="none"/>
        </w:rPr>
        <w:t>批准部门：中华人民共和国工业和信息化部</w:t>
      </w:r>
    </w:p>
    <w:p w14:paraId="5B0B3D07">
      <w:pPr>
        <w:spacing w:line="380" w:lineRule="atLeast"/>
        <w:jc w:val="center"/>
        <w:rPr>
          <w:b/>
          <w:sz w:val="32"/>
          <w:highlight w:val="none"/>
        </w:rPr>
      </w:pPr>
    </w:p>
    <w:p w14:paraId="59311EAB">
      <w:pPr>
        <w:widowControl/>
        <w:jc w:val="center"/>
        <w:rPr>
          <w:rFonts w:ascii="黑体" w:eastAsia="黑体"/>
          <w:spacing w:val="85"/>
          <w:position w:val="3"/>
          <w:sz w:val="28"/>
          <w:szCs w:val="28"/>
          <w:highlight w:val="none"/>
        </w:rPr>
      </w:pPr>
      <w:r>
        <w:rPr>
          <w:rFonts w:hint="eastAsia" w:ascii="黑体" w:eastAsia="黑体"/>
          <w:spacing w:val="85"/>
          <w:position w:val="3"/>
          <w:sz w:val="28"/>
          <w:szCs w:val="28"/>
          <w:highlight w:val="none"/>
        </w:rPr>
        <w:t>XXXX出版社</w:t>
      </w:r>
    </w:p>
    <w:p w14:paraId="29CA3EEE">
      <w:pPr>
        <w:widowControl/>
        <w:jc w:val="center"/>
        <w:rPr>
          <w:rFonts w:ascii="黑体" w:hAnsi="黑体" w:eastAsia="黑体" w:cs="黑体"/>
          <w:sz w:val="28"/>
          <w:szCs w:val="28"/>
          <w:highlight w:val="none"/>
        </w:rPr>
      </w:pPr>
      <w:r>
        <w:rPr>
          <w:rFonts w:hint="eastAsia" w:ascii="黑体" w:eastAsia="黑体"/>
          <w:spacing w:val="85"/>
          <w:position w:val="3"/>
          <w:sz w:val="28"/>
          <w:szCs w:val="28"/>
          <w:highlight w:val="none"/>
        </w:rPr>
        <w:t>20</w:t>
      </w:r>
      <w:r>
        <w:rPr>
          <w:rFonts w:ascii="黑体" w:eastAsia="黑体"/>
          <w:spacing w:val="85"/>
          <w:position w:val="3"/>
          <w:sz w:val="28"/>
          <w:szCs w:val="28"/>
          <w:highlight w:val="none"/>
        </w:rPr>
        <w:t>2X年</w:t>
      </w:r>
      <w:r>
        <w:rPr>
          <w:rFonts w:hint="eastAsia" w:ascii="黑体" w:eastAsia="黑体"/>
          <w:spacing w:val="85"/>
          <w:position w:val="3"/>
          <w:sz w:val="28"/>
          <w:szCs w:val="28"/>
          <w:highlight w:val="none"/>
        </w:rPr>
        <w:t xml:space="preserve"> 北京</w:t>
      </w:r>
      <w:r>
        <w:rPr>
          <w:rFonts w:ascii="黑体" w:hAnsi="黑体" w:eastAsia="黑体" w:cs="黑体"/>
          <w:sz w:val="28"/>
          <w:szCs w:val="28"/>
          <w:highlight w:val="none"/>
        </w:rPr>
        <w:br w:type="page"/>
      </w:r>
    </w:p>
    <w:p w14:paraId="02FA2D3F">
      <w:pPr>
        <w:spacing w:before="312" w:beforeLines="100" w:line="360" w:lineRule="auto"/>
        <w:jc w:val="center"/>
        <w:rPr>
          <w:rFonts w:hint="eastAsia" w:ascii="宋体" w:hAnsi="宋体" w:eastAsia="宋体" w:cs="黑体"/>
          <w:b/>
          <w:bCs/>
          <w:sz w:val="36"/>
          <w:szCs w:val="36"/>
          <w:highlight w:val="none"/>
        </w:rPr>
      </w:pPr>
      <w:r>
        <w:rPr>
          <w:rFonts w:hint="eastAsia" w:ascii="宋体" w:hAnsi="宋体" w:eastAsia="宋体" w:cs="黑体"/>
          <w:b/>
          <w:bCs/>
          <w:sz w:val="36"/>
          <w:szCs w:val="36"/>
          <w:highlight w:val="none"/>
        </w:rPr>
        <w:t>前</w:t>
      </w:r>
      <w:r>
        <w:rPr>
          <w:rFonts w:hint="eastAsia" w:ascii="宋体" w:hAnsi="宋体" w:eastAsia="宋体" w:cs="黑体"/>
          <w:b/>
          <w:bCs/>
          <w:sz w:val="36"/>
          <w:szCs w:val="36"/>
          <w:highlight w:val="none"/>
          <w:lang w:val="en-US" w:eastAsia="zh-CN"/>
        </w:rPr>
        <w:t xml:space="preserve">    </w:t>
      </w:r>
      <w:r>
        <w:rPr>
          <w:rFonts w:hint="eastAsia" w:ascii="宋体" w:hAnsi="宋体" w:eastAsia="宋体" w:cs="黑体"/>
          <w:b/>
          <w:bCs/>
          <w:sz w:val="36"/>
          <w:szCs w:val="36"/>
          <w:highlight w:val="none"/>
        </w:rPr>
        <w:t>言</w:t>
      </w:r>
    </w:p>
    <w:p w14:paraId="2CA815CB">
      <w:pPr>
        <w:spacing w:before="312" w:beforeLines="100" w:line="360" w:lineRule="auto"/>
        <w:jc w:val="center"/>
        <w:rPr>
          <w:rFonts w:hint="eastAsia" w:ascii="宋体" w:hAnsi="宋体" w:eastAsia="宋体" w:cs="黑体"/>
          <w:b/>
          <w:bCs/>
          <w:sz w:val="32"/>
          <w:szCs w:val="32"/>
          <w:highlight w:val="none"/>
        </w:rPr>
      </w:pPr>
    </w:p>
    <w:p w14:paraId="23CD0411">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本规范根据工业和信息化部《关于印发2023年第一批行业标准制修订和外文版项目计划的通知》（工信厅科</w:t>
      </w:r>
      <w:r>
        <w:rPr>
          <w:rFonts w:ascii="宋体" w:hAnsi="宋体" w:eastAsia="宋体" w:cs="宋体"/>
          <w:color w:val="auto"/>
          <w:sz w:val="26"/>
          <w:szCs w:val="26"/>
          <w:highlight w:val="none"/>
        </w:rPr>
        <w:t>[20</w:t>
      </w:r>
      <w:r>
        <w:rPr>
          <w:rFonts w:hint="eastAsia" w:ascii="宋体" w:hAnsi="宋体" w:eastAsia="宋体" w:cs="宋体"/>
          <w:color w:val="auto"/>
          <w:sz w:val="26"/>
          <w:szCs w:val="26"/>
          <w:highlight w:val="none"/>
        </w:rPr>
        <w:t>23</w:t>
      </w:r>
      <w:r>
        <w:rPr>
          <w:rFonts w:ascii="宋体" w:hAnsi="宋体" w:eastAsia="宋体" w:cs="宋体"/>
          <w:color w:val="auto"/>
          <w:sz w:val="26"/>
          <w:szCs w:val="26"/>
          <w:highlight w:val="none"/>
        </w:rPr>
        <w:t>]</w:t>
      </w:r>
      <w:r>
        <w:rPr>
          <w:rFonts w:hint="eastAsia" w:ascii="宋体" w:hAnsi="宋体" w:eastAsia="宋体" w:cs="宋体"/>
          <w:color w:val="auto"/>
          <w:sz w:val="26"/>
          <w:szCs w:val="26"/>
          <w:highlight w:val="none"/>
        </w:rPr>
        <w:t>18号）的要求，中国石油和化工勘察设计协会为技术归口单位，协会工程勘察与岩土分会负责组织，</w:t>
      </w:r>
      <w:r>
        <w:rPr>
          <w:rFonts w:hint="eastAsia" w:ascii="宋体" w:hAnsi="宋体" w:eastAsia="宋体" w:cs="宋体"/>
          <w:color w:val="auto"/>
          <w:sz w:val="26"/>
          <w:szCs w:val="26"/>
          <w:highlight w:val="none"/>
          <w:lang w:val="en-US" w:eastAsia="zh-CN"/>
        </w:rPr>
        <w:t>东南大学</w:t>
      </w:r>
      <w:r>
        <w:rPr>
          <w:rFonts w:ascii="宋体" w:hAnsi="宋体" w:eastAsia="宋体" w:cs="宋体"/>
          <w:color w:val="auto"/>
          <w:sz w:val="26"/>
          <w:szCs w:val="26"/>
          <w:highlight w:val="none"/>
        </w:rPr>
        <w:t>、</w:t>
      </w:r>
      <w:r>
        <w:rPr>
          <w:rFonts w:hint="eastAsia" w:ascii="宋体" w:hAnsi="宋体" w:eastAsia="宋体" w:cs="宋体"/>
          <w:color w:val="auto"/>
          <w:sz w:val="26"/>
          <w:szCs w:val="26"/>
          <w:highlight w:val="none"/>
        </w:rPr>
        <w:t>中</w:t>
      </w:r>
      <w:r>
        <w:rPr>
          <w:rFonts w:ascii="宋体" w:hAnsi="宋体" w:eastAsia="宋体" w:cs="宋体"/>
          <w:color w:val="auto"/>
          <w:sz w:val="26"/>
          <w:szCs w:val="26"/>
          <w:highlight w:val="none"/>
        </w:rPr>
        <w:t>化学</w:t>
      </w:r>
      <w:r>
        <w:rPr>
          <w:rFonts w:hint="eastAsia" w:ascii="宋体" w:hAnsi="宋体" w:eastAsia="宋体" w:cs="宋体"/>
          <w:color w:val="auto"/>
          <w:sz w:val="26"/>
          <w:szCs w:val="26"/>
          <w:highlight w:val="none"/>
        </w:rPr>
        <w:t>土木</w:t>
      </w:r>
      <w:r>
        <w:rPr>
          <w:rFonts w:ascii="宋体" w:hAnsi="宋体" w:eastAsia="宋体" w:cs="宋体"/>
          <w:color w:val="auto"/>
          <w:sz w:val="26"/>
          <w:szCs w:val="26"/>
          <w:highlight w:val="none"/>
        </w:rPr>
        <w:t>工程有限公司</w:t>
      </w:r>
      <w:r>
        <w:rPr>
          <w:rFonts w:hint="eastAsia" w:ascii="宋体" w:hAnsi="宋体" w:eastAsia="宋体" w:cs="宋体"/>
          <w:color w:val="auto"/>
          <w:sz w:val="26"/>
          <w:szCs w:val="26"/>
          <w:highlight w:val="none"/>
        </w:rPr>
        <w:t>为主编单位，会同参编单位编制</w:t>
      </w:r>
      <w:r>
        <w:rPr>
          <w:rFonts w:ascii="宋体" w:hAnsi="宋体" w:eastAsia="宋体" w:cs="宋体"/>
          <w:color w:val="auto"/>
          <w:sz w:val="26"/>
          <w:szCs w:val="26"/>
          <w:highlight w:val="none"/>
        </w:rPr>
        <w:t>而成</w:t>
      </w:r>
      <w:r>
        <w:rPr>
          <w:rFonts w:hint="eastAsia" w:ascii="宋体" w:hAnsi="宋体" w:eastAsia="宋体" w:cs="宋体"/>
          <w:color w:val="auto"/>
          <w:sz w:val="26"/>
          <w:szCs w:val="26"/>
          <w:highlight w:val="none"/>
        </w:rPr>
        <w:t>。</w:t>
      </w:r>
    </w:p>
    <w:p w14:paraId="5C5220B0">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本规范在编制过程中，编制组进行了广泛的调查研究，认真总结了我国工业有机污染场地</w:t>
      </w:r>
      <w:r>
        <w:rPr>
          <w:rFonts w:hint="eastAsia" w:ascii="宋体" w:hAnsi="宋体" w:eastAsia="宋体" w:cs="宋体"/>
          <w:color w:val="auto"/>
          <w:sz w:val="26"/>
          <w:szCs w:val="26"/>
          <w:highlight w:val="none"/>
          <w:lang w:val="en-US" w:eastAsia="zh-CN"/>
        </w:rPr>
        <w:t>覆盖阻隔</w:t>
      </w:r>
      <w:r>
        <w:rPr>
          <w:rFonts w:hint="eastAsia" w:ascii="宋体" w:hAnsi="宋体" w:eastAsia="宋体" w:cs="宋体"/>
          <w:color w:val="auto"/>
          <w:kern w:val="2"/>
          <w:sz w:val="26"/>
          <w:szCs w:val="26"/>
          <w:highlight w:val="none"/>
        </w:rPr>
        <w:t>方面的</w:t>
      </w:r>
      <w:r>
        <w:rPr>
          <w:rFonts w:hint="eastAsia" w:ascii="宋体" w:hAnsi="宋体" w:eastAsia="宋体" w:cs="宋体"/>
          <w:color w:val="auto"/>
          <w:sz w:val="26"/>
          <w:szCs w:val="26"/>
          <w:highlight w:val="none"/>
        </w:rPr>
        <w:t>工程结构设计、施工工艺、质量控制、工程质量验收工作的实践经验，同时参考了国内外工业有机污染场地膜</w:t>
      </w:r>
      <w:r>
        <w:rPr>
          <w:rFonts w:hint="eastAsia" w:ascii="宋体" w:hAnsi="宋体" w:eastAsia="宋体" w:cs="宋体"/>
          <w:color w:val="auto"/>
          <w:sz w:val="26"/>
          <w:szCs w:val="26"/>
          <w:highlight w:val="none"/>
          <w:lang w:val="en-US" w:eastAsia="zh-CN"/>
        </w:rPr>
        <w:t>覆盖阻隔</w:t>
      </w:r>
      <w:r>
        <w:rPr>
          <w:rFonts w:hint="eastAsia" w:ascii="宋体" w:hAnsi="宋体" w:eastAsia="宋体" w:cs="宋体"/>
          <w:color w:val="auto"/>
          <w:sz w:val="26"/>
          <w:szCs w:val="26"/>
          <w:highlight w:val="none"/>
        </w:rPr>
        <w:t>工程技术应用的大量资料，并在广泛征求意见的基础上，编制本规范，最后经审查定稿。</w:t>
      </w:r>
    </w:p>
    <w:p w14:paraId="4827F9C5">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本规范共分</w:t>
      </w:r>
      <w:r>
        <w:rPr>
          <w:rFonts w:hint="eastAsia" w:ascii="宋体" w:hAnsi="宋体" w:eastAsia="宋体" w:cs="宋体"/>
          <w:color w:val="auto"/>
          <w:sz w:val="26"/>
          <w:szCs w:val="26"/>
          <w:highlight w:val="none"/>
          <w:lang w:val="en-US" w:eastAsia="zh-CN"/>
        </w:rPr>
        <w:t>7</w:t>
      </w:r>
      <w:r>
        <w:rPr>
          <w:rFonts w:hint="eastAsia" w:ascii="宋体" w:hAnsi="宋体" w:eastAsia="宋体" w:cs="宋体"/>
          <w:color w:val="auto"/>
          <w:sz w:val="26"/>
          <w:szCs w:val="26"/>
          <w:highlight w:val="none"/>
        </w:rPr>
        <w:t>章2</w:t>
      </w:r>
      <w:r>
        <w:rPr>
          <w:rFonts w:hint="eastAsia" w:ascii="宋体" w:hAnsi="宋体" w:eastAsia="宋体" w:cs="宋体"/>
          <w:color w:val="auto"/>
          <w:sz w:val="26"/>
          <w:szCs w:val="26"/>
          <w:highlight w:val="none"/>
          <w:lang w:val="en-US" w:eastAsia="zh-CN"/>
        </w:rPr>
        <w:t>0</w:t>
      </w:r>
      <w:r>
        <w:rPr>
          <w:rFonts w:hint="eastAsia" w:ascii="宋体" w:hAnsi="宋体" w:eastAsia="宋体" w:cs="宋体"/>
          <w:color w:val="auto"/>
          <w:sz w:val="26"/>
          <w:szCs w:val="26"/>
          <w:highlight w:val="none"/>
        </w:rPr>
        <w:t>节和</w:t>
      </w:r>
      <w:r>
        <w:rPr>
          <w:rFonts w:hint="eastAsia" w:ascii="宋体" w:hAnsi="宋体" w:eastAsia="宋体" w:cs="宋体"/>
          <w:color w:val="auto"/>
          <w:sz w:val="26"/>
          <w:szCs w:val="26"/>
          <w:highlight w:val="none"/>
          <w:lang w:val="en-US" w:eastAsia="zh-CN"/>
        </w:rPr>
        <w:t>6</w:t>
      </w:r>
      <w:r>
        <w:rPr>
          <w:rFonts w:hint="eastAsia" w:ascii="宋体" w:hAnsi="宋体" w:eastAsia="宋体" w:cs="宋体"/>
          <w:color w:val="auto"/>
          <w:sz w:val="26"/>
          <w:szCs w:val="26"/>
          <w:highlight w:val="none"/>
        </w:rPr>
        <w:t>个附录，主要内容包括总则、术语、基本规定、场地勘察与污染状况调查、覆盖阻隔工程设计、覆盖阻隔工程施工</w:t>
      </w:r>
      <w:r>
        <w:rPr>
          <w:rFonts w:hint="eastAsia" w:ascii="宋体" w:hAnsi="宋体" w:eastAsia="宋体" w:cs="宋体"/>
          <w:color w:val="auto"/>
          <w:sz w:val="26"/>
          <w:szCs w:val="26"/>
          <w:highlight w:val="none"/>
          <w:lang w:eastAsia="zh-CN"/>
        </w:rPr>
        <w:t>、</w:t>
      </w:r>
      <w:r>
        <w:rPr>
          <w:rFonts w:hint="eastAsia" w:ascii="宋体" w:hAnsi="宋体" w:eastAsia="宋体" w:cs="宋体"/>
          <w:color w:val="auto"/>
          <w:sz w:val="26"/>
          <w:szCs w:val="26"/>
          <w:highlight w:val="none"/>
        </w:rPr>
        <w:t>工程效果评估及工后监测</w:t>
      </w:r>
      <w:r>
        <w:rPr>
          <w:rFonts w:hint="eastAsia" w:ascii="宋体" w:hAnsi="宋体" w:eastAsia="宋体" w:cs="宋体"/>
          <w:color w:val="auto"/>
          <w:sz w:val="26"/>
          <w:szCs w:val="26"/>
          <w:highlight w:val="none"/>
          <w:lang w:val="en-US" w:eastAsia="zh-CN"/>
        </w:rPr>
        <w:t>等</w:t>
      </w:r>
      <w:r>
        <w:rPr>
          <w:rFonts w:hint="eastAsia" w:ascii="宋体" w:hAnsi="宋体" w:eastAsia="宋体" w:cs="宋体"/>
          <w:color w:val="auto"/>
          <w:sz w:val="26"/>
          <w:szCs w:val="26"/>
          <w:highlight w:val="none"/>
        </w:rPr>
        <w:t>。</w:t>
      </w:r>
    </w:p>
    <w:p w14:paraId="7579B0CE">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jc w:val="both"/>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本规范由工业和信息化部负责管理，由中国石油和化工勘察设计协会技术归口，协会工程勘察与岩土分会负责日常管理，由</w:t>
      </w:r>
      <w:r>
        <w:rPr>
          <w:rFonts w:hint="eastAsia" w:ascii="宋体" w:hAnsi="宋体" w:eastAsia="宋体" w:cs="宋体"/>
          <w:color w:val="auto"/>
          <w:sz w:val="26"/>
          <w:szCs w:val="26"/>
          <w:highlight w:val="none"/>
          <w:lang w:val="en-US" w:eastAsia="zh-CN"/>
        </w:rPr>
        <w:t>东南大学、</w:t>
      </w:r>
      <w:r>
        <w:rPr>
          <w:rFonts w:hint="eastAsia" w:ascii="宋体" w:hAnsi="宋体" w:eastAsia="宋体" w:cs="宋体"/>
          <w:color w:val="auto"/>
          <w:sz w:val="26"/>
          <w:szCs w:val="26"/>
          <w:highlight w:val="none"/>
        </w:rPr>
        <w:t>中化学土木工程有限公司负责具体技术内容的解释。在执行过程中如有意见和建议，请与</w:t>
      </w:r>
      <w:r>
        <w:rPr>
          <w:rFonts w:hint="eastAsia" w:ascii="宋体" w:hAnsi="宋体" w:eastAsia="宋体" w:cs="宋体"/>
          <w:color w:val="auto"/>
          <w:sz w:val="26"/>
          <w:szCs w:val="26"/>
          <w:highlight w:val="none"/>
          <w:lang w:val="en-US" w:eastAsia="zh-CN"/>
        </w:rPr>
        <w:t>东南大学</w:t>
      </w:r>
      <w:r>
        <w:rPr>
          <w:rFonts w:hint="eastAsia" w:ascii="宋体" w:hAnsi="宋体" w:eastAsia="宋体" w:cs="宋体"/>
          <w:color w:val="auto"/>
          <w:sz w:val="26"/>
          <w:szCs w:val="26"/>
          <w:highlight w:val="none"/>
        </w:rPr>
        <w:t>（地址：</w:t>
      </w:r>
      <w:r>
        <w:rPr>
          <w:rFonts w:hint="eastAsia" w:ascii="宋体" w:hAnsi="宋体" w:eastAsia="宋体" w:cs="宋体"/>
          <w:color w:val="auto"/>
          <w:sz w:val="26"/>
          <w:szCs w:val="26"/>
          <w:highlight w:val="none"/>
          <w:lang w:val="en-US" w:eastAsia="zh-CN"/>
        </w:rPr>
        <w:t>南京市江宁区东南大学路2号；</w:t>
      </w:r>
      <w:r>
        <w:rPr>
          <w:rFonts w:hint="eastAsia" w:ascii="宋体" w:hAnsi="宋体" w:eastAsia="宋体" w:cs="宋体"/>
          <w:color w:val="auto"/>
          <w:sz w:val="26"/>
          <w:szCs w:val="26"/>
          <w:highlight w:val="none"/>
        </w:rPr>
        <w:t>邮编：</w:t>
      </w:r>
      <w:r>
        <w:rPr>
          <w:rFonts w:hint="eastAsia" w:ascii="宋体" w:hAnsi="宋体" w:eastAsia="宋体" w:cs="宋体"/>
          <w:color w:val="auto"/>
          <w:sz w:val="26"/>
          <w:szCs w:val="26"/>
          <w:highlight w:val="none"/>
          <w:lang w:val="en-US" w:eastAsia="zh-CN"/>
        </w:rPr>
        <w:t>211189；</w:t>
      </w:r>
      <w:r>
        <w:rPr>
          <w:rFonts w:hint="eastAsia" w:ascii="宋体" w:hAnsi="宋体" w:eastAsia="宋体" w:cs="宋体"/>
          <w:color w:val="auto"/>
          <w:sz w:val="26"/>
          <w:szCs w:val="26"/>
          <w:highlight w:val="none"/>
        </w:rPr>
        <w:t>电话：025-</w:t>
      </w:r>
      <w:r>
        <w:rPr>
          <w:rFonts w:hint="eastAsia" w:ascii="宋体" w:hAnsi="宋体" w:eastAsia="宋体" w:cs="宋体"/>
          <w:color w:val="auto"/>
          <w:sz w:val="26"/>
          <w:szCs w:val="26"/>
          <w:highlight w:val="none"/>
          <w:lang w:val="en-US" w:eastAsia="zh-CN"/>
        </w:rPr>
        <w:t>83795086</w:t>
      </w:r>
      <w:r>
        <w:rPr>
          <w:rFonts w:hint="eastAsia" w:ascii="宋体" w:hAnsi="宋体" w:eastAsia="宋体" w:cs="宋体"/>
          <w:color w:val="auto"/>
          <w:sz w:val="26"/>
          <w:szCs w:val="26"/>
          <w:highlight w:val="none"/>
        </w:rPr>
        <w:t>）</w:t>
      </w:r>
      <w:r>
        <w:rPr>
          <w:rFonts w:hint="eastAsia" w:ascii="宋体" w:hAnsi="宋体" w:eastAsia="宋体" w:cs="宋体"/>
          <w:color w:val="auto"/>
          <w:sz w:val="26"/>
          <w:szCs w:val="26"/>
          <w:highlight w:val="none"/>
          <w:lang w:val="en-US" w:eastAsia="zh-CN"/>
        </w:rPr>
        <w:t>或</w:t>
      </w:r>
      <w:r>
        <w:rPr>
          <w:rFonts w:hint="eastAsia" w:ascii="宋体" w:hAnsi="宋体" w:eastAsia="宋体" w:cs="宋体"/>
          <w:color w:val="auto"/>
          <w:sz w:val="26"/>
          <w:szCs w:val="26"/>
          <w:highlight w:val="none"/>
        </w:rPr>
        <w:t>中化学土木工程有限公司（地址：</w:t>
      </w:r>
      <w:r>
        <w:rPr>
          <w:rFonts w:hint="eastAsia" w:ascii="宋体" w:hAnsi="宋体" w:eastAsia="宋体" w:cs="宋体"/>
          <w:color w:val="auto"/>
          <w:sz w:val="26"/>
          <w:szCs w:val="26"/>
          <w:highlight w:val="none"/>
          <w:lang w:val="en-US" w:eastAsia="zh-CN"/>
        </w:rPr>
        <w:t>江苏省</w:t>
      </w:r>
      <w:r>
        <w:rPr>
          <w:rFonts w:ascii="宋体" w:hAnsi="宋体" w:eastAsia="宋体" w:cs="宋体"/>
          <w:color w:val="auto"/>
          <w:sz w:val="26"/>
          <w:szCs w:val="26"/>
          <w:highlight w:val="none"/>
        </w:rPr>
        <w:t>南京市</w:t>
      </w:r>
      <w:r>
        <w:rPr>
          <w:rFonts w:hint="eastAsia" w:ascii="宋体" w:hAnsi="宋体" w:eastAsia="宋体" w:cs="宋体"/>
          <w:color w:val="auto"/>
          <w:sz w:val="26"/>
          <w:szCs w:val="26"/>
          <w:highlight w:val="none"/>
          <w:lang w:val="en-US" w:eastAsia="zh-CN"/>
        </w:rPr>
        <w:t>江北新区</w:t>
      </w:r>
      <w:r>
        <w:rPr>
          <w:rFonts w:hint="eastAsia" w:ascii="宋体" w:hAnsi="宋体" w:eastAsia="宋体" w:cs="宋体"/>
          <w:color w:val="auto"/>
          <w:sz w:val="26"/>
          <w:szCs w:val="26"/>
          <w:highlight w:val="none"/>
        </w:rPr>
        <w:t>浦东北路5号扬子科创基地4号楼</w:t>
      </w:r>
      <w:r>
        <w:rPr>
          <w:rFonts w:hint="eastAsia" w:ascii="宋体" w:hAnsi="宋体" w:eastAsia="宋体" w:cs="宋体"/>
          <w:color w:val="auto"/>
          <w:sz w:val="26"/>
          <w:szCs w:val="26"/>
          <w:highlight w:val="none"/>
          <w:lang w:eastAsia="zh-CN"/>
        </w:rPr>
        <w:t>；</w:t>
      </w:r>
      <w:r>
        <w:rPr>
          <w:rFonts w:hint="eastAsia" w:ascii="宋体" w:hAnsi="宋体" w:eastAsia="宋体" w:cs="宋体"/>
          <w:color w:val="auto"/>
          <w:sz w:val="26"/>
          <w:szCs w:val="26"/>
          <w:highlight w:val="none"/>
        </w:rPr>
        <w:t>邮编：210031</w:t>
      </w:r>
      <w:r>
        <w:rPr>
          <w:rFonts w:hint="eastAsia" w:ascii="宋体" w:hAnsi="宋体" w:eastAsia="宋体" w:cs="宋体"/>
          <w:color w:val="auto"/>
          <w:sz w:val="26"/>
          <w:szCs w:val="26"/>
          <w:highlight w:val="none"/>
          <w:lang w:eastAsia="zh-CN"/>
        </w:rPr>
        <w:t>；</w:t>
      </w:r>
      <w:r>
        <w:rPr>
          <w:rFonts w:hint="eastAsia" w:ascii="宋体" w:hAnsi="宋体" w:eastAsia="宋体" w:cs="宋体"/>
          <w:color w:val="auto"/>
          <w:sz w:val="26"/>
          <w:szCs w:val="26"/>
          <w:highlight w:val="none"/>
        </w:rPr>
        <w:t>电话：025-57737520）联系</w:t>
      </w:r>
      <w:r>
        <w:rPr>
          <w:rFonts w:hint="eastAsia" w:ascii="宋体" w:hAnsi="宋体" w:eastAsia="宋体" w:cs="宋体"/>
          <w:color w:val="auto"/>
          <w:sz w:val="26"/>
          <w:szCs w:val="26"/>
          <w:highlight w:val="none"/>
          <w:lang w:eastAsia="zh-CN"/>
        </w:rPr>
        <w:t>，</w:t>
      </w:r>
      <w:r>
        <w:rPr>
          <w:rFonts w:hint="eastAsia" w:ascii="宋体" w:hAnsi="宋体" w:eastAsia="宋体" w:cs="宋体"/>
          <w:color w:val="auto"/>
          <w:sz w:val="26"/>
          <w:szCs w:val="26"/>
          <w:highlight w:val="none"/>
        </w:rPr>
        <w:t>以供今后修订时参考。</w:t>
      </w:r>
    </w:p>
    <w:p w14:paraId="14FA0C9A">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本规范主编单位、参编单位、主要起草人和主要审查人</w:t>
      </w:r>
    </w:p>
    <w:p w14:paraId="3C18B6A2">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default" w:ascii="宋体" w:hAnsi="宋体" w:eastAsia="宋体" w:cs="宋体"/>
          <w:color w:val="auto"/>
          <w:sz w:val="26"/>
          <w:szCs w:val="26"/>
          <w:highlight w:val="none"/>
          <w:lang w:val="en-US" w:eastAsia="zh-CN"/>
        </w:rPr>
      </w:pPr>
      <w:r>
        <w:rPr>
          <w:rFonts w:hint="eastAsia" w:ascii="宋体" w:hAnsi="宋体" w:eastAsia="宋体" w:cs="宋体"/>
          <w:color w:val="auto"/>
          <w:sz w:val="26"/>
          <w:szCs w:val="26"/>
          <w:highlight w:val="none"/>
        </w:rPr>
        <w:t>主编单位：</w:t>
      </w:r>
      <w:r>
        <w:rPr>
          <w:rFonts w:hint="eastAsia" w:ascii="宋体" w:hAnsi="宋体" w:eastAsia="宋体" w:cs="宋体"/>
          <w:color w:val="auto"/>
          <w:sz w:val="26"/>
          <w:szCs w:val="26"/>
          <w:highlight w:val="none"/>
          <w:lang w:val="en-US" w:eastAsia="zh-CN"/>
        </w:rPr>
        <w:t>东南大学</w:t>
      </w:r>
    </w:p>
    <w:p w14:paraId="649AFDB9">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中化学土木工程有限公司</w:t>
      </w:r>
    </w:p>
    <w:p w14:paraId="5EEDB423">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参编单位：浙江大学</w:t>
      </w:r>
    </w:p>
    <w:p w14:paraId="10C6C02A">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华中科技大学</w:t>
      </w:r>
    </w:p>
    <w:p w14:paraId="0E11636A">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江苏省环境工程技术有限公司</w:t>
      </w:r>
    </w:p>
    <w:p w14:paraId="443749D9">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江苏省环境科学研究院</w:t>
      </w:r>
    </w:p>
    <w:p w14:paraId="4E6B890C">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江苏省岩土力学与工程学会</w:t>
      </w:r>
    </w:p>
    <w:p w14:paraId="2519CF7E">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中国能源建设集团浙江省电力研究设计院有限公司</w:t>
      </w:r>
    </w:p>
    <w:p w14:paraId="3C07E265">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江苏长三角环境科学技术研究院有限公司</w:t>
      </w:r>
    </w:p>
    <w:p w14:paraId="3FA43092">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北京高能时代环境技术股份有限公司</w:t>
      </w:r>
    </w:p>
    <w:p w14:paraId="70A12C2B">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天津中联格林科技发展有限公司</w:t>
      </w:r>
    </w:p>
    <w:p w14:paraId="4F468AF9">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江苏大地益源环境修复有限公司</w:t>
      </w:r>
    </w:p>
    <w:p w14:paraId="13B89515">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北京中岩大地科技股份有限公司</w:t>
      </w:r>
    </w:p>
    <w:p w14:paraId="24617E3E">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生态环境部南京环境科学研究所</w:t>
      </w:r>
    </w:p>
    <w:p w14:paraId="50DAFBEA">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无锡市环保集团有限公司</w:t>
      </w:r>
    </w:p>
    <w:p w14:paraId="40011477">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无锡市太湖湖泊治理股份有限公司</w:t>
      </w:r>
    </w:p>
    <w:p w14:paraId="74FC7E06">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浙江化工工程地质勘察院有限公司</w:t>
      </w:r>
    </w:p>
    <w:p w14:paraId="273ECC75">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化学工业第一勘察设计院有限公司</w:t>
      </w:r>
    </w:p>
    <w:p w14:paraId="0DEFB459">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中化明达（福建）地质勘测有限公司</w:t>
      </w:r>
    </w:p>
    <w:p w14:paraId="7C2AC32F">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江苏科信岩土工程勘察有限公司</w:t>
      </w:r>
    </w:p>
    <w:p w14:paraId="557E051B">
      <w:pPr>
        <w:keepNext w:val="0"/>
        <w:keepLines w:val="0"/>
        <w:pageBreakBefore w:val="0"/>
        <w:widowControl/>
        <w:kinsoku/>
        <w:wordWrap/>
        <w:overflowPunct/>
        <w:topLinePunct w:val="0"/>
        <w:autoSpaceDE/>
        <w:autoSpaceDN/>
        <w:bidi w:val="0"/>
        <w:adjustRightInd w:val="0"/>
        <w:snapToGrid w:val="0"/>
        <w:spacing w:after="0" w:line="360" w:lineRule="auto"/>
        <w:ind w:firstLine="1799" w:firstLineChars="692"/>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福建省金皇环保科技有限公司</w:t>
      </w:r>
    </w:p>
    <w:p w14:paraId="3A91F003">
      <w:pPr>
        <w:keepNext w:val="0"/>
        <w:keepLines w:val="0"/>
        <w:pageBreakBefore w:val="0"/>
        <w:widowControl/>
        <w:kinsoku/>
        <w:wordWrap/>
        <w:overflowPunct/>
        <w:topLinePunct w:val="0"/>
        <w:autoSpaceDE/>
        <w:autoSpaceDN/>
        <w:bidi w:val="0"/>
        <w:adjustRightInd w:val="0"/>
        <w:snapToGrid w:val="0"/>
        <w:spacing w:after="0" w:line="360" w:lineRule="auto"/>
        <w:ind w:left="0" w:leftChars="0" w:right="0" w:rightChars="0" w:firstLine="520" w:firstLineChars="200"/>
        <w:textAlignment w:val="auto"/>
        <w:rPr>
          <w:rFonts w:hint="eastAsia" w:ascii="宋体" w:hAnsi="宋体" w:eastAsia="宋体" w:cs="宋体"/>
          <w:color w:val="auto"/>
          <w:sz w:val="26"/>
          <w:szCs w:val="26"/>
          <w:highlight w:val="none"/>
          <w:lang w:val="en-US" w:eastAsia="zh-CN"/>
        </w:rPr>
      </w:pPr>
      <w:r>
        <w:rPr>
          <w:rFonts w:hint="eastAsia" w:ascii="宋体" w:hAnsi="宋体" w:eastAsia="宋体" w:cs="宋体"/>
          <w:color w:val="auto"/>
          <w:sz w:val="26"/>
          <w:szCs w:val="26"/>
          <w:highlight w:val="none"/>
        </w:rPr>
        <w:t>主要起草人：</w:t>
      </w:r>
    </w:p>
    <w:p w14:paraId="234F16BB">
      <w:pPr>
        <w:keepNext w:val="0"/>
        <w:keepLines w:val="0"/>
        <w:pageBreakBefore w:val="0"/>
        <w:widowControl/>
        <w:kinsoku/>
        <w:wordWrap/>
        <w:overflowPunct/>
        <w:topLinePunct w:val="0"/>
        <w:autoSpaceDE/>
        <w:autoSpaceDN/>
        <w:bidi w:val="0"/>
        <w:adjustRightInd w:val="0"/>
        <w:snapToGrid w:val="0"/>
        <w:spacing w:after="0" w:line="360" w:lineRule="auto"/>
        <w:ind w:firstLine="520" w:firstLineChars="200"/>
        <w:textAlignment w:val="auto"/>
        <w:rPr>
          <w:rFonts w:hint="eastAsia" w:ascii="宋体" w:hAnsi="宋体" w:eastAsia="宋体" w:cs="宋体"/>
          <w:color w:val="auto"/>
          <w:sz w:val="26"/>
          <w:szCs w:val="26"/>
          <w:highlight w:val="none"/>
        </w:rPr>
      </w:pPr>
      <w:r>
        <w:rPr>
          <w:rFonts w:hint="eastAsia" w:ascii="宋体" w:hAnsi="宋体" w:eastAsia="宋体" w:cs="宋体"/>
          <w:color w:val="auto"/>
          <w:sz w:val="26"/>
          <w:szCs w:val="26"/>
          <w:highlight w:val="none"/>
        </w:rPr>
        <w:t>主要审查人：</w:t>
      </w:r>
    </w:p>
    <w:p w14:paraId="3B274166">
      <w:pPr>
        <w:snapToGrid w:val="0"/>
        <w:spacing w:line="360" w:lineRule="auto"/>
        <w:jc w:val="center"/>
        <w:rPr>
          <w:rFonts w:ascii="黑体" w:hAnsi="黑体" w:eastAsia="黑体" w:cs="黑体"/>
          <w:sz w:val="28"/>
          <w:szCs w:val="28"/>
          <w:highlight w:val="none"/>
        </w:rPr>
        <w:sectPr>
          <w:headerReference r:id="rId3" w:type="default"/>
          <w:footerReference r:id="rId5" w:type="default"/>
          <w:headerReference r:id="rId4" w:type="even"/>
          <w:footerReference r:id="rId6" w:type="even"/>
          <w:pgSz w:w="11906" w:h="16838"/>
          <w:pgMar w:top="1440" w:right="1800" w:bottom="1440" w:left="1800" w:header="851" w:footer="992" w:gutter="0"/>
          <w:cols w:space="425" w:num="1"/>
          <w:docGrid w:type="lines" w:linePitch="312" w:charSpace="0"/>
        </w:sectPr>
      </w:pPr>
    </w:p>
    <w:sdt>
      <w:sdtPr>
        <w:rPr>
          <w:rFonts w:hint="eastAsia" w:ascii="黑体" w:hAnsi="黑体" w:eastAsia="黑体" w:cs="黑体"/>
          <w:highlight w:val="none"/>
        </w:rPr>
        <w:id w:val="147462435"/>
        <w15:color w:val="DBDBDB"/>
        <w:docPartObj>
          <w:docPartGallery w:val="Table of Contents"/>
          <w:docPartUnique/>
        </w:docPartObj>
      </w:sdtPr>
      <w:sdtEndPr>
        <w:rPr>
          <w:rFonts w:hint="eastAsia" w:ascii="黑体" w:hAnsi="黑体" w:eastAsia="黑体" w:cs="黑体"/>
          <w:b/>
          <w:highlight w:val="none"/>
        </w:rPr>
      </w:sdtEndPr>
      <w:sdtContent>
        <w:p w14:paraId="5E359946">
          <w:pPr>
            <w:jc w:val="center"/>
            <w:rPr>
              <w:rFonts w:hint="eastAsia" w:ascii="黑体" w:hAnsi="黑体" w:eastAsia="黑体" w:cs="黑体"/>
              <w:b/>
              <w:bCs/>
              <w:sz w:val="28"/>
              <w:szCs w:val="32"/>
              <w:highlight w:val="none"/>
            </w:rPr>
          </w:pPr>
          <w:bookmarkStart w:id="7" w:name="OLE_LINK20"/>
          <w:bookmarkStart w:id="8" w:name="OLE_LINK25"/>
          <w:r>
            <w:rPr>
              <w:rFonts w:hint="eastAsia" w:ascii="黑体" w:hAnsi="黑体" w:eastAsia="黑体" w:cs="黑体"/>
              <w:b/>
              <w:bCs/>
              <w:sz w:val="28"/>
              <w:szCs w:val="32"/>
              <w:highlight w:val="none"/>
            </w:rPr>
            <w:t>目  次</w:t>
          </w:r>
        </w:p>
        <w:p w14:paraId="49BEF57C">
          <w:pPr>
            <w:jc w:val="center"/>
            <w:rPr>
              <w:rFonts w:hint="eastAsia" w:ascii="黑体" w:hAnsi="黑体" w:eastAsia="黑体" w:cs="黑体"/>
              <w:b/>
              <w:bCs/>
              <w:highlight w:val="none"/>
            </w:rPr>
          </w:pPr>
        </w:p>
        <w:bookmarkEnd w:id="7"/>
        <w:p w14:paraId="436B509D">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TOC \o "1-2" \h \u </w:instrText>
          </w:r>
          <w:r>
            <w:rPr>
              <w:rFonts w:hint="eastAsia" w:ascii="黑体" w:hAnsi="黑体" w:eastAsia="黑体" w:cs="黑体"/>
              <w:highlight w:val="none"/>
            </w:rPr>
            <w:fldChar w:fldCharType="separate"/>
          </w: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"_Toc23928" </w:instrText>
          </w:r>
          <w:r>
            <w:rPr>
              <w:rFonts w:hint="eastAsia" w:ascii="黑体" w:hAnsi="黑体" w:eastAsia="黑体" w:cs="黑体"/>
              <w:highlight w:val="none"/>
            </w:rPr>
            <w:fldChar w:fldCharType="separate"/>
          </w:r>
          <w:r>
            <w:rPr>
              <w:rFonts w:hint="eastAsia" w:ascii="黑体" w:hAnsi="黑体" w:eastAsia="黑体" w:cs="黑体"/>
              <w:szCs w:val="28"/>
              <w:highlight w:val="none"/>
            </w:rPr>
            <w:t>1  总  则</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_Toc23928 \h </w:instrText>
          </w:r>
          <w:r>
            <w:rPr>
              <w:rFonts w:hint="eastAsia" w:ascii="黑体" w:hAnsi="黑体" w:eastAsia="黑体" w:cs="黑体"/>
              <w:highlight w:val="none"/>
            </w:rPr>
            <w:fldChar w:fldCharType="separate"/>
          </w:r>
          <w:r>
            <w:rPr>
              <w:rFonts w:hint="eastAsia" w:ascii="黑体" w:hAnsi="黑体" w:eastAsia="黑体" w:cs="黑体"/>
              <w:highlight w:val="none"/>
            </w:rPr>
            <w:t>1</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2E7428F8">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"_Toc31818" </w:instrText>
          </w:r>
          <w:r>
            <w:rPr>
              <w:rFonts w:hint="eastAsia" w:ascii="黑体" w:hAnsi="黑体" w:eastAsia="黑体" w:cs="黑体"/>
              <w:highlight w:val="none"/>
            </w:rPr>
            <w:fldChar w:fldCharType="separate"/>
          </w:r>
          <w:r>
            <w:rPr>
              <w:rFonts w:hint="eastAsia" w:ascii="黑体" w:hAnsi="黑体" w:eastAsia="黑体" w:cs="黑体"/>
              <w:szCs w:val="28"/>
              <w:highlight w:val="none"/>
            </w:rPr>
            <w:t>2  术  语</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_Toc31818 \h </w:instrText>
          </w:r>
          <w:r>
            <w:rPr>
              <w:rFonts w:hint="eastAsia" w:ascii="黑体" w:hAnsi="黑体" w:eastAsia="黑体" w:cs="黑体"/>
              <w:highlight w:val="none"/>
            </w:rPr>
            <w:fldChar w:fldCharType="separate"/>
          </w:r>
          <w:r>
            <w:rPr>
              <w:rFonts w:hint="eastAsia" w:ascii="黑体" w:hAnsi="黑体" w:eastAsia="黑体" w:cs="黑体"/>
              <w:highlight w:val="none"/>
            </w:rPr>
            <w:t>2</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B21533F">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"_Toc19266" </w:instrText>
          </w:r>
          <w:r>
            <w:rPr>
              <w:rFonts w:hint="eastAsia" w:ascii="黑体" w:hAnsi="黑体" w:eastAsia="黑体" w:cs="黑体"/>
              <w:highlight w:val="none"/>
            </w:rPr>
            <w:fldChar w:fldCharType="separate"/>
          </w:r>
          <w:r>
            <w:rPr>
              <w:rFonts w:hint="eastAsia" w:ascii="黑体" w:hAnsi="黑体" w:eastAsia="黑体" w:cs="黑体"/>
              <w:szCs w:val="28"/>
              <w:highlight w:val="none"/>
            </w:rPr>
            <w:t>3  基本规定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_Toc19266 \h </w:instrText>
          </w:r>
          <w:r>
            <w:rPr>
              <w:rFonts w:hint="eastAsia" w:ascii="黑体" w:hAnsi="黑体" w:eastAsia="黑体" w:cs="黑体"/>
              <w:highlight w:val="none"/>
            </w:rPr>
            <w:fldChar w:fldCharType="separate"/>
          </w:r>
          <w:r>
            <w:rPr>
              <w:rFonts w:hint="eastAsia" w:ascii="黑体" w:hAnsi="黑体" w:eastAsia="黑体" w:cs="黑体"/>
              <w:highlight w:val="none"/>
            </w:rPr>
            <w:t>4</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69A22AB1">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"_Toc2435" </w:instrText>
          </w:r>
          <w:r>
            <w:rPr>
              <w:rFonts w:hint="eastAsia" w:ascii="黑体" w:hAnsi="黑体" w:eastAsia="黑体" w:cs="黑体"/>
              <w:highlight w:val="none"/>
            </w:rPr>
            <w:fldChar w:fldCharType="separate"/>
          </w:r>
          <w:r>
            <w:rPr>
              <w:rFonts w:hint="eastAsia" w:ascii="黑体" w:hAnsi="黑体" w:eastAsia="黑体" w:cs="黑体"/>
              <w:szCs w:val="28"/>
              <w:highlight w:val="none"/>
            </w:rPr>
            <w:t>4  场地勘察与污染状况调查</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_Toc2435 \h </w:instrText>
          </w:r>
          <w:r>
            <w:rPr>
              <w:rFonts w:hint="eastAsia" w:ascii="黑体" w:hAnsi="黑体" w:eastAsia="黑体" w:cs="黑体"/>
              <w:highlight w:val="none"/>
            </w:rPr>
            <w:fldChar w:fldCharType="separate"/>
          </w:r>
          <w:r>
            <w:rPr>
              <w:rFonts w:hint="eastAsia" w:ascii="黑体" w:hAnsi="黑体" w:eastAsia="黑体" w:cs="黑体"/>
              <w:highlight w:val="none"/>
            </w:rPr>
            <w:t>5</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78DD3051">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"_Toc1267" </w:instrText>
          </w:r>
          <w:r>
            <w:rPr>
              <w:rFonts w:hint="eastAsia" w:ascii="黑体" w:hAnsi="黑体" w:eastAsia="黑体" w:cs="黑体"/>
              <w:highlight w:val="none"/>
            </w:rPr>
            <w:fldChar w:fldCharType="separate"/>
          </w:r>
          <w:r>
            <w:rPr>
              <w:rFonts w:hint="eastAsia" w:ascii="黑体" w:hAnsi="黑体" w:eastAsia="黑体" w:cs="黑体"/>
              <w:szCs w:val="21"/>
              <w:highlight w:val="none"/>
            </w:rPr>
            <w:t>4.1  一 般 规 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_Toc1267 \h </w:instrText>
          </w:r>
          <w:r>
            <w:rPr>
              <w:rFonts w:hint="eastAsia" w:ascii="黑体" w:hAnsi="黑体" w:eastAsia="黑体" w:cs="黑体"/>
              <w:highlight w:val="none"/>
            </w:rPr>
            <w:fldChar w:fldCharType="separate"/>
          </w:r>
          <w:r>
            <w:rPr>
              <w:rFonts w:hint="eastAsia" w:ascii="黑体" w:hAnsi="黑体" w:eastAsia="黑体" w:cs="黑体"/>
              <w:highlight w:val="none"/>
            </w:rPr>
            <w:t>5</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F1D9316">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"_Toc2302" </w:instrText>
          </w:r>
          <w:r>
            <w:rPr>
              <w:rFonts w:hint="eastAsia" w:ascii="黑体" w:hAnsi="黑体" w:eastAsia="黑体" w:cs="黑体"/>
              <w:highlight w:val="none"/>
            </w:rPr>
            <w:fldChar w:fldCharType="separate"/>
          </w:r>
          <w:r>
            <w:rPr>
              <w:rFonts w:hint="eastAsia" w:ascii="黑体" w:hAnsi="黑体" w:eastAsia="黑体" w:cs="黑体"/>
              <w:szCs w:val="21"/>
              <w:highlight w:val="none"/>
            </w:rPr>
            <w:t>4.2  场地岩土工程勘察</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_Toc2302 \h </w:instrText>
          </w:r>
          <w:r>
            <w:rPr>
              <w:rFonts w:hint="eastAsia" w:ascii="黑体" w:hAnsi="黑体" w:eastAsia="黑体" w:cs="黑体"/>
              <w:highlight w:val="none"/>
            </w:rPr>
            <w:fldChar w:fldCharType="separate"/>
          </w:r>
          <w:r>
            <w:rPr>
              <w:rFonts w:hint="eastAsia" w:ascii="黑体" w:hAnsi="黑体" w:eastAsia="黑体" w:cs="黑体"/>
              <w:highlight w:val="none"/>
            </w:rPr>
            <w:t>5</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7149E45">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"_Toc3832" </w:instrText>
          </w:r>
          <w:r>
            <w:rPr>
              <w:rFonts w:hint="eastAsia" w:ascii="黑体" w:hAnsi="黑体" w:eastAsia="黑体" w:cs="黑体"/>
              <w:highlight w:val="none"/>
            </w:rPr>
            <w:fldChar w:fldCharType="separate"/>
          </w:r>
          <w:r>
            <w:rPr>
              <w:rFonts w:hint="eastAsia" w:ascii="黑体" w:hAnsi="黑体" w:eastAsia="黑体" w:cs="黑体"/>
              <w:szCs w:val="21"/>
              <w:highlight w:val="none"/>
            </w:rPr>
            <w:t>4.3  污染状况调查</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_Toc3832 \h </w:instrText>
          </w:r>
          <w:r>
            <w:rPr>
              <w:rFonts w:hint="eastAsia" w:ascii="黑体" w:hAnsi="黑体" w:eastAsia="黑体" w:cs="黑体"/>
              <w:highlight w:val="none"/>
            </w:rPr>
            <w:fldChar w:fldCharType="separate"/>
          </w:r>
          <w:r>
            <w:rPr>
              <w:rFonts w:hint="eastAsia" w:ascii="黑体" w:hAnsi="黑体" w:eastAsia="黑体" w:cs="黑体"/>
              <w:highlight w:val="none"/>
            </w:rPr>
            <w:t>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1F4F1D3">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"_Toc10019" </w:instrText>
          </w:r>
          <w:r>
            <w:rPr>
              <w:rFonts w:hint="eastAsia" w:ascii="黑体" w:hAnsi="黑体" w:eastAsia="黑体" w:cs="黑体"/>
              <w:highlight w:val="none"/>
            </w:rPr>
            <w:fldChar w:fldCharType="separate"/>
          </w:r>
          <w:r>
            <w:rPr>
              <w:rFonts w:hint="eastAsia" w:ascii="黑体" w:hAnsi="黑体" w:eastAsia="黑体" w:cs="黑体"/>
              <w:szCs w:val="28"/>
              <w:highlight w:val="none"/>
            </w:rPr>
            <w:t>5  覆盖阻隔工程设计</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_Toc10019 \h </w:instrText>
          </w:r>
          <w:r>
            <w:rPr>
              <w:rFonts w:hint="eastAsia" w:ascii="黑体" w:hAnsi="黑体" w:eastAsia="黑体" w:cs="黑体"/>
              <w:highlight w:val="none"/>
            </w:rPr>
            <w:fldChar w:fldCharType="separate"/>
          </w:r>
          <w:r>
            <w:rPr>
              <w:rFonts w:hint="eastAsia" w:ascii="黑体" w:hAnsi="黑体" w:eastAsia="黑体" w:cs="黑体"/>
              <w:highlight w:val="none"/>
            </w:rPr>
            <w:t>7</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52B49160">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"_Toc32524" </w:instrText>
          </w:r>
          <w:r>
            <w:rPr>
              <w:rFonts w:hint="eastAsia" w:ascii="黑体" w:hAnsi="黑体" w:eastAsia="黑体" w:cs="黑体"/>
              <w:highlight w:val="none"/>
            </w:rPr>
            <w:fldChar w:fldCharType="separate"/>
          </w:r>
          <w:r>
            <w:rPr>
              <w:rFonts w:hint="eastAsia" w:ascii="黑体" w:hAnsi="黑体" w:eastAsia="黑体" w:cs="黑体"/>
              <w:szCs w:val="21"/>
              <w:highlight w:val="none"/>
            </w:rPr>
            <w:t>5.1  一 般 规 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_Toc32524 \h </w:instrText>
          </w:r>
          <w:r>
            <w:rPr>
              <w:rFonts w:hint="eastAsia" w:ascii="黑体" w:hAnsi="黑体" w:eastAsia="黑体" w:cs="黑体"/>
              <w:highlight w:val="none"/>
            </w:rPr>
            <w:fldChar w:fldCharType="separate"/>
          </w:r>
          <w:r>
            <w:rPr>
              <w:rFonts w:hint="eastAsia" w:ascii="黑体" w:hAnsi="黑体" w:eastAsia="黑体" w:cs="黑体"/>
              <w:highlight w:val="none"/>
            </w:rPr>
            <w:t>7</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38F07DE9">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"_Toc31238" </w:instrText>
          </w:r>
          <w:r>
            <w:rPr>
              <w:rFonts w:hint="eastAsia" w:ascii="黑体" w:hAnsi="黑体" w:eastAsia="黑体" w:cs="黑体"/>
              <w:highlight w:val="none"/>
            </w:rPr>
            <w:fldChar w:fldCharType="separate"/>
          </w:r>
          <w:r>
            <w:rPr>
              <w:rFonts w:hint="eastAsia" w:ascii="黑体" w:hAnsi="黑体" w:eastAsia="黑体" w:cs="黑体"/>
              <w:szCs w:val="21"/>
              <w:highlight w:val="none"/>
            </w:rPr>
            <w:t>5.2  覆盖阻隔屏障总体设计</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_Toc31238 \h </w:instrText>
          </w:r>
          <w:r>
            <w:rPr>
              <w:rFonts w:hint="eastAsia" w:ascii="黑体" w:hAnsi="黑体" w:eastAsia="黑体" w:cs="黑体"/>
              <w:highlight w:val="none"/>
            </w:rPr>
            <w:fldChar w:fldCharType="separate"/>
          </w:r>
          <w:r>
            <w:rPr>
              <w:rFonts w:hint="eastAsia" w:ascii="黑体" w:hAnsi="黑体" w:eastAsia="黑体" w:cs="黑体"/>
              <w:highlight w:val="none"/>
            </w:rPr>
            <w:t>7</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AE9BE35">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"_Toc5411" </w:instrText>
          </w:r>
          <w:r>
            <w:rPr>
              <w:rFonts w:hint="eastAsia" w:ascii="黑体" w:hAnsi="黑体" w:eastAsia="黑体" w:cs="黑体"/>
              <w:highlight w:val="none"/>
            </w:rPr>
            <w:fldChar w:fldCharType="separate"/>
          </w:r>
          <w:r>
            <w:rPr>
              <w:rFonts w:hint="eastAsia" w:ascii="黑体" w:hAnsi="黑体" w:eastAsia="黑体" w:cs="黑体"/>
              <w:szCs w:val="21"/>
              <w:highlight w:val="none"/>
            </w:rPr>
            <w:t>5.3  覆盖阻隔屏障防渗阻气层</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_Toc5411 \h </w:instrText>
          </w:r>
          <w:r>
            <w:rPr>
              <w:rFonts w:hint="eastAsia" w:ascii="黑体" w:hAnsi="黑体" w:eastAsia="黑体" w:cs="黑体"/>
              <w:highlight w:val="none"/>
            </w:rPr>
            <w:fldChar w:fldCharType="separate"/>
          </w:r>
          <w:r>
            <w:rPr>
              <w:rFonts w:hint="eastAsia" w:ascii="黑体" w:hAnsi="黑体" w:eastAsia="黑体" w:cs="黑体"/>
              <w:highlight w:val="none"/>
            </w:rPr>
            <w:t>7</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5FCF4C5C">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"_Toc8991" </w:instrText>
          </w:r>
          <w:r>
            <w:rPr>
              <w:rFonts w:hint="eastAsia" w:ascii="黑体" w:hAnsi="黑体" w:eastAsia="黑体" w:cs="黑体"/>
              <w:highlight w:val="none"/>
            </w:rPr>
            <w:fldChar w:fldCharType="separate"/>
          </w:r>
          <w:r>
            <w:rPr>
              <w:rFonts w:hint="eastAsia" w:ascii="黑体" w:hAnsi="黑体" w:eastAsia="黑体" w:cs="黑体"/>
              <w:szCs w:val="21"/>
              <w:highlight w:val="none"/>
            </w:rPr>
            <w:t>5.4  覆盖阻隔屏障排水层和排气层</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_Toc8991 \h </w:instrText>
          </w:r>
          <w:r>
            <w:rPr>
              <w:rFonts w:hint="eastAsia" w:ascii="黑体" w:hAnsi="黑体" w:eastAsia="黑体" w:cs="黑体"/>
              <w:highlight w:val="none"/>
            </w:rPr>
            <w:fldChar w:fldCharType="separate"/>
          </w:r>
          <w:r>
            <w:rPr>
              <w:rFonts w:hint="eastAsia" w:ascii="黑体" w:hAnsi="黑体" w:eastAsia="黑体" w:cs="黑体"/>
              <w:highlight w:val="none"/>
            </w:rPr>
            <w:t>9</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01F7673">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"_Toc4325" </w:instrText>
          </w:r>
          <w:r>
            <w:rPr>
              <w:rFonts w:hint="eastAsia" w:ascii="黑体" w:hAnsi="黑体" w:eastAsia="黑体" w:cs="黑体"/>
              <w:highlight w:val="none"/>
            </w:rPr>
            <w:fldChar w:fldCharType="separate"/>
          </w:r>
          <w:r>
            <w:rPr>
              <w:rFonts w:hint="eastAsia" w:ascii="黑体" w:hAnsi="黑体" w:eastAsia="黑体" w:cs="黑体"/>
              <w:szCs w:val="21"/>
              <w:highlight w:val="none"/>
            </w:rPr>
            <w:t>5.5  覆盖阻隔屏障植被层</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_Toc4325 \h </w:instrText>
          </w:r>
          <w:r>
            <w:rPr>
              <w:rFonts w:hint="eastAsia" w:ascii="黑体" w:hAnsi="黑体" w:eastAsia="黑体" w:cs="黑体"/>
              <w:highlight w:val="none"/>
            </w:rPr>
            <w:fldChar w:fldCharType="separate"/>
          </w:r>
          <w:r>
            <w:rPr>
              <w:rFonts w:hint="eastAsia" w:ascii="黑体" w:hAnsi="黑体" w:eastAsia="黑体" w:cs="黑体"/>
              <w:highlight w:val="none"/>
            </w:rPr>
            <w:t>9</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24B83B9">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"_Toc8018" </w:instrText>
          </w:r>
          <w:r>
            <w:rPr>
              <w:rFonts w:hint="eastAsia" w:ascii="黑体" w:hAnsi="黑体" w:eastAsia="黑体" w:cs="黑体"/>
              <w:highlight w:val="none"/>
            </w:rPr>
            <w:fldChar w:fldCharType="separate"/>
          </w:r>
          <w:r>
            <w:rPr>
              <w:rFonts w:hint="eastAsia" w:ascii="黑体" w:hAnsi="黑体" w:eastAsia="黑体" w:cs="黑体"/>
              <w:szCs w:val="21"/>
              <w:highlight w:val="none"/>
            </w:rPr>
            <w:t>5.6  击穿判别验算</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_Toc8018 \h </w:instrText>
          </w:r>
          <w:r>
            <w:rPr>
              <w:rFonts w:hint="eastAsia" w:ascii="黑体" w:hAnsi="黑体" w:eastAsia="黑体" w:cs="黑体"/>
              <w:highlight w:val="none"/>
            </w:rPr>
            <w:fldChar w:fldCharType="separate"/>
          </w:r>
          <w:r>
            <w:rPr>
              <w:rFonts w:hint="eastAsia" w:ascii="黑体" w:hAnsi="黑体" w:eastAsia="黑体" w:cs="黑体"/>
              <w:highlight w:val="none"/>
            </w:rPr>
            <w:t>10</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E81F05C">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"_Toc20477" </w:instrText>
          </w:r>
          <w:r>
            <w:rPr>
              <w:rFonts w:hint="eastAsia" w:ascii="黑体" w:hAnsi="黑体" w:eastAsia="黑体" w:cs="黑体"/>
              <w:highlight w:val="none"/>
            </w:rPr>
            <w:fldChar w:fldCharType="separate"/>
          </w:r>
          <w:r>
            <w:rPr>
              <w:rFonts w:hint="eastAsia" w:ascii="黑体" w:hAnsi="黑体" w:eastAsia="黑体" w:cs="黑体"/>
              <w:szCs w:val="21"/>
              <w:highlight w:val="none"/>
            </w:rPr>
            <w:t>5.7  覆盖阻隔屏障材料性能测试方法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_Toc20477 \h </w:instrText>
          </w:r>
          <w:r>
            <w:rPr>
              <w:rFonts w:hint="eastAsia" w:ascii="黑体" w:hAnsi="黑体" w:eastAsia="黑体" w:cs="黑体"/>
              <w:highlight w:val="none"/>
            </w:rPr>
            <w:fldChar w:fldCharType="separate"/>
          </w:r>
          <w:r>
            <w:rPr>
              <w:rFonts w:hint="eastAsia" w:ascii="黑体" w:hAnsi="黑体" w:eastAsia="黑体" w:cs="黑体"/>
              <w:highlight w:val="none"/>
            </w:rPr>
            <w:t>11</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25F5F679">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"_Toc16532" </w:instrText>
          </w:r>
          <w:r>
            <w:rPr>
              <w:rFonts w:hint="eastAsia" w:ascii="黑体" w:hAnsi="黑体" w:eastAsia="黑体" w:cs="黑体"/>
              <w:highlight w:val="none"/>
            </w:rPr>
            <w:fldChar w:fldCharType="separate"/>
          </w:r>
          <w:r>
            <w:rPr>
              <w:rFonts w:hint="eastAsia" w:ascii="黑体" w:hAnsi="黑体" w:eastAsia="黑体" w:cs="黑体"/>
              <w:szCs w:val="28"/>
              <w:highlight w:val="none"/>
            </w:rPr>
            <w:t>6  覆盖阻隔工程施工</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_Toc16532 \h </w:instrText>
          </w:r>
          <w:r>
            <w:rPr>
              <w:rFonts w:hint="eastAsia" w:ascii="黑体" w:hAnsi="黑体" w:eastAsia="黑体" w:cs="黑体"/>
              <w:highlight w:val="none"/>
            </w:rPr>
            <w:fldChar w:fldCharType="separate"/>
          </w:r>
          <w:r>
            <w:rPr>
              <w:rFonts w:hint="eastAsia" w:ascii="黑体" w:hAnsi="黑体" w:eastAsia="黑体" w:cs="黑体"/>
              <w:highlight w:val="none"/>
            </w:rPr>
            <w:t>13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7AF3AAD">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"_Toc25530" </w:instrText>
          </w:r>
          <w:r>
            <w:rPr>
              <w:rFonts w:hint="eastAsia" w:ascii="黑体" w:hAnsi="黑体" w:eastAsia="黑体" w:cs="黑体"/>
              <w:highlight w:val="none"/>
            </w:rPr>
            <w:fldChar w:fldCharType="separate"/>
          </w:r>
          <w:r>
            <w:rPr>
              <w:rFonts w:hint="eastAsia" w:ascii="黑体" w:hAnsi="黑体" w:eastAsia="黑体" w:cs="黑体"/>
              <w:szCs w:val="21"/>
              <w:highlight w:val="none"/>
            </w:rPr>
            <w:t>6.1  一 般 规 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_Toc25530 \h </w:instrText>
          </w:r>
          <w:r>
            <w:rPr>
              <w:rFonts w:hint="eastAsia" w:ascii="黑体" w:hAnsi="黑体" w:eastAsia="黑体" w:cs="黑体"/>
              <w:highlight w:val="none"/>
            </w:rPr>
            <w:fldChar w:fldCharType="separate"/>
          </w:r>
          <w:r>
            <w:rPr>
              <w:rFonts w:hint="eastAsia" w:ascii="黑体" w:hAnsi="黑体" w:eastAsia="黑体" w:cs="黑体"/>
              <w:highlight w:val="none"/>
            </w:rPr>
            <w:t>13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EB96972">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"_Toc25977" </w:instrText>
          </w:r>
          <w:r>
            <w:rPr>
              <w:rFonts w:hint="eastAsia" w:ascii="黑体" w:hAnsi="黑体" w:eastAsia="黑体" w:cs="黑体"/>
              <w:highlight w:val="none"/>
            </w:rPr>
            <w:fldChar w:fldCharType="separate"/>
          </w:r>
          <w:r>
            <w:rPr>
              <w:rFonts w:hint="eastAsia" w:ascii="黑体" w:hAnsi="黑体" w:eastAsia="黑体" w:cs="黑体"/>
              <w:szCs w:val="21"/>
              <w:highlight w:val="none"/>
            </w:rPr>
            <w:t>6.2  工艺性试验</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_Toc25977 \h </w:instrText>
          </w:r>
          <w:r>
            <w:rPr>
              <w:rFonts w:hint="eastAsia" w:ascii="黑体" w:hAnsi="黑体" w:eastAsia="黑体" w:cs="黑体"/>
              <w:highlight w:val="none"/>
            </w:rPr>
            <w:fldChar w:fldCharType="separate"/>
          </w:r>
          <w:r>
            <w:rPr>
              <w:rFonts w:hint="eastAsia" w:ascii="黑体" w:hAnsi="黑体" w:eastAsia="黑体" w:cs="黑体"/>
              <w:highlight w:val="none"/>
            </w:rPr>
            <w:t>14</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3B105902">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"_Toc213" </w:instrText>
          </w:r>
          <w:r>
            <w:rPr>
              <w:rFonts w:hint="eastAsia" w:ascii="黑体" w:hAnsi="黑体" w:eastAsia="黑体" w:cs="黑体"/>
              <w:highlight w:val="none"/>
            </w:rPr>
            <w:fldChar w:fldCharType="separate"/>
          </w:r>
          <w:r>
            <w:rPr>
              <w:rFonts w:hint="eastAsia" w:ascii="黑体" w:hAnsi="黑体" w:eastAsia="黑体" w:cs="黑体"/>
              <w:szCs w:val="21"/>
              <w:highlight w:val="none"/>
            </w:rPr>
            <w:t>6.3  施 工 方 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_Toc213 \h </w:instrText>
          </w:r>
          <w:r>
            <w:rPr>
              <w:rFonts w:hint="eastAsia" w:ascii="黑体" w:hAnsi="黑体" w:eastAsia="黑体" w:cs="黑体"/>
              <w:highlight w:val="none"/>
            </w:rPr>
            <w:fldChar w:fldCharType="separate"/>
          </w:r>
          <w:r>
            <w:rPr>
              <w:rFonts w:hint="eastAsia" w:ascii="黑体" w:hAnsi="黑体" w:eastAsia="黑体" w:cs="黑体"/>
              <w:highlight w:val="none"/>
            </w:rPr>
            <w:t>14</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500BBC31">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"_Toc26219" </w:instrText>
          </w:r>
          <w:r>
            <w:rPr>
              <w:rFonts w:hint="eastAsia" w:ascii="黑体" w:hAnsi="黑体" w:eastAsia="黑体" w:cs="黑体"/>
              <w:highlight w:val="none"/>
            </w:rPr>
            <w:fldChar w:fldCharType="separate"/>
          </w:r>
          <w:r>
            <w:rPr>
              <w:rFonts w:hint="eastAsia" w:ascii="黑体" w:hAnsi="黑体" w:eastAsia="黑体" w:cs="黑体"/>
              <w:szCs w:val="21"/>
              <w:highlight w:val="none"/>
            </w:rPr>
            <w:t>6.4  施工质量控制</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_Toc26219 \h </w:instrText>
          </w:r>
          <w:r>
            <w:rPr>
              <w:rFonts w:hint="eastAsia" w:ascii="黑体" w:hAnsi="黑体" w:eastAsia="黑体" w:cs="黑体"/>
              <w:highlight w:val="none"/>
            </w:rPr>
            <w:fldChar w:fldCharType="separate"/>
          </w:r>
          <w:r>
            <w:rPr>
              <w:rFonts w:hint="eastAsia" w:ascii="黑体" w:hAnsi="黑体" w:eastAsia="黑体" w:cs="黑体"/>
              <w:highlight w:val="none"/>
            </w:rPr>
            <w:t>16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0949432">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"_Toc605" </w:instrText>
          </w:r>
          <w:r>
            <w:rPr>
              <w:rFonts w:hint="eastAsia" w:ascii="黑体" w:hAnsi="黑体" w:eastAsia="黑体" w:cs="黑体"/>
              <w:highlight w:val="none"/>
            </w:rPr>
            <w:fldChar w:fldCharType="separate"/>
          </w:r>
          <w:r>
            <w:rPr>
              <w:rFonts w:hint="eastAsia" w:ascii="黑体" w:hAnsi="黑体" w:eastAsia="黑体" w:cs="黑体"/>
              <w:szCs w:val="28"/>
              <w:highlight w:val="none"/>
            </w:rPr>
            <w:t>7  工程效果评估及工后监测</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_Toc605 \h </w:instrText>
          </w:r>
          <w:r>
            <w:rPr>
              <w:rFonts w:hint="eastAsia" w:ascii="黑体" w:hAnsi="黑体" w:eastAsia="黑体" w:cs="黑体"/>
              <w:highlight w:val="none"/>
            </w:rPr>
            <w:fldChar w:fldCharType="separate"/>
          </w:r>
          <w:r>
            <w:rPr>
              <w:rFonts w:hint="eastAsia" w:ascii="黑体" w:hAnsi="黑体" w:eastAsia="黑体" w:cs="黑体"/>
              <w:highlight w:val="none"/>
            </w:rPr>
            <w:t>18</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8C50139">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"_Toc11610" </w:instrText>
          </w:r>
          <w:r>
            <w:rPr>
              <w:rFonts w:hint="eastAsia" w:ascii="黑体" w:hAnsi="黑体" w:eastAsia="黑体" w:cs="黑体"/>
              <w:highlight w:val="none"/>
            </w:rPr>
            <w:fldChar w:fldCharType="separate"/>
          </w:r>
          <w:r>
            <w:rPr>
              <w:rFonts w:hint="eastAsia" w:ascii="黑体" w:hAnsi="黑体" w:eastAsia="黑体" w:cs="黑体"/>
              <w:szCs w:val="21"/>
              <w:highlight w:val="none"/>
            </w:rPr>
            <w:t>7.1  一 般 规 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_Toc11610 \h </w:instrText>
          </w:r>
          <w:r>
            <w:rPr>
              <w:rFonts w:hint="eastAsia" w:ascii="黑体" w:hAnsi="黑体" w:eastAsia="黑体" w:cs="黑体"/>
              <w:highlight w:val="none"/>
            </w:rPr>
            <w:fldChar w:fldCharType="separate"/>
          </w:r>
          <w:r>
            <w:rPr>
              <w:rFonts w:hint="eastAsia" w:ascii="黑体" w:hAnsi="黑体" w:eastAsia="黑体" w:cs="黑体"/>
              <w:highlight w:val="none"/>
            </w:rPr>
            <w:t>18</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E1F6F58">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"_Toc16665" </w:instrText>
          </w:r>
          <w:r>
            <w:rPr>
              <w:rFonts w:hint="eastAsia" w:ascii="黑体" w:hAnsi="黑体" w:eastAsia="黑体" w:cs="黑体"/>
              <w:highlight w:val="none"/>
            </w:rPr>
            <w:fldChar w:fldCharType="separate"/>
          </w:r>
          <w:r>
            <w:rPr>
              <w:rFonts w:hint="eastAsia" w:ascii="黑体" w:hAnsi="黑体" w:eastAsia="黑体" w:cs="黑体"/>
              <w:szCs w:val="21"/>
              <w:highlight w:val="none"/>
            </w:rPr>
            <w:t>7.2  工程效果评估</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_Toc16665 \h </w:instrText>
          </w:r>
          <w:r>
            <w:rPr>
              <w:rFonts w:hint="eastAsia" w:ascii="黑体" w:hAnsi="黑体" w:eastAsia="黑体" w:cs="黑体"/>
              <w:highlight w:val="none"/>
            </w:rPr>
            <w:fldChar w:fldCharType="separate"/>
          </w:r>
          <w:r>
            <w:rPr>
              <w:rFonts w:hint="eastAsia" w:ascii="黑体" w:hAnsi="黑体" w:eastAsia="黑体" w:cs="黑体"/>
              <w:highlight w:val="none"/>
            </w:rPr>
            <w:t>18</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1D4F249">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"_Toc21539" </w:instrText>
          </w:r>
          <w:r>
            <w:rPr>
              <w:rFonts w:hint="eastAsia" w:ascii="黑体" w:hAnsi="黑体" w:eastAsia="黑体" w:cs="黑体"/>
              <w:highlight w:val="none"/>
            </w:rPr>
            <w:fldChar w:fldCharType="separate"/>
          </w:r>
          <w:r>
            <w:rPr>
              <w:rFonts w:hint="eastAsia" w:ascii="黑体" w:hAnsi="黑体" w:eastAsia="黑体" w:cs="黑体"/>
              <w:szCs w:val="21"/>
              <w:highlight w:val="none"/>
            </w:rPr>
            <w:t>7.3  工 后 监 测</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_Toc21539 \h </w:instrText>
          </w:r>
          <w:r>
            <w:rPr>
              <w:rFonts w:hint="eastAsia" w:ascii="黑体" w:hAnsi="黑体" w:eastAsia="黑体" w:cs="黑体"/>
              <w:highlight w:val="none"/>
            </w:rPr>
            <w:fldChar w:fldCharType="separate"/>
          </w:r>
          <w:r>
            <w:rPr>
              <w:rFonts w:hint="eastAsia" w:ascii="黑体" w:hAnsi="黑体" w:eastAsia="黑体" w:cs="黑体"/>
              <w:highlight w:val="none"/>
            </w:rPr>
            <w:t>20</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B2A77C7">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"_Toc19170" </w:instrText>
          </w:r>
          <w:r>
            <w:rPr>
              <w:rFonts w:hint="eastAsia" w:ascii="黑体" w:hAnsi="黑体" w:eastAsia="黑体" w:cs="黑体"/>
              <w:highlight w:val="none"/>
            </w:rPr>
            <w:fldChar w:fldCharType="separate"/>
          </w:r>
          <w:r>
            <w:rPr>
              <w:rFonts w:hint="eastAsia" w:ascii="黑体" w:hAnsi="黑体" w:eastAsia="黑体" w:cs="黑体"/>
              <w:szCs w:val="28"/>
              <w:highlight w:val="none"/>
            </w:rPr>
            <w:t>附录A  覆盖阻隔设计方案</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_Toc19170 \h </w:instrText>
          </w:r>
          <w:r>
            <w:rPr>
              <w:rFonts w:hint="eastAsia" w:ascii="黑体" w:hAnsi="黑体" w:eastAsia="黑体" w:cs="黑体"/>
              <w:highlight w:val="none"/>
            </w:rPr>
            <w:fldChar w:fldCharType="separate"/>
          </w:r>
          <w:r>
            <w:rPr>
              <w:rFonts w:hint="eastAsia" w:ascii="黑体" w:hAnsi="黑体" w:eastAsia="黑体" w:cs="黑体"/>
              <w:highlight w:val="none"/>
            </w:rPr>
            <w:t>22</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63E4F58D">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"_Toc18179" </w:instrText>
          </w:r>
          <w:r>
            <w:rPr>
              <w:rFonts w:hint="eastAsia" w:ascii="黑体" w:hAnsi="黑体" w:eastAsia="黑体" w:cs="黑体"/>
              <w:highlight w:val="none"/>
            </w:rPr>
            <w:fldChar w:fldCharType="separate"/>
          </w:r>
          <w:r>
            <w:rPr>
              <w:rFonts w:hint="eastAsia" w:ascii="黑体" w:hAnsi="黑体" w:eastAsia="黑体" w:cs="黑体"/>
              <w:szCs w:val="28"/>
              <w:highlight w:val="none"/>
            </w:rPr>
            <w:t>附录B  覆盖阻隔材料性能测试方法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_Toc18179 \h </w:instrText>
          </w:r>
          <w:r>
            <w:rPr>
              <w:rFonts w:hint="eastAsia" w:ascii="黑体" w:hAnsi="黑体" w:eastAsia="黑体" w:cs="黑体"/>
              <w:highlight w:val="none"/>
            </w:rPr>
            <w:fldChar w:fldCharType="separate"/>
          </w:r>
          <w:r>
            <w:rPr>
              <w:rFonts w:hint="eastAsia" w:ascii="黑体" w:hAnsi="黑体" w:eastAsia="黑体" w:cs="黑体"/>
              <w:highlight w:val="none"/>
            </w:rPr>
            <w:t>23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65654A30">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"_Toc8629" </w:instrText>
          </w:r>
          <w:r>
            <w:rPr>
              <w:rFonts w:hint="eastAsia" w:ascii="黑体" w:hAnsi="黑体" w:eastAsia="黑体" w:cs="黑体"/>
              <w:highlight w:val="none"/>
            </w:rPr>
            <w:fldChar w:fldCharType="separate"/>
          </w:r>
          <w:r>
            <w:rPr>
              <w:rFonts w:hint="eastAsia" w:ascii="黑体" w:hAnsi="黑体" w:eastAsia="黑体" w:cs="黑体"/>
              <w:szCs w:val="28"/>
              <w:highlight w:val="none"/>
            </w:rPr>
            <w:t>附录C  工程效果评估工作记录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_Toc8629 \h </w:instrText>
          </w:r>
          <w:r>
            <w:rPr>
              <w:rFonts w:hint="eastAsia" w:ascii="黑体" w:hAnsi="黑体" w:eastAsia="黑体" w:cs="黑体"/>
              <w:highlight w:val="none"/>
            </w:rPr>
            <w:fldChar w:fldCharType="separate"/>
          </w:r>
          <w:r>
            <w:rPr>
              <w:rFonts w:hint="eastAsia" w:ascii="黑体" w:hAnsi="黑体" w:eastAsia="黑体" w:cs="黑体"/>
              <w:highlight w:val="none"/>
            </w:rPr>
            <w:t>24</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8E41A3F">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"_Toc5072" </w:instrText>
          </w:r>
          <w:r>
            <w:rPr>
              <w:rFonts w:hint="eastAsia" w:ascii="黑体" w:hAnsi="黑体" w:eastAsia="黑体" w:cs="黑体"/>
              <w:highlight w:val="none"/>
            </w:rPr>
            <w:fldChar w:fldCharType="separate"/>
          </w:r>
          <w:r>
            <w:rPr>
              <w:rFonts w:hint="eastAsia" w:ascii="黑体" w:hAnsi="黑体" w:eastAsia="黑体" w:cs="黑体"/>
              <w:szCs w:val="28"/>
              <w:highlight w:val="none"/>
            </w:rPr>
            <w:t>附录D  工程效果评估报告</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_Toc5072 \h </w:instrText>
          </w:r>
          <w:r>
            <w:rPr>
              <w:rFonts w:hint="eastAsia" w:ascii="黑体" w:hAnsi="黑体" w:eastAsia="黑体" w:cs="黑体"/>
              <w:highlight w:val="none"/>
            </w:rPr>
            <w:fldChar w:fldCharType="separate"/>
          </w:r>
          <w:r>
            <w:rPr>
              <w:rFonts w:hint="eastAsia" w:ascii="黑体" w:hAnsi="黑体" w:eastAsia="黑体" w:cs="黑体"/>
              <w:highlight w:val="none"/>
            </w:rPr>
            <w:t>25</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63B97CBF">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_Toc10395 </w:instrText>
          </w:r>
          <w:r>
            <w:rPr>
              <w:rFonts w:hint="eastAsia" w:ascii="黑体" w:hAnsi="黑体" w:eastAsia="黑体" w:cs="黑体"/>
              <w:highlight w:val="none"/>
            </w:rPr>
            <w:fldChar w:fldCharType="separate"/>
          </w:r>
          <w:r>
            <w:rPr>
              <w:rFonts w:hint="eastAsia" w:ascii="黑体" w:hAnsi="黑体" w:eastAsia="黑体" w:cs="黑体"/>
              <w:szCs w:val="28"/>
              <w:highlight w:val="none"/>
            </w:rPr>
            <w:t>附录</w:t>
          </w:r>
          <w:r>
            <w:rPr>
              <w:rFonts w:ascii="黑体" w:hAnsi="黑体" w:eastAsia="黑体" w:cs="黑体"/>
              <w:szCs w:val="28"/>
              <w:highlight w:val="none"/>
            </w:rPr>
            <w:t>E</w:t>
          </w:r>
          <w:r>
            <w:rPr>
              <w:rFonts w:hint="eastAsia" w:ascii="黑体" w:hAnsi="黑体" w:eastAsia="黑体" w:cs="黑体"/>
              <w:szCs w:val="28"/>
              <w:highlight w:val="none"/>
            </w:rPr>
            <w:t xml:space="preserve">  土壤气体监测井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_Toc10395 \h </w:instrText>
          </w:r>
          <w:r>
            <w:rPr>
              <w:rFonts w:hint="eastAsia" w:ascii="黑体" w:hAnsi="黑体" w:eastAsia="黑体" w:cs="黑体"/>
              <w:highlight w:val="none"/>
            </w:rPr>
            <w:fldChar w:fldCharType="separate"/>
          </w:r>
          <w:r>
            <w:rPr>
              <w:rFonts w:hint="eastAsia" w:ascii="黑体" w:hAnsi="黑体" w:eastAsia="黑体" w:cs="黑体"/>
              <w:highlight w:val="none"/>
            </w:rPr>
            <w:t>26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68E01A29">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"_Toc5074" </w:instrText>
          </w:r>
          <w:r>
            <w:rPr>
              <w:rFonts w:hint="eastAsia" w:ascii="黑体" w:hAnsi="黑体" w:eastAsia="黑体" w:cs="黑体"/>
              <w:highlight w:val="none"/>
            </w:rPr>
            <w:fldChar w:fldCharType="separate"/>
          </w:r>
          <w:r>
            <w:rPr>
              <w:rFonts w:hint="eastAsia" w:ascii="黑体" w:hAnsi="黑体" w:eastAsia="黑体" w:cs="黑体"/>
              <w:szCs w:val="28"/>
              <w:highlight w:val="none"/>
            </w:rPr>
            <w:t>附录</w:t>
          </w:r>
          <w:r>
            <w:rPr>
              <w:rFonts w:ascii="黑体" w:hAnsi="黑体" w:eastAsia="黑体" w:cs="黑体"/>
              <w:szCs w:val="28"/>
              <w:highlight w:val="none"/>
            </w:rPr>
            <w:t>F</w:t>
          </w:r>
          <w:r>
            <w:rPr>
              <w:rFonts w:hint="eastAsia" w:ascii="黑体" w:hAnsi="黑体" w:eastAsia="黑体" w:cs="黑体"/>
              <w:szCs w:val="28"/>
              <w:highlight w:val="none"/>
            </w:rPr>
            <w:t xml:space="preserve">  工后监测记录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_Toc5074 \h </w:instrText>
          </w:r>
          <w:r>
            <w:rPr>
              <w:rFonts w:hint="eastAsia" w:ascii="黑体" w:hAnsi="黑体" w:eastAsia="黑体" w:cs="黑体"/>
              <w:highlight w:val="none"/>
            </w:rPr>
            <w:fldChar w:fldCharType="separate"/>
          </w:r>
          <w:r>
            <w:rPr>
              <w:rFonts w:hint="eastAsia" w:ascii="黑体" w:hAnsi="黑体" w:eastAsia="黑体" w:cs="黑体"/>
              <w:highlight w:val="none"/>
            </w:rPr>
            <w:t>27</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F838994">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"_Toc21659" </w:instrText>
          </w:r>
          <w:r>
            <w:rPr>
              <w:rFonts w:hint="eastAsia" w:ascii="黑体" w:hAnsi="黑体" w:eastAsia="黑体" w:cs="黑体"/>
              <w:highlight w:val="none"/>
            </w:rPr>
            <w:fldChar w:fldCharType="separate"/>
          </w:r>
          <w:r>
            <w:rPr>
              <w:rFonts w:hint="eastAsia" w:ascii="黑体" w:hAnsi="黑体" w:eastAsia="黑体" w:cs="黑体"/>
              <w:szCs w:val="28"/>
              <w:highlight w:val="none"/>
            </w:rPr>
            <w:t>本规范用词说明</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_Toc21659 \h </w:instrText>
          </w:r>
          <w:r>
            <w:rPr>
              <w:rFonts w:hint="eastAsia" w:ascii="黑体" w:hAnsi="黑体" w:eastAsia="黑体" w:cs="黑体"/>
              <w:highlight w:val="none"/>
            </w:rPr>
            <w:fldChar w:fldCharType="separate"/>
          </w:r>
          <w:r>
            <w:rPr>
              <w:rFonts w:hint="eastAsia" w:ascii="黑体" w:hAnsi="黑体" w:eastAsia="黑体" w:cs="黑体"/>
              <w:highlight w:val="none"/>
            </w:rPr>
            <w:t>28</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6E2BEBB6">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"_Toc19812" </w:instrText>
          </w:r>
          <w:r>
            <w:rPr>
              <w:rFonts w:hint="eastAsia" w:ascii="黑体" w:hAnsi="黑体" w:eastAsia="黑体" w:cs="黑体"/>
              <w:highlight w:val="none"/>
            </w:rPr>
            <w:fldChar w:fldCharType="separate"/>
          </w:r>
          <w:r>
            <w:rPr>
              <w:rFonts w:hint="eastAsia" w:ascii="黑体" w:hAnsi="黑体" w:eastAsia="黑体" w:cs="黑体"/>
              <w:szCs w:val="28"/>
              <w:highlight w:val="none"/>
            </w:rPr>
            <w:t>引用标准名录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_Toc19812 \h </w:instrText>
          </w:r>
          <w:r>
            <w:rPr>
              <w:rFonts w:hint="eastAsia" w:ascii="黑体" w:hAnsi="黑体" w:eastAsia="黑体" w:cs="黑体"/>
              <w:highlight w:val="none"/>
            </w:rPr>
            <w:fldChar w:fldCharType="separate"/>
          </w:r>
          <w:r>
            <w:rPr>
              <w:rFonts w:hint="eastAsia" w:ascii="黑体" w:hAnsi="黑体" w:eastAsia="黑体" w:cs="黑体"/>
              <w:highlight w:val="none"/>
            </w:rPr>
            <w:t>29</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01ED6A74">
          <w:pPr>
            <w:pStyle w:val="9"/>
            <w:tabs>
              <w:tab w:val="right" w:leader="dot" w:pos="8306"/>
            </w:tabs>
            <w:rPr>
              <w:rFonts w:hint="eastAsia" w:ascii="黑体" w:hAnsi="黑体" w:eastAsia="黑体" w:cs="黑体"/>
              <w:highlight w:val="none"/>
            </w:rPr>
          </w:pPr>
        </w:p>
        <w:p w14:paraId="5C0AEF35">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t>附：</w:t>
          </w: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_Toc10823 </w:instrText>
          </w:r>
          <w:r>
            <w:rPr>
              <w:rFonts w:hint="eastAsia" w:ascii="黑体" w:hAnsi="黑体" w:eastAsia="黑体" w:cs="黑体"/>
              <w:highlight w:val="none"/>
            </w:rPr>
            <w:fldChar w:fldCharType="separate"/>
          </w:r>
          <w:r>
            <w:rPr>
              <w:rFonts w:hint="eastAsia" w:ascii="黑体" w:hAnsi="黑体" w:eastAsia="黑体" w:cs="黑体"/>
              <w:szCs w:val="44"/>
              <w:highlight w:val="none"/>
            </w:rPr>
            <w:t>条 文 说 明</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_Toc10823 \h </w:instrText>
          </w:r>
          <w:r>
            <w:rPr>
              <w:rFonts w:hint="eastAsia" w:ascii="黑体" w:hAnsi="黑体" w:eastAsia="黑体" w:cs="黑体"/>
              <w:highlight w:val="none"/>
            </w:rPr>
            <w:fldChar w:fldCharType="separate"/>
          </w:r>
          <w:r>
            <w:rPr>
              <w:rFonts w:hint="eastAsia" w:ascii="黑体" w:hAnsi="黑体" w:eastAsia="黑体" w:cs="黑体"/>
              <w:highlight w:val="none"/>
            </w:rPr>
            <w:t>30</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561D201D">
          <w:pPr>
            <w:rPr>
              <w:rFonts w:hint="eastAsia" w:ascii="黑体" w:hAnsi="黑体" w:eastAsia="黑体" w:cs="黑体"/>
              <w:highlight w:val="none"/>
            </w:rPr>
          </w:pPr>
          <w:r>
            <w:rPr>
              <w:rFonts w:hint="eastAsia" w:ascii="黑体" w:hAnsi="黑体" w:eastAsia="黑体" w:cs="黑体"/>
              <w:highlight w:val="none"/>
            </w:rPr>
            <w:fldChar w:fldCharType="end"/>
          </w:r>
        </w:p>
      </w:sdtContent>
    </w:sdt>
    <w:bookmarkEnd w:id="8"/>
    <w:p w14:paraId="1C1D0FCC">
      <w:pPr>
        <w:snapToGrid w:val="0"/>
        <w:spacing w:line="360" w:lineRule="auto"/>
        <w:outlineLvl w:val="0"/>
        <w:rPr>
          <w:rFonts w:ascii="黑体" w:hAnsi="黑体" w:eastAsia="黑体" w:cs="黑体"/>
          <w:sz w:val="28"/>
          <w:szCs w:val="28"/>
          <w:highlight w:val="none"/>
        </w:rPr>
        <w:sectPr>
          <w:footerReference r:id="rId7" w:type="default"/>
          <w:footerReference r:id="rId8" w:type="even"/>
          <w:pgSz w:w="11906" w:h="16838"/>
          <w:pgMar w:top="1440" w:right="1800" w:bottom="1440" w:left="1800" w:header="851" w:footer="992" w:gutter="0"/>
          <w:pgNumType w:start="1"/>
          <w:cols w:space="425" w:num="1"/>
          <w:docGrid w:type="lines" w:linePitch="312" w:charSpace="0"/>
        </w:sectPr>
      </w:pPr>
    </w:p>
    <w:sdt>
      <w:sdtPr>
        <w:rPr>
          <w:rFonts w:hint="eastAsia" w:ascii="黑体" w:hAnsi="黑体" w:eastAsia="黑体" w:cs="黑体"/>
          <w:highlight w:val="none"/>
        </w:rPr>
        <w:id w:val="147456206"/>
        <w15:color w:val="DBDBDB"/>
        <w:docPartObj>
          <w:docPartGallery w:val="Table of Contents"/>
          <w:docPartUnique/>
        </w:docPartObj>
      </w:sdtPr>
      <w:sdtEndPr>
        <w:rPr>
          <w:rFonts w:hint="eastAsia" w:ascii="黑体" w:hAnsi="黑体" w:eastAsia="黑体" w:cs="黑体"/>
          <w:b/>
          <w:highlight w:val="none"/>
        </w:rPr>
      </w:sdtEndPr>
      <w:sdtContent>
        <w:p w14:paraId="0BB3CD4D">
          <w:pPr>
            <w:jc w:val="center"/>
            <w:rPr>
              <w:rFonts w:hint="default" w:ascii="Times New Roman" w:hAnsi="Times New Roman" w:eastAsia="黑体" w:cs="Times New Roman"/>
              <w:b/>
              <w:bCs/>
              <w:sz w:val="28"/>
              <w:szCs w:val="32"/>
              <w:highlight w:val="none"/>
            </w:rPr>
          </w:pPr>
          <w:r>
            <w:rPr>
              <w:rFonts w:hint="default" w:ascii="Times New Roman" w:hAnsi="Times New Roman" w:eastAsia="黑体" w:cs="Times New Roman"/>
              <w:b/>
              <w:bCs/>
              <w:sz w:val="28"/>
              <w:szCs w:val="32"/>
              <w:highlight w:val="none"/>
            </w:rPr>
            <w:t>Content</w:t>
          </w:r>
        </w:p>
        <w:p w14:paraId="18CFB2D8">
          <w:pPr>
            <w:jc w:val="center"/>
            <w:rPr>
              <w:rFonts w:hint="default" w:ascii="Times New Roman" w:hAnsi="Times New Roman" w:eastAsia="黑体" w:cs="Times New Roman"/>
              <w:b/>
              <w:bCs/>
              <w:highlight w:val="none"/>
            </w:rPr>
          </w:pPr>
        </w:p>
        <w:p w14:paraId="16F93354">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TOC \o "1-2" \h \u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"_Toc23928"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1  General provisions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_Toc23928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C2431DD">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"_Toc31818"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2  Terms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_Toc31818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7E69F2F">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"_Toc19266"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3  Basic requirements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_Toc19266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4</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3A81DD0">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"_Toc2435"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4  Site investigation</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_Toc2435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5</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53A9F25C">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"_Toc1267"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4.1  General requirements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_Toc1267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5</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52EAA0D3">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"_Toc2302"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4.2  Site investigation of geotechnical engineering</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_Toc2302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5</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0C7D23A2">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"_Toc3832"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4.3  Investigation on soil contamination</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_Toc3832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6</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2654DE3E">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"_Toc10019"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5  Project design</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_Toc10019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7</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739E8710">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"_Toc32524"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 xml:space="preserve">5.1  </w:t>
          </w:r>
          <w:bookmarkStart w:id="9" w:name="OLE_LINK26"/>
          <w:r>
            <w:rPr>
              <w:rFonts w:hint="default" w:ascii="Times New Roman" w:hAnsi="Times New Roman" w:eastAsia="黑体" w:cs="Times New Roman"/>
              <w:szCs w:val="21"/>
              <w:highlight w:val="none"/>
            </w:rPr>
            <w:t>General requirements</w:t>
          </w:r>
          <w:bookmarkEnd w:id="9"/>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_Toc32524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7</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667760E3">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"_Toc31238"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5.2  General design</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_Toc31238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7</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02E0269D">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"_Toc5411"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5.3  Impermeable layer</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_Toc5411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7</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29129B1A">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"_Toc8991"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5.4  Drainage layer and gas venting layer</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_Toc8991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9</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83290CB">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"_Toc4325"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5.5  Vegetation soil layer</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_Toc4325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9</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7DFA0422">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"_Toc8018"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5.6  Breakthrough checking</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_Toc8018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10</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7F34107B">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"_Toc20477"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 xml:space="preserve">5.7  </w:t>
          </w:r>
          <w:bookmarkStart w:id="10" w:name="OLE_LINK27"/>
          <w:r>
            <w:rPr>
              <w:rFonts w:hint="default" w:ascii="Times New Roman" w:hAnsi="Times New Roman" w:eastAsia="黑体" w:cs="Times New Roman"/>
              <w:szCs w:val="21"/>
              <w:highlight w:val="none"/>
            </w:rPr>
            <w:t>Test methods for material properties</w:t>
          </w:r>
          <w:bookmarkEnd w:id="10"/>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_Toc20477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11</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3F6CEC78">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"_Toc16532"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6  Construction</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_Toc16532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13</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133305BB">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"_Toc25530"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6.1  General requirements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_Toc25530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13</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508C1A3A">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"_Toc25977"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6.2  Technological tests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_Toc25977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14</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31333CA3">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"_Toc213"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6.3  Construction methods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_Toc213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14</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72689F12">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"_Toc26219"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6.4  Construction quality control</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_Toc26219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16</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0916FA1C">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"_Toc605"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 xml:space="preserve">7  </w:t>
          </w:r>
          <w:bookmarkStart w:id="11" w:name="OLE_LINK28"/>
          <w:r>
            <w:rPr>
              <w:rFonts w:hint="default" w:ascii="Times New Roman" w:hAnsi="Times New Roman" w:eastAsia="黑体" w:cs="Times New Roman"/>
              <w:szCs w:val="28"/>
              <w:highlight w:val="none"/>
            </w:rPr>
            <w:t>Project evaluation</w:t>
          </w:r>
          <w:bookmarkEnd w:id="11"/>
          <w:r>
            <w:rPr>
              <w:rFonts w:hint="default" w:ascii="Times New Roman" w:hAnsi="Times New Roman" w:eastAsia="黑体" w:cs="Times New Roman"/>
              <w:szCs w:val="28"/>
              <w:highlight w:val="none"/>
            </w:rPr>
            <w:t xml:space="preserve"> and monitoring</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_Toc605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18</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23715BC4">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"_Toc11610"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7.1  General requirements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_Toc11610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18</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5759E67E">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"_Toc16665"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7.2  Project evaluation</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_Toc16665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18</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2127B269">
          <w:pPr>
            <w:pStyle w:val="10"/>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"_Toc21539"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1"/>
              <w:highlight w:val="none"/>
            </w:rPr>
            <w:t>7.3  Post-construction monitoring</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_Toc21539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20</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AAF46EE">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"_Toc19170" </w:instrText>
          </w:r>
          <w:r>
            <w:rPr>
              <w:rFonts w:hint="default" w:ascii="Times New Roman" w:hAnsi="Times New Roman" w:eastAsia="黑体" w:cs="Times New Roman"/>
              <w:highlight w:val="none"/>
            </w:rPr>
            <w:fldChar w:fldCharType="separate"/>
          </w:r>
          <w:bookmarkStart w:id="12" w:name="OLE_LINK29"/>
          <w:r>
            <w:rPr>
              <w:rFonts w:hint="default" w:ascii="Times New Roman" w:hAnsi="Times New Roman" w:eastAsia="黑体" w:cs="Times New Roman"/>
              <w:szCs w:val="28"/>
              <w:highlight w:val="none"/>
            </w:rPr>
            <w:t>Appendix</w:t>
          </w:r>
          <w:bookmarkEnd w:id="12"/>
          <w:r>
            <w:rPr>
              <w:rFonts w:hint="default" w:ascii="Times New Roman" w:hAnsi="Times New Roman" w:eastAsia="黑体" w:cs="Times New Roman"/>
              <w:szCs w:val="28"/>
              <w:highlight w:val="none"/>
            </w:rPr>
            <w:t xml:space="preserve"> A  Project design scheme</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_Toc19170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22</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370FFDA2">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"_Toc18179"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 xml:space="preserve">Appendix B  </w:t>
          </w:r>
          <w:r>
            <w:rPr>
              <w:rFonts w:hint="default" w:ascii="Times New Roman" w:hAnsi="Times New Roman" w:eastAsia="黑体" w:cs="Times New Roman"/>
              <w:szCs w:val="21"/>
              <w:highlight w:val="none"/>
            </w:rPr>
            <w:t>Test methods for material properties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_Toc18179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23</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F7EEB85">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"_Toc8629"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Appendix C  Project evaluation record</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_Toc8629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24</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72D40544">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"_Toc5072"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Appendix D  Project evaluation report</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_Toc5072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25</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12E26EC5">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"_Toc10395"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Appendix E  Soil gas monitoring well</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_Toc10395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26</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B0111B4">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"_Toc5074"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Appendix F  Project evaluation record</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_Toc5074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27</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4238BCFE">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"_Toc21659"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Explanations of wording in this code</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_Toc21659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28</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371AA391">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"_Toc19812"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28"/>
              <w:highlight w:val="none"/>
            </w:rPr>
            <w:t>List of quoted standards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_Toc19812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29</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2525E483">
          <w:pPr>
            <w:pStyle w:val="9"/>
            <w:tabs>
              <w:tab w:val="right" w:leader="dot" w:pos="8306"/>
            </w:tabs>
            <w:rPr>
              <w:rFonts w:hint="default" w:ascii="Times New Roman" w:hAnsi="Times New Roman" w:eastAsia="黑体" w:cs="Times New Roman"/>
              <w:highlight w:val="none"/>
            </w:rPr>
          </w:pPr>
        </w:p>
        <w:p w14:paraId="30493601">
          <w:pPr>
            <w:pStyle w:val="9"/>
            <w:tabs>
              <w:tab w:val="right" w:leader="dot" w:pos="8306"/>
            </w:tabs>
            <w:rPr>
              <w:rFonts w:hint="default" w:ascii="Times New Roman" w:hAnsi="Times New Roman" w:eastAsia="黑体" w:cs="Times New Roman"/>
              <w:highlight w:val="none"/>
            </w:rPr>
          </w:pPr>
          <w:r>
            <w:rPr>
              <w:rFonts w:hint="default" w:ascii="Times New Roman" w:hAnsi="Times New Roman" w:eastAsia="黑体" w:cs="Times New Roman"/>
              <w:highlight w:val="none"/>
            </w:rPr>
            <w:t>Addition：</w:t>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"_Toc10823"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szCs w:val="44"/>
              <w:highlight w:val="none"/>
            </w:rPr>
            <w:t>Explanation of provisions</w:t>
          </w:r>
          <w:r>
            <w:rPr>
              <w:rFonts w:hint="default" w:ascii="Times New Roman" w:hAnsi="Times New Roman" w:eastAsia="黑体" w:cs="Times New Roman"/>
              <w:highlight w:val="none"/>
            </w:rPr>
            <w:tab/>
          </w: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PAGEREF _Toc10823 \h </w:instrText>
          </w:r>
          <w:r>
            <w:rPr>
              <w:rFonts w:hint="default" w:ascii="Times New Roman" w:hAnsi="Times New Roman" w:eastAsia="黑体" w:cs="Times New Roman"/>
              <w:highlight w:val="none"/>
            </w:rPr>
            <w:fldChar w:fldCharType="separate"/>
          </w:r>
          <w:r>
            <w:rPr>
              <w:rFonts w:hint="default" w:ascii="Times New Roman" w:hAnsi="Times New Roman" w:eastAsia="黑体" w:cs="Times New Roman"/>
              <w:highlight w:val="none"/>
            </w:rPr>
            <w:t>30</w:t>
          </w:r>
          <w:r>
            <w:rPr>
              <w:rFonts w:hint="default" w:ascii="Times New Roman" w:hAnsi="Times New Roman" w:eastAsia="黑体" w:cs="Times New Roman"/>
              <w:highlight w:val="none"/>
            </w:rPr>
            <w:fldChar w:fldCharType="end"/>
          </w:r>
          <w:r>
            <w:rPr>
              <w:rFonts w:hint="default" w:ascii="Times New Roman" w:hAnsi="Times New Roman" w:eastAsia="黑体" w:cs="Times New Roman"/>
              <w:highlight w:val="none"/>
            </w:rPr>
            <w:fldChar w:fldCharType="end"/>
          </w:r>
        </w:p>
        <w:p w14:paraId="5B0314A1">
          <w:pPr>
            <w:snapToGrid w:val="0"/>
            <w:spacing w:line="360" w:lineRule="auto"/>
            <w:outlineLvl w:val="0"/>
            <w:rPr>
              <w:rFonts w:hint="eastAsia" w:ascii="黑体" w:hAnsi="黑体" w:eastAsia="黑体" w:cs="黑体"/>
              <w:b/>
              <w:highlight w:val="none"/>
            </w:rPr>
          </w:pPr>
          <w:r>
            <w:rPr>
              <w:rFonts w:hint="default" w:ascii="Times New Roman" w:hAnsi="Times New Roman" w:eastAsia="黑体" w:cs="Times New Roman"/>
              <w:highlight w:val="none"/>
            </w:rPr>
            <w:fldChar w:fldCharType="end"/>
          </w:r>
        </w:p>
      </w:sdtContent>
    </w:sdt>
    <w:p w14:paraId="6FBA5E8D">
      <w:pPr>
        <w:snapToGrid w:val="0"/>
        <w:spacing w:line="360" w:lineRule="auto"/>
        <w:outlineLvl w:val="0"/>
        <w:rPr>
          <w:rFonts w:hint="eastAsia" w:ascii="黑体" w:hAnsi="黑体" w:eastAsia="黑体" w:cs="黑体"/>
          <w:b/>
          <w:highlight w:val="none"/>
        </w:rPr>
        <w:sectPr>
          <w:pgSz w:w="11906" w:h="16838"/>
          <w:pgMar w:top="1440" w:right="1800" w:bottom="1440" w:left="1800" w:header="851" w:footer="992" w:gutter="0"/>
          <w:pgNumType w:start="1"/>
          <w:cols w:space="425" w:num="1"/>
          <w:docGrid w:type="lines" w:linePitch="312" w:charSpace="0"/>
        </w:sectPr>
      </w:pPr>
    </w:p>
    <w:p w14:paraId="01EBED66">
      <w:pPr>
        <w:snapToGrid w:val="0"/>
        <w:spacing w:line="360" w:lineRule="auto"/>
        <w:jc w:val="center"/>
        <w:outlineLvl w:val="0"/>
        <w:rPr>
          <w:rFonts w:ascii="黑体" w:hAnsi="黑体" w:eastAsia="黑体" w:cs="黑体"/>
          <w:sz w:val="28"/>
          <w:szCs w:val="28"/>
          <w:highlight w:val="none"/>
        </w:rPr>
      </w:pPr>
      <w:bookmarkStart w:id="13" w:name="_Toc23928"/>
      <w:bookmarkStart w:id="14" w:name="OLE_LINK51"/>
      <w:r>
        <w:rPr>
          <w:rFonts w:hint="eastAsia" w:ascii="黑体" w:hAnsi="黑体" w:eastAsia="黑体" w:cs="黑体"/>
          <w:sz w:val="28"/>
          <w:szCs w:val="28"/>
          <w:highlight w:val="none"/>
        </w:rPr>
        <w:t>1  总  则</w:t>
      </w:r>
      <w:bookmarkEnd w:id="13"/>
    </w:p>
    <w:bookmarkEnd w:id="14"/>
    <w:p w14:paraId="08D93000">
      <w:pPr>
        <w:snapToGrid w:val="0"/>
        <w:spacing w:line="360" w:lineRule="auto"/>
        <w:jc w:val="left"/>
        <w:rPr>
          <w:rFonts w:ascii="黑体" w:hAnsi="黑体" w:eastAsia="黑体" w:cs="黑体"/>
          <w:szCs w:val="21"/>
          <w:highlight w:val="none"/>
        </w:rPr>
      </w:pPr>
    </w:p>
    <w:p w14:paraId="29EC67AD">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1.0.1  为贯彻执行《中华人民共和国土壤污染防治法》《土壤污染防治行动计划》，指导和规范覆盖阻隔技术在工业有机污染场地风险管控中的应用，做到覆盖阻隔屏障安全适用、设计可靠、经济合理、确保质量、保护环境，制定本规范。</w:t>
      </w:r>
    </w:p>
    <w:p w14:paraId="68EED179">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1.0.2  本规范适用于在产、搬迁遗留的工业有机污染场地覆盖阻隔屏障的设计、施工、工程效果评估与后期监测工作，不适用于矿山、油田、生活垃圾填埋场、污染农田、放射性污染和致病性生物的污染场地覆盖阻隔工程。</w:t>
      </w:r>
    </w:p>
    <w:p w14:paraId="449DD4EB">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1.0.3  工业有机污染场地覆盖阻隔技术应充分考虑各地区工业有机污染场地的污染特征、水文地质条件、工程周边环境要求、建设水平等因素，做到合理选型、优化设计、精心施工、严格监测，严控施工过程中产生的固体废弃物、废液与废气。</w:t>
      </w:r>
    </w:p>
    <w:p w14:paraId="2CE6FF6A">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1.0.4  工业有机污染场地覆盖阻隔技术除采用本规范外，尚应符合国家现行有关标准的规定。</w:t>
      </w:r>
    </w:p>
    <w:p w14:paraId="42AD79E6">
      <w:pPr>
        <w:snapToGrid w:val="0"/>
        <w:spacing w:line="360" w:lineRule="auto"/>
        <w:ind w:firstLine="480" w:firstLineChars="200"/>
        <w:jc w:val="left"/>
        <w:rPr>
          <w:rFonts w:ascii="黑体" w:hAnsi="黑体" w:eastAsia="黑体" w:cs="黑体"/>
          <w:sz w:val="24"/>
          <w:szCs w:val="24"/>
          <w:highlight w:val="none"/>
        </w:rPr>
      </w:pPr>
    </w:p>
    <w:p w14:paraId="522CED53">
      <w:pPr>
        <w:snapToGrid w:val="0"/>
        <w:spacing w:line="360" w:lineRule="auto"/>
        <w:ind w:firstLine="480" w:firstLineChars="200"/>
        <w:jc w:val="left"/>
        <w:rPr>
          <w:rFonts w:ascii="黑体" w:hAnsi="黑体" w:eastAsia="黑体" w:cs="黑体"/>
          <w:sz w:val="24"/>
          <w:szCs w:val="24"/>
          <w:highlight w:val="none"/>
        </w:rPr>
      </w:pPr>
    </w:p>
    <w:p w14:paraId="2CF4D00D">
      <w:pPr>
        <w:snapToGrid w:val="0"/>
        <w:spacing w:line="360" w:lineRule="auto"/>
        <w:ind w:firstLine="480" w:firstLineChars="200"/>
        <w:jc w:val="left"/>
        <w:rPr>
          <w:rFonts w:ascii="黑体" w:hAnsi="黑体" w:eastAsia="黑体" w:cs="黑体"/>
          <w:sz w:val="24"/>
          <w:szCs w:val="24"/>
          <w:highlight w:val="none"/>
        </w:rPr>
      </w:pPr>
    </w:p>
    <w:p w14:paraId="1A9F1606">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pgNumType w:start="1"/>
          <w:cols w:space="425" w:num="1"/>
          <w:docGrid w:type="lines" w:linePitch="312" w:charSpace="0"/>
        </w:sectPr>
      </w:pPr>
    </w:p>
    <w:p w14:paraId="2BC9883A">
      <w:pPr>
        <w:snapToGrid w:val="0"/>
        <w:spacing w:line="360" w:lineRule="auto"/>
        <w:jc w:val="center"/>
        <w:outlineLvl w:val="0"/>
        <w:rPr>
          <w:rFonts w:ascii="黑体" w:hAnsi="黑体" w:eastAsia="黑体" w:cs="黑体"/>
          <w:sz w:val="28"/>
          <w:szCs w:val="28"/>
          <w:highlight w:val="none"/>
        </w:rPr>
      </w:pPr>
      <w:bookmarkStart w:id="15" w:name="_Toc31818"/>
      <w:r>
        <w:rPr>
          <w:rFonts w:hint="eastAsia" w:ascii="黑体" w:hAnsi="黑体" w:eastAsia="黑体" w:cs="黑体"/>
          <w:sz w:val="28"/>
          <w:szCs w:val="28"/>
          <w:highlight w:val="none"/>
        </w:rPr>
        <w:t>2  术  语</w:t>
      </w:r>
      <w:bookmarkEnd w:id="15"/>
    </w:p>
    <w:p w14:paraId="19DC48B2">
      <w:pPr>
        <w:snapToGrid w:val="0"/>
        <w:spacing w:line="360" w:lineRule="auto"/>
        <w:jc w:val="left"/>
        <w:rPr>
          <w:rFonts w:ascii="黑体" w:hAnsi="黑体" w:eastAsia="黑体" w:cs="黑体"/>
          <w:szCs w:val="21"/>
          <w:highlight w:val="none"/>
        </w:rPr>
      </w:pPr>
    </w:p>
    <w:p w14:paraId="0A17145B">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2.0.1</w:t>
      </w:r>
      <w:r>
        <w:rPr>
          <w:rFonts w:hint="eastAsia" w:ascii="黑体" w:hAnsi="黑体" w:eastAsia="黑体" w:cs="黑体"/>
          <w:b/>
          <w:bCs/>
          <w:szCs w:val="21"/>
          <w:highlight w:val="none"/>
        </w:rPr>
        <w:t>潜在污染场地  potentially contaminated site</w:t>
      </w:r>
    </w:p>
    <w:p w14:paraId="0AB014D8">
      <w:pPr>
        <w:snapToGrid w:val="0"/>
        <w:spacing w:line="360" w:lineRule="auto"/>
        <w:ind w:firstLine="420" w:firstLineChars="200"/>
        <w:rPr>
          <w:rFonts w:ascii="黑体" w:hAnsi="黑体" w:eastAsia="黑体" w:cs="黑体"/>
          <w:szCs w:val="21"/>
          <w:highlight w:val="none"/>
        </w:rPr>
      </w:pPr>
      <w:r>
        <w:rPr>
          <w:rFonts w:ascii="黑体" w:hAnsi="黑体" w:eastAsia="黑体" w:cs="黑体"/>
          <w:szCs w:val="21"/>
          <w:highlight w:val="none"/>
        </w:rPr>
        <w:t>从事过有色金属冶炼、石油加工、化工、焦化、电镀、制革等行业生产经营活动，以及从事过危险废物贮存、利用、处置活动的用地</w:t>
      </w:r>
      <w:r>
        <w:rPr>
          <w:rFonts w:hint="eastAsia" w:ascii="黑体" w:hAnsi="黑体" w:eastAsia="黑体" w:cs="黑体"/>
          <w:szCs w:val="21"/>
          <w:highlight w:val="none"/>
        </w:rPr>
        <w:t>，又称潜在污染地块。</w:t>
      </w:r>
    </w:p>
    <w:p w14:paraId="4D52F369">
      <w:pPr>
        <w:snapToGrid w:val="0"/>
        <w:spacing w:line="360" w:lineRule="auto"/>
        <w:rPr>
          <w:rFonts w:ascii="黑体" w:hAnsi="黑体" w:eastAsia="黑体" w:cs="黑体"/>
          <w:b/>
          <w:bCs/>
          <w:szCs w:val="21"/>
          <w:highlight w:val="none"/>
        </w:rPr>
      </w:pPr>
      <w:bookmarkStart w:id="16" w:name="OLE_LINK4"/>
      <w:r>
        <w:rPr>
          <w:rFonts w:hint="eastAsia" w:ascii="黑体" w:hAnsi="黑体" w:eastAsia="黑体" w:cs="黑体"/>
          <w:szCs w:val="21"/>
          <w:highlight w:val="none"/>
        </w:rPr>
        <w:t>2.0.2</w:t>
      </w:r>
      <w:r>
        <w:rPr>
          <w:rFonts w:hint="eastAsia" w:ascii="黑体" w:hAnsi="黑体" w:eastAsia="黑体" w:cs="黑体"/>
          <w:b/>
          <w:bCs/>
          <w:szCs w:val="21"/>
          <w:highlight w:val="none"/>
        </w:rPr>
        <w:t>工业有机污染场地</w:t>
      </w:r>
      <w:bookmarkEnd w:id="16"/>
      <w:r>
        <w:rPr>
          <w:rFonts w:hint="eastAsia" w:ascii="黑体" w:hAnsi="黑体" w:eastAsia="黑体" w:cs="黑体"/>
          <w:b/>
          <w:bCs/>
          <w:szCs w:val="21"/>
          <w:highlight w:val="none"/>
        </w:rPr>
        <w:t xml:space="preserve">  industrial organic contaminated sites</w:t>
      </w:r>
    </w:p>
    <w:p w14:paraId="69EFDCD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工业企业生产经营活动造成地下水及岩土体的有机污染，对潜在污染场地进行调查和风险评估后，确认污染危害超过生态系统和人体健康可接受风险水平的场地，又称工业有机污染地块。</w:t>
      </w:r>
    </w:p>
    <w:p w14:paraId="43BEF337">
      <w:pPr>
        <w:snapToGrid w:val="0"/>
        <w:spacing w:line="360" w:lineRule="auto"/>
        <w:rPr>
          <w:rFonts w:ascii="黑体" w:hAnsi="黑体" w:eastAsia="黑体" w:cs="黑体"/>
          <w:b/>
          <w:bCs/>
          <w:szCs w:val="21"/>
          <w:highlight w:val="none"/>
        </w:rPr>
      </w:pPr>
      <w:bookmarkStart w:id="17" w:name="_Toc24229"/>
      <w:r>
        <w:rPr>
          <w:rFonts w:hint="eastAsia" w:ascii="黑体" w:hAnsi="黑体" w:eastAsia="黑体" w:cs="黑体"/>
          <w:szCs w:val="21"/>
          <w:highlight w:val="none"/>
        </w:rPr>
        <w:t>2.0.3</w:t>
      </w:r>
      <w:r>
        <w:rPr>
          <w:rFonts w:hint="eastAsia" w:ascii="黑体" w:hAnsi="黑体" w:eastAsia="黑体" w:cs="黑体"/>
          <w:b/>
          <w:bCs/>
          <w:szCs w:val="21"/>
          <w:highlight w:val="none"/>
        </w:rPr>
        <w:t>风险管控目标  risk control goal</w:t>
      </w:r>
      <w:bookmarkEnd w:id="17"/>
    </w:p>
    <w:p w14:paraId="03337767">
      <w:pPr>
        <w:snapToGrid w:val="0"/>
        <w:spacing w:line="360" w:lineRule="auto"/>
        <w:ind w:firstLine="420" w:firstLineChars="200"/>
        <w:rPr>
          <w:rFonts w:ascii="黑体" w:hAnsi="黑体" w:eastAsia="黑体" w:cs="黑体"/>
          <w:szCs w:val="21"/>
          <w:highlight w:val="none"/>
        </w:rPr>
      </w:pPr>
      <w:bookmarkStart w:id="18" w:name="OLE_LINK5"/>
      <w:r>
        <w:rPr>
          <w:rFonts w:hint="eastAsia" w:ascii="黑体" w:hAnsi="黑体" w:eastAsia="黑体" w:cs="黑体"/>
          <w:szCs w:val="21"/>
          <w:highlight w:val="none"/>
        </w:rPr>
        <w:t>阻断地下水及</w:t>
      </w:r>
      <w:bookmarkEnd w:id="18"/>
      <w:r>
        <w:rPr>
          <w:rFonts w:hint="eastAsia" w:ascii="黑体" w:hAnsi="黑体" w:eastAsia="黑体" w:cs="黑体"/>
          <w:szCs w:val="21"/>
          <w:highlight w:val="none"/>
        </w:rPr>
        <w:t>岩土体有机污染物暴露途径，阻止有机污染气体和有机污染渗沥液迁移，防止对生态系统和人体健康产生影响的阶段目标。</w:t>
      </w:r>
    </w:p>
    <w:p w14:paraId="04081513">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2.0.4</w:t>
      </w:r>
      <w:r>
        <w:rPr>
          <w:rFonts w:hint="eastAsia" w:ascii="黑体" w:hAnsi="黑体" w:eastAsia="黑体" w:cs="黑体"/>
          <w:b/>
          <w:bCs/>
          <w:szCs w:val="21"/>
          <w:highlight w:val="none"/>
        </w:rPr>
        <w:t>覆盖阻隔技术  cover barrier technology</w:t>
      </w:r>
    </w:p>
    <w:p w14:paraId="6306487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利用天然材料和（或）人工合成材料组成屏障材料，采用水平布置的形式施工成覆盖层结构，用于确保设计使用年限内满足污染场地风险管控目标的工程措施。</w:t>
      </w:r>
    </w:p>
    <w:p w14:paraId="749167EB">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2.0.5</w:t>
      </w:r>
      <w:r>
        <w:rPr>
          <w:rFonts w:hint="eastAsia" w:ascii="黑体" w:hAnsi="黑体" w:eastAsia="黑体" w:cs="黑体"/>
          <w:b/>
          <w:bCs/>
          <w:szCs w:val="21"/>
          <w:highlight w:val="none"/>
        </w:rPr>
        <w:t>土污染状况调查  investigation on soil contamination</w:t>
      </w:r>
    </w:p>
    <w:p w14:paraId="0CFF8DA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采用系统的调查方法，确定场地土是否被污染以及污染程度和范围的过程，又称土壤污染状况调查。</w:t>
      </w:r>
    </w:p>
    <w:p w14:paraId="4D439BA2">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2.0.6</w:t>
      </w:r>
      <w:r>
        <w:rPr>
          <w:rFonts w:hint="eastAsia" w:ascii="黑体" w:hAnsi="黑体" w:eastAsia="黑体" w:cs="黑体"/>
          <w:b/>
          <w:bCs/>
          <w:szCs w:val="21"/>
          <w:highlight w:val="none"/>
        </w:rPr>
        <w:t>目标污染物  target contaminant</w:t>
      </w:r>
    </w:p>
    <w:p w14:paraId="1A4546D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在场地环境中其数量或浓度已达到对生态系统和人体健康具有实际或潜在不利影响的，需要进行风险管控和修复的关注污染物。</w:t>
      </w:r>
    </w:p>
    <w:p w14:paraId="68B2DDE3">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2.0.7</w:t>
      </w:r>
      <w:r>
        <w:rPr>
          <w:rFonts w:hint="eastAsia" w:ascii="黑体" w:hAnsi="黑体" w:eastAsia="黑体" w:cs="黑体"/>
          <w:b/>
          <w:bCs/>
          <w:szCs w:val="21"/>
          <w:highlight w:val="none"/>
        </w:rPr>
        <w:t>风险控制值  risk control value</w:t>
      </w:r>
    </w:p>
    <w:p w14:paraId="6693025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根据用地方式、暴露情景和可接受风险水平，采用风险评估方法和场地污染状况调查获得相关数据，计算获得的土壤中污染物的含量限值和土壤气体中污染物的浓度限值。</w:t>
      </w:r>
    </w:p>
    <w:p w14:paraId="4F61B978">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2.0.8</w:t>
      </w:r>
      <w:r>
        <w:rPr>
          <w:rFonts w:hint="eastAsia" w:ascii="黑体" w:hAnsi="黑体" w:eastAsia="黑体" w:cs="黑体"/>
          <w:b/>
          <w:bCs/>
          <w:szCs w:val="21"/>
          <w:highlight w:val="none"/>
        </w:rPr>
        <w:t>击穿判别标准  breakthrough criteria</w:t>
      </w:r>
    </w:p>
    <w:p w14:paraId="5A5FC39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用于判别覆盖阻隔屏障是否满足风险管控要求。当目标污染物迁移通过覆盖阻隔屏障的浓度大于风险控制值时，即判定覆盖阻隔屏障被目标污染物击穿。</w:t>
      </w:r>
    </w:p>
    <w:p w14:paraId="470193C5">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2.0.9</w:t>
      </w:r>
      <w:r>
        <w:rPr>
          <w:rFonts w:hint="eastAsia" w:ascii="黑体" w:hAnsi="黑体" w:eastAsia="黑体" w:cs="黑体"/>
          <w:b/>
          <w:bCs/>
          <w:szCs w:val="21"/>
          <w:highlight w:val="none"/>
        </w:rPr>
        <w:t>工程性能  engineering properties</w:t>
      </w:r>
    </w:p>
    <w:p w14:paraId="00BE15F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覆盖阻隔屏障的工程性能包括阻隔性能、物理力学性能和防腐蚀性能。</w:t>
      </w:r>
    </w:p>
    <w:p w14:paraId="585518AA">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2.0.10</w:t>
      </w:r>
      <w:r>
        <w:rPr>
          <w:rFonts w:hint="eastAsia" w:ascii="黑体" w:hAnsi="黑体" w:eastAsia="黑体" w:cs="黑体"/>
          <w:b/>
          <w:bCs/>
          <w:szCs w:val="21"/>
          <w:highlight w:val="none"/>
        </w:rPr>
        <w:t>阻隔性能  containment performance</w:t>
      </w:r>
    </w:p>
    <w:p w14:paraId="726E2EA5">
      <w:pPr>
        <w:snapToGrid w:val="0"/>
        <w:spacing w:line="360" w:lineRule="auto"/>
        <w:ind w:firstLine="420" w:firstLineChars="200"/>
        <w:rPr>
          <w:rFonts w:ascii="黑体" w:hAnsi="黑体" w:eastAsia="黑体" w:cs="黑体"/>
          <w:b/>
          <w:bCs/>
          <w:szCs w:val="21"/>
          <w:highlight w:val="none"/>
        </w:rPr>
      </w:pPr>
      <w:r>
        <w:rPr>
          <w:rFonts w:hint="eastAsia" w:ascii="黑体" w:hAnsi="黑体" w:eastAsia="黑体" w:cs="黑体"/>
          <w:szCs w:val="21"/>
          <w:highlight w:val="none"/>
        </w:rPr>
        <w:t>覆盖阻隔屏障减缓污染物以对流、扩散等方式迁移的综合性能，可采用水力渗透系数、气体有效渗透率、气体扩散系数评价。</w:t>
      </w:r>
    </w:p>
    <w:p w14:paraId="0671B3CC">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2.0.11</w:t>
      </w:r>
      <w:r>
        <w:rPr>
          <w:rFonts w:hint="eastAsia" w:ascii="黑体" w:hAnsi="黑体" w:eastAsia="黑体" w:cs="黑体"/>
          <w:b/>
          <w:bCs/>
          <w:szCs w:val="21"/>
          <w:highlight w:val="none"/>
        </w:rPr>
        <w:t>防腐蚀能力  chemical corrosion resistance</w:t>
      </w:r>
    </w:p>
    <w:p w14:paraId="58E54F6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污染物作用下，覆盖阻隔屏障材料抵抗劣化、保持使用功能的能力。</w:t>
      </w:r>
    </w:p>
    <w:p w14:paraId="13D31B12">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2.0.12</w:t>
      </w:r>
      <w:r>
        <w:rPr>
          <w:rFonts w:hint="eastAsia" w:ascii="黑体" w:hAnsi="黑体" w:eastAsia="黑体" w:cs="黑体"/>
          <w:b/>
          <w:bCs/>
          <w:szCs w:val="21"/>
          <w:highlight w:val="none"/>
        </w:rPr>
        <w:t>设计使用年限  design service life</w:t>
      </w:r>
    </w:p>
    <w:p w14:paraId="6D914CC1">
      <w:pPr>
        <w:snapToGrid w:val="0"/>
        <w:spacing w:line="360" w:lineRule="auto"/>
        <w:ind w:firstLine="420" w:firstLineChars="200"/>
        <w:rPr>
          <w:rFonts w:ascii="黑体" w:hAnsi="黑体" w:eastAsia="黑体" w:cs="黑体"/>
          <w:b/>
          <w:bCs/>
          <w:szCs w:val="21"/>
          <w:highlight w:val="none"/>
        </w:rPr>
      </w:pPr>
      <w:r>
        <w:rPr>
          <w:rFonts w:hint="eastAsia" w:ascii="黑体" w:hAnsi="黑体" w:eastAsia="黑体" w:cs="黑体"/>
          <w:szCs w:val="21"/>
          <w:highlight w:val="none"/>
        </w:rPr>
        <w:t>设计规定的覆盖阻隔屏障不需进行大修即可满足风险管控目标，并按预定工程性能使用的年限。</w:t>
      </w:r>
    </w:p>
    <w:p w14:paraId="1EFE2564">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2.0.13</w:t>
      </w:r>
      <w:r>
        <w:rPr>
          <w:rFonts w:hint="eastAsia" w:ascii="黑体" w:hAnsi="黑体" w:eastAsia="黑体" w:cs="黑体"/>
          <w:b/>
          <w:bCs/>
          <w:szCs w:val="21"/>
          <w:highlight w:val="none"/>
        </w:rPr>
        <w:t>工后监测  post-construction monitoring</w:t>
      </w:r>
    </w:p>
    <w:p w14:paraId="58770AC4">
      <w:pPr>
        <w:snapToGrid w:val="0"/>
        <w:spacing w:line="360" w:lineRule="auto"/>
        <w:ind w:firstLine="420" w:firstLineChars="200"/>
        <w:rPr>
          <w:rFonts w:ascii="黑体" w:hAnsi="黑体" w:eastAsia="黑体" w:cs="黑体"/>
          <w:b/>
          <w:bCs/>
          <w:szCs w:val="21"/>
          <w:highlight w:val="none"/>
        </w:rPr>
      </w:pPr>
      <w:r>
        <w:rPr>
          <w:rFonts w:hint="eastAsia" w:ascii="黑体" w:hAnsi="黑体" w:eastAsia="黑体" w:cs="黑体"/>
          <w:szCs w:val="21"/>
          <w:highlight w:val="none"/>
        </w:rPr>
        <w:t>覆盖阻隔屏障使用阶段，针对土壤质量、土壤气体质量、</w:t>
      </w:r>
      <w:r>
        <w:rPr>
          <w:rFonts w:hint="eastAsia" w:ascii="黑体" w:hAnsi="黑体" w:eastAsia="黑体" w:cs="黑体"/>
          <w:szCs w:val="21"/>
          <w:highlight w:val="none"/>
          <w:lang w:val="en-US" w:eastAsia="zh-CN"/>
        </w:rPr>
        <w:t>屏障表面气体通量、</w:t>
      </w:r>
      <w:r>
        <w:rPr>
          <w:rFonts w:hint="eastAsia" w:ascii="黑体" w:hAnsi="黑体" w:eastAsia="黑体" w:cs="黑体"/>
          <w:szCs w:val="21"/>
          <w:highlight w:val="none"/>
        </w:rPr>
        <w:t>屏障工程、邻近建（构）筑物和地下管线变形所开展的相关监测。</w:t>
      </w:r>
    </w:p>
    <w:p w14:paraId="35BCB85C">
      <w:pPr>
        <w:snapToGrid w:val="0"/>
        <w:spacing w:line="360" w:lineRule="auto"/>
        <w:rPr>
          <w:rFonts w:ascii="黑体" w:hAnsi="黑体" w:eastAsia="黑体" w:cs="黑体"/>
          <w:b/>
          <w:bCs/>
          <w:szCs w:val="21"/>
          <w:highlight w:val="none"/>
        </w:rPr>
      </w:pPr>
      <w:r>
        <w:rPr>
          <w:rFonts w:hint="eastAsia" w:ascii="黑体" w:hAnsi="黑体" w:eastAsia="黑体" w:cs="黑体"/>
          <w:szCs w:val="21"/>
          <w:highlight w:val="none"/>
        </w:rPr>
        <w:t>2.0.14</w:t>
      </w:r>
      <w:r>
        <w:rPr>
          <w:rFonts w:hint="eastAsia" w:ascii="黑体" w:hAnsi="黑体" w:eastAsia="黑体" w:cs="黑体"/>
          <w:b/>
          <w:bCs/>
          <w:szCs w:val="21"/>
          <w:highlight w:val="none"/>
        </w:rPr>
        <w:t>工程效果评估  project evaluation</w:t>
      </w:r>
    </w:p>
    <w:p w14:paraId="1A6D8DF4">
      <w:pPr>
        <w:snapToGrid w:val="0"/>
        <w:spacing w:line="360" w:lineRule="auto"/>
        <w:ind w:firstLine="420" w:firstLineChars="200"/>
        <w:rPr>
          <w:rFonts w:ascii="黑体" w:hAnsi="黑体" w:eastAsia="黑体" w:cs="黑体"/>
          <w:b/>
          <w:bCs/>
          <w:szCs w:val="21"/>
          <w:highlight w:val="none"/>
        </w:rPr>
      </w:pPr>
      <w:r>
        <w:rPr>
          <w:rFonts w:hint="eastAsia" w:ascii="黑体" w:hAnsi="黑体" w:eastAsia="黑体" w:cs="黑体"/>
          <w:szCs w:val="21"/>
          <w:highlight w:val="none"/>
        </w:rPr>
        <w:t>覆盖阻隔工程施工完成后一定时间内，通过设计、施工等资料整理及抽检，综合评估覆盖阻隔屏障的使用功能。</w:t>
      </w:r>
    </w:p>
    <w:p w14:paraId="78714B0A">
      <w:pPr>
        <w:snapToGrid w:val="0"/>
        <w:spacing w:line="360" w:lineRule="auto"/>
        <w:ind w:firstLine="480" w:firstLineChars="200"/>
        <w:rPr>
          <w:rFonts w:ascii="黑体" w:hAnsi="黑体" w:eastAsia="黑体" w:cs="黑体"/>
          <w:sz w:val="24"/>
          <w:szCs w:val="24"/>
          <w:highlight w:val="none"/>
        </w:rPr>
      </w:pPr>
    </w:p>
    <w:p w14:paraId="09F91EC4">
      <w:pPr>
        <w:snapToGrid w:val="0"/>
        <w:spacing w:line="360" w:lineRule="auto"/>
        <w:ind w:firstLine="480" w:firstLineChars="200"/>
        <w:jc w:val="left"/>
        <w:rPr>
          <w:rFonts w:ascii="黑体" w:hAnsi="黑体" w:eastAsia="黑体" w:cs="黑体"/>
          <w:sz w:val="24"/>
          <w:szCs w:val="24"/>
          <w:highlight w:val="none"/>
        </w:rPr>
      </w:pPr>
    </w:p>
    <w:p w14:paraId="5077EF95">
      <w:pPr>
        <w:snapToGrid w:val="0"/>
        <w:spacing w:line="360" w:lineRule="auto"/>
        <w:ind w:firstLine="480" w:firstLineChars="200"/>
        <w:jc w:val="left"/>
        <w:rPr>
          <w:rFonts w:ascii="黑体" w:hAnsi="黑体" w:eastAsia="黑体" w:cs="黑体"/>
          <w:sz w:val="24"/>
          <w:szCs w:val="24"/>
          <w:highlight w:val="none"/>
        </w:rPr>
      </w:pPr>
    </w:p>
    <w:p w14:paraId="41300D88">
      <w:pPr>
        <w:snapToGrid w:val="0"/>
        <w:spacing w:line="360" w:lineRule="auto"/>
        <w:ind w:firstLine="482" w:firstLineChars="200"/>
        <w:jc w:val="left"/>
        <w:rPr>
          <w:rFonts w:ascii="黑体" w:hAnsi="黑体" w:eastAsia="黑体" w:cs="黑体"/>
          <w:b/>
          <w:bCs/>
          <w:sz w:val="24"/>
          <w:szCs w:val="24"/>
          <w:highlight w:val="none"/>
        </w:rPr>
      </w:pPr>
    </w:p>
    <w:p w14:paraId="5F26CC50">
      <w:pPr>
        <w:snapToGrid w:val="0"/>
        <w:spacing w:line="360" w:lineRule="auto"/>
        <w:ind w:firstLine="480" w:firstLineChars="200"/>
        <w:jc w:val="left"/>
        <w:rPr>
          <w:rFonts w:ascii="黑体" w:hAnsi="黑体" w:eastAsia="黑体" w:cs="黑体"/>
          <w:sz w:val="24"/>
          <w:szCs w:val="24"/>
          <w:highlight w:val="none"/>
        </w:rPr>
      </w:pPr>
    </w:p>
    <w:p w14:paraId="2CE39956">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0D6C1F0A">
      <w:pPr>
        <w:snapToGrid w:val="0"/>
        <w:spacing w:line="360" w:lineRule="auto"/>
        <w:jc w:val="center"/>
        <w:outlineLvl w:val="0"/>
        <w:rPr>
          <w:rFonts w:ascii="黑体" w:hAnsi="黑体" w:eastAsia="黑体" w:cs="黑体"/>
          <w:sz w:val="28"/>
          <w:szCs w:val="28"/>
          <w:highlight w:val="none"/>
        </w:rPr>
      </w:pPr>
      <w:bookmarkStart w:id="19" w:name="_Toc19266"/>
      <w:r>
        <w:rPr>
          <w:rFonts w:hint="eastAsia" w:ascii="黑体" w:hAnsi="黑体" w:eastAsia="黑体" w:cs="黑体"/>
          <w:sz w:val="28"/>
          <w:szCs w:val="28"/>
          <w:highlight w:val="none"/>
        </w:rPr>
        <w:t xml:space="preserve">3  </w:t>
      </w:r>
      <w:bookmarkStart w:id="20" w:name="_Hlk172032138"/>
      <w:r>
        <w:rPr>
          <w:rFonts w:hint="eastAsia" w:ascii="黑体" w:hAnsi="黑体" w:eastAsia="黑体" w:cs="黑体"/>
          <w:sz w:val="28"/>
          <w:szCs w:val="28"/>
          <w:highlight w:val="none"/>
        </w:rPr>
        <w:t>基本规定</w:t>
      </w:r>
      <w:bookmarkEnd w:id="19"/>
      <w:bookmarkEnd w:id="20"/>
    </w:p>
    <w:p w14:paraId="467FD507">
      <w:pPr>
        <w:jc w:val="left"/>
        <w:rPr>
          <w:rFonts w:hint="eastAsia" w:ascii="黑体" w:hAnsi="黑体" w:eastAsia="黑体" w:cs="黑体"/>
          <w:highlight w:val="none"/>
          <w:lang w:val="en-US" w:eastAsia="zh-CN"/>
        </w:rPr>
      </w:pPr>
      <w:bookmarkStart w:id="21" w:name="_Toc15607"/>
    </w:p>
    <w:bookmarkEnd w:id="21"/>
    <w:p w14:paraId="0141039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3.0.1  工业有机污染场地覆盖阻隔工程应兼顾减少气体逸出及雨水入渗的功能，防止场地内受污染岩土中挥发性有机物及半挥发性有机物对生态系统和人体健康产生影响。</w:t>
      </w:r>
    </w:p>
    <w:p w14:paraId="1F24D14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3.0.2  场地勘察、设计、施工、工程效果评估、工后监测各个阶段应充分考虑场地修复工程进展及对邻近建（构）筑物和地下管线正常使用的影响。</w:t>
      </w:r>
    </w:p>
    <w:p w14:paraId="5B94C42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3.0.3  工业有机污染场地覆盖阻隔屏障中防渗阻气层材料主要分为压实黏土、土工膜、膨润土防水毯等。</w:t>
      </w:r>
    </w:p>
    <w:p w14:paraId="2B3ADB3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3.0.4</w:t>
      </w:r>
      <w:r>
        <w:rPr>
          <w:rFonts w:hint="eastAsia" w:ascii="黑体" w:hAnsi="黑体" w:eastAsia="黑体" w:cs="黑体"/>
          <w:sz w:val="24"/>
          <w:szCs w:val="24"/>
          <w:highlight w:val="none"/>
        </w:rPr>
        <w:t xml:space="preserve">  </w:t>
      </w:r>
      <w:r>
        <w:rPr>
          <w:rFonts w:hint="eastAsia" w:ascii="黑体" w:hAnsi="黑体" w:eastAsia="黑体" w:cs="黑体"/>
          <w:szCs w:val="21"/>
          <w:highlight w:val="none"/>
        </w:rPr>
        <w:t>覆盖阻隔屏障的材料选用及施工工艺应符合健康、安全、环保的要求，确保人体健康安全，严禁因施工造成场地二次污染、交叉污染。</w:t>
      </w:r>
    </w:p>
    <w:p w14:paraId="72C8DA3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3.0.5  应允许使用经合规性评估满足功能要求的新技术、新工艺、新材料。</w:t>
      </w:r>
    </w:p>
    <w:p w14:paraId="0E43332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3.0.6  对使用时间超过设计使用年限的覆盖阻隔屏障，需要继续使用时，应对覆盖阻隔屏障的工程效果进行检测和鉴定，合格后方可继续使用。</w:t>
      </w:r>
    </w:p>
    <w:p w14:paraId="27D57FFE">
      <w:pPr>
        <w:snapToGrid w:val="0"/>
        <w:spacing w:line="360" w:lineRule="auto"/>
        <w:ind w:firstLine="480" w:firstLineChars="200"/>
        <w:jc w:val="left"/>
        <w:rPr>
          <w:rFonts w:ascii="黑体" w:hAnsi="黑体" w:eastAsia="黑体" w:cs="黑体"/>
          <w:sz w:val="24"/>
          <w:szCs w:val="24"/>
          <w:highlight w:val="none"/>
        </w:rPr>
      </w:pPr>
    </w:p>
    <w:p w14:paraId="02C0488C">
      <w:pPr>
        <w:snapToGrid w:val="0"/>
        <w:spacing w:line="360" w:lineRule="auto"/>
        <w:ind w:firstLine="480" w:firstLineChars="200"/>
        <w:jc w:val="center"/>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0931A2DF">
      <w:pPr>
        <w:snapToGrid w:val="0"/>
        <w:spacing w:line="360" w:lineRule="auto"/>
        <w:jc w:val="center"/>
        <w:outlineLvl w:val="0"/>
        <w:rPr>
          <w:rFonts w:hint="eastAsia" w:ascii="黑体" w:hAnsi="黑体" w:eastAsia="黑体" w:cs="黑体"/>
          <w:sz w:val="28"/>
          <w:szCs w:val="28"/>
          <w:highlight w:val="none"/>
        </w:rPr>
      </w:pPr>
      <w:bookmarkStart w:id="22" w:name="_Toc2435"/>
      <w:r>
        <w:rPr>
          <w:rFonts w:hint="eastAsia" w:ascii="黑体" w:hAnsi="黑体" w:eastAsia="黑体" w:cs="黑体"/>
          <w:sz w:val="28"/>
          <w:szCs w:val="28"/>
          <w:highlight w:val="none"/>
        </w:rPr>
        <w:t>4  场地勘察与污染状况调查</w:t>
      </w:r>
      <w:bookmarkEnd w:id="22"/>
    </w:p>
    <w:p w14:paraId="3AB1E513">
      <w:pPr>
        <w:jc w:val="left"/>
        <w:rPr>
          <w:rFonts w:hint="eastAsia" w:ascii="黑体" w:hAnsi="黑体" w:eastAsia="黑体" w:cs="黑体"/>
          <w:highlight w:val="none"/>
          <w:lang w:val="en-US" w:eastAsia="zh-CN"/>
        </w:rPr>
      </w:pPr>
    </w:p>
    <w:p w14:paraId="75892F09">
      <w:pPr>
        <w:snapToGrid w:val="0"/>
        <w:spacing w:before="156" w:beforeLines="50" w:after="156" w:afterLines="50" w:line="360" w:lineRule="auto"/>
        <w:jc w:val="center"/>
        <w:outlineLvl w:val="1"/>
        <w:rPr>
          <w:rFonts w:ascii="黑体" w:hAnsi="黑体" w:eastAsia="黑体" w:cs="黑体"/>
          <w:szCs w:val="21"/>
          <w:highlight w:val="none"/>
        </w:rPr>
      </w:pPr>
      <w:bookmarkStart w:id="23" w:name="_Toc1267"/>
      <w:r>
        <w:rPr>
          <w:rFonts w:hint="eastAsia" w:ascii="黑体" w:hAnsi="黑体" w:eastAsia="黑体" w:cs="黑体"/>
          <w:szCs w:val="21"/>
          <w:highlight w:val="none"/>
        </w:rPr>
        <w:t>4.1  一 般 规 定</w:t>
      </w:r>
      <w:bookmarkEnd w:id="23"/>
    </w:p>
    <w:p w14:paraId="6AD8680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4.1.1  工业有机污染场地覆盖阻隔工程设计、施工前应进行场地岩土工程勘察与污染状况调查，获取污染状况及工程地质资料，掌握场地现状及规划用途等基本信息，并应符合现行国家标准</w:t>
      </w:r>
      <w:bookmarkStart w:id="24" w:name="_Hlk172031612"/>
      <w:r>
        <w:rPr>
          <w:rFonts w:hint="eastAsia" w:ascii="黑体" w:hAnsi="黑体" w:eastAsia="黑体" w:cs="黑体"/>
          <w:szCs w:val="21"/>
          <w:highlight w:val="none"/>
        </w:rPr>
        <w:t>《岩土工程勘察规范（2009年版）》GB 50021</w:t>
      </w:r>
      <w:bookmarkEnd w:id="24"/>
      <w:r>
        <w:rPr>
          <w:rFonts w:hint="eastAsia" w:ascii="黑体" w:hAnsi="黑体" w:eastAsia="黑体" w:cs="黑体"/>
          <w:szCs w:val="21"/>
          <w:highlight w:val="none"/>
        </w:rPr>
        <w:t>、现行国家标准《工程勘察通用规范》GB 55017及现行行业标准《污染场地岩土工程勘察标准》HG/T 20717</w:t>
      </w:r>
      <w:bookmarkStart w:id="25" w:name="OLE_LINK46"/>
      <w:r>
        <w:rPr>
          <w:rFonts w:hint="eastAsia" w:ascii="黑体" w:hAnsi="黑体" w:eastAsia="黑体" w:cs="黑体"/>
          <w:szCs w:val="21"/>
          <w:highlight w:val="none"/>
        </w:rPr>
        <w:t>的相关规定</w:t>
      </w:r>
      <w:bookmarkEnd w:id="25"/>
      <w:r>
        <w:rPr>
          <w:rFonts w:hint="eastAsia" w:ascii="黑体" w:hAnsi="黑体" w:eastAsia="黑体" w:cs="黑体"/>
          <w:szCs w:val="21"/>
          <w:highlight w:val="none"/>
        </w:rPr>
        <w:t>。</w:t>
      </w:r>
    </w:p>
    <w:p w14:paraId="2BF2D66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4.1.2  岩土工程勘察与污染状况调查的勘探、取样、原位测试宜同步协调进行。</w:t>
      </w:r>
    </w:p>
    <w:p w14:paraId="3247EED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4.1.3  对场地勘察与污染状况调查的原始资料，应进行整理、检查、分析，可提交专门性的咨询报告。</w:t>
      </w:r>
    </w:p>
    <w:p w14:paraId="05D49C5C">
      <w:pPr>
        <w:snapToGrid w:val="0"/>
        <w:spacing w:before="156" w:beforeLines="50" w:after="156" w:afterLines="50" w:line="360" w:lineRule="auto"/>
        <w:jc w:val="center"/>
        <w:outlineLvl w:val="1"/>
        <w:rPr>
          <w:rFonts w:ascii="黑体" w:hAnsi="黑体" w:eastAsia="黑体" w:cs="黑体"/>
          <w:szCs w:val="21"/>
          <w:highlight w:val="none"/>
        </w:rPr>
      </w:pPr>
      <w:bookmarkStart w:id="26" w:name="_Toc2302"/>
      <w:r>
        <w:rPr>
          <w:rFonts w:hint="eastAsia" w:ascii="黑体" w:hAnsi="黑体" w:eastAsia="黑体" w:cs="黑体"/>
          <w:szCs w:val="21"/>
          <w:highlight w:val="none"/>
        </w:rPr>
        <w:t>4.2  场地岩土工程勘察</w:t>
      </w:r>
      <w:bookmarkEnd w:id="26"/>
    </w:p>
    <w:p w14:paraId="3A90686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4.2.1  覆盖阻隔工程的岩土工程勘察应通过测绘与调查、勘探、取样、测试等多种手段相结合的方法进行，应开展下列工作：</w:t>
      </w:r>
    </w:p>
    <w:p w14:paraId="6385256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查明气象条件；</w:t>
      </w:r>
    </w:p>
    <w:p w14:paraId="0118C13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查明区域水文地质条件；</w:t>
      </w:r>
    </w:p>
    <w:p w14:paraId="3B3BC88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查明场地岩土分布、物理力学性质指标、化学性质指标；</w:t>
      </w:r>
    </w:p>
    <w:p w14:paraId="72A2001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场地土与地下水腐蚀性评价；</w:t>
      </w:r>
    </w:p>
    <w:p w14:paraId="45BE8F8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查明场地及邻近建（构）筑物和地下管线等分布，评价覆盖阻隔屏障施工后对邻近建（构）筑物和地下管线的影响；</w:t>
      </w:r>
    </w:p>
    <w:p w14:paraId="0C464A6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查明场地及区域生态环境；</w:t>
      </w:r>
    </w:p>
    <w:p w14:paraId="509D23A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7  搜集并整理场地及区域居民区、饮用水源点等人类活动资料；</w:t>
      </w:r>
    </w:p>
    <w:p w14:paraId="6E13B27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8  搜集并整理场地及区域工程经验。</w:t>
      </w:r>
    </w:p>
    <w:p w14:paraId="4C172AB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4.2.2  对区域水文地质条件的确定，应查明下列内容：</w:t>
      </w:r>
    </w:p>
    <w:p w14:paraId="586602D5">
      <w:pPr>
        <w:snapToGrid w:val="0"/>
        <w:spacing w:line="360" w:lineRule="auto"/>
        <w:ind w:firstLine="420" w:firstLineChars="200"/>
        <w:rPr>
          <w:rFonts w:ascii="黑体" w:hAnsi="黑体" w:eastAsia="黑体" w:cs="黑体"/>
          <w:szCs w:val="21"/>
          <w:highlight w:val="none"/>
        </w:rPr>
      </w:pPr>
      <w:bookmarkStart w:id="27" w:name="_Toc2193"/>
      <w:r>
        <w:rPr>
          <w:rFonts w:hint="eastAsia" w:ascii="黑体" w:hAnsi="黑体" w:eastAsia="黑体" w:cs="黑体"/>
          <w:szCs w:val="21"/>
          <w:highlight w:val="none"/>
        </w:rPr>
        <w:t xml:space="preserve">1  </w:t>
      </w:r>
      <w:bookmarkStart w:id="28" w:name="OLE_LINK6"/>
      <w:r>
        <w:rPr>
          <w:rFonts w:hint="eastAsia" w:ascii="黑体" w:hAnsi="黑体" w:eastAsia="黑体" w:cs="黑体"/>
          <w:szCs w:val="21"/>
          <w:highlight w:val="none"/>
        </w:rPr>
        <w:t>地下水的类型及赋存状态；</w:t>
      </w:r>
      <w:bookmarkEnd w:id="27"/>
      <w:bookmarkEnd w:id="28"/>
    </w:p>
    <w:p w14:paraId="43C8C60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地下水位及地下水位动态变化，包括季节变化、多年变化、人为因素造成的变化；</w:t>
      </w:r>
    </w:p>
    <w:p w14:paraId="5C9AEE09">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包气带的岩土种类、厚度、分布规律、渗透性、透气性。</w:t>
      </w:r>
    </w:p>
    <w:p w14:paraId="3C16B72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4.2.3  场地岩土的物理力学性质指标、化学性质指标的测试方法应符合现行国家标准《土工试验方法标准》GB/T 50123的相关规定，设计需要时应测定岩土对目标污染物的水力渗透系数、气体有效渗透率、气体扩散系数。</w:t>
      </w:r>
    </w:p>
    <w:p w14:paraId="799A324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4.2.4  受污染岩土及地下水对建筑材料的腐蚀性评价和腐蚀等级划分，应符合现行国家标准《岩土工程勘察规范（2009年版）》GB 50021、</w:t>
      </w:r>
      <w:bookmarkStart w:id="29" w:name="_Hlk172031080"/>
      <w:r>
        <w:rPr>
          <w:rFonts w:hint="eastAsia" w:ascii="黑体" w:hAnsi="黑体" w:eastAsia="黑体" w:cs="黑体"/>
          <w:szCs w:val="21"/>
          <w:highlight w:val="none"/>
        </w:rPr>
        <w:t>《工业建筑防腐蚀设计标准》GB 50046</w:t>
      </w:r>
      <w:bookmarkEnd w:id="29"/>
      <w:r>
        <w:rPr>
          <w:rFonts w:hint="eastAsia" w:ascii="黑体" w:hAnsi="黑体" w:eastAsia="黑体" w:cs="黑体"/>
          <w:szCs w:val="21"/>
          <w:highlight w:val="none"/>
        </w:rPr>
        <w:t>的相关规定。</w:t>
      </w:r>
    </w:p>
    <w:p w14:paraId="2B49E83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4.2.5  岩土工程勘察的勘探工作量布置及取样要求应符合现行行业标准《污染场地岩土工程勘察标准》HG/T 20717的相关规定。</w:t>
      </w:r>
    </w:p>
    <w:p w14:paraId="40BB42FC">
      <w:pPr>
        <w:snapToGrid w:val="0"/>
        <w:spacing w:before="156" w:beforeLines="50" w:after="156" w:afterLines="50" w:line="360" w:lineRule="auto"/>
        <w:jc w:val="center"/>
        <w:outlineLvl w:val="1"/>
        <w:rPr>
          <w:rFonts w:ascii="黑体" w:hAnsi="黑体" w:eastAsia="黑体" w:cs="黑体"/>
          <w:szCs w:val="21"/>
          <w:highlight w:val="none"/>
        </w:rPr>
      </w:pPr>
      <w:bookmarkStart w:id="30" w:name="_Toc3832"/>
      <w:r>
        <w:rPr>
          <w:rFonts w:hint="eastAsia" w:ascii="黑体" w:hAnsi="黑体" w:eastAsia="黑体" w:cs="黑体"/>
          <w:szCs w:val="21"/>
          <w:highlight w:val="none"/>
        </w:rPr>
        <w:t>4.3  污染状况调查</w:t>
      </w:r>
      <w:bookmarkEnd w:id="30"/>
    </w:p>
    <w:p w14:paraId="7EB8FED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4.3.1  应通过资料收集、现场踏勘、人员访谈、原位检测、采样及实验室测试分析，进行下列土污染状况调查工作：</w:t>
      </w:r>
    </w:p>
    <w:p w14:paraId="71769FEC">
      <w:pPr>
        <w:snapToGrid w:val="0"/>
        <w:spacing w:line="360" w:lineRule="auto"/>
        <w:ind w:firstLine="420" w:firstLineChars="200"/>
        <w:rPr>
          <w:rFonts w:ascii="黑体" w:hAnsi="黑体" w:eastAsia="黑体" w:cs="黑体"/>
          <w:szCs w:val="21"/>
          <w:highlight w:val="none"/>
        </w:rPr>
      </w:pPr>
      <w:bookmarkStart w:id="31" w:name="_Toc6462"/>
      <w:r>
        <w:rPr>
          <w:rFonts w:hint="eastAsia" w:ascii="黑体" w:hAnsi="黑体" w:eastAsia="黑体" w:cs="黑体"/>
          <w:szCs w:val="21"/>
          <w:highlight w:val="none"/>
        </w:rPr>
        <w:t>1  查明</w:t>
      </w:r>
      <w:bookmarkStart w:id="32" w:name="OLE_LINK39"/>
      <w:r>
        <w:rPr>
          <w:rFonts w:hint="eastAsia" w:ascii="黑体" w:hAnsi="黑体" w:eastAsia="黑体" w:cs="黑体"/>
          <w:szCs w:val="21"/>
          <w:highlight w:val="none"/>
        </w:rPr>
        <w:t>工业有机</w:t>
      </w:r>
      <w:bookmarkEnd w:id="32"/>
      <w:r>
        <w:rPr>
          <w:rFonts w:hint="eastAsia" w:ascii="黑体" w:hAnsi="黑体" w:eastAsia="黑体" w:cs="黑体"/>
          <w:szCs w:val="21"/>
          <w:highlight w:val="none"/>
        </w:rPr>
        <w:t>污染历史成因，识别污染源及其性质；</w:t>
      </w:r>
      <w:bookmarkEnd w:id="31"/>
    </w:p>
    <w:p w14:paraId="78ABDD0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查明土壤和土壤气体的环境质量，调查方法应符合现行国家标准《土壤质量 土壤气体采样指南》GB/T 36198、现行行业标准《建设用地土壤污染状况调查 技术导则》HJ 25.1的相关规定。</w:t>
      </w:r>
    </w:p>
    <w:p w14:paraId="35B7C38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4.3.2</w:t>
      </w:r>
      <w:r>
        <w:rPr>
          <w:rFonts w:ascii="黑体" w:hAnsi="黑体" w:eastAsia="黑体" w:cs="黑体"/>
          <w:szCs w:val="21"/>
          <w:highlight w:val="none"/>
        </w:rPr>
        <w:t xml:space="preserve">  </w:t>
      </w:r>
      <w:r>
        <w:rPr>
          <w:rFonts w:hint="eastAsia" w:ascii="黑体" w:hAnsi="黑体" w:eastAsia="黑体" w:cs="黑体"/>
          <w:szCs w:val="21"/>
          <w:highlight w:val="none"/>
        </w:rPr>
        <w:t>应对场地内既有污染土体的污染状况开展以下详细调查：</w:t>
      </w:r>
    </w:p>
    <w:p w14:paraId="0FEEF49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确定污染土体的类型、成分、总量、埋深及既有工程阻隔措施；</w:t>
      </w:r>
    </w:p>
    <w:p w14:paraId="3B37E42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 xml:space="preserve">  </w:t>
      </w:r>
      <w:r>
        <w:rPr>
          <w:rFonts w:hint="eastAsia" w:ascii="黑体" w:hAnsi="黑体" w:eastAsia="黑体" w:cs="黑体"/>
          <w:szCs w:val="21"/>
          <w:highlight w:val="none"/>
        </w:rPr>
        <w:t>分析污染土体</w:t>
      </w:r>
      <w:bookmarkStart w:id="33" w:name="OLE_LINK7"/>
      <w:r>
        <w:rPr>
          <w:rFonts w:hint="eastAsia" w:ascii="黑体" w:hAnsi="黑体" w:eastAsia="黑体" w:cs="黑体"/>
          <w:szCs w:val="21"/>
          <w:highlight w:val="none"/>
        </w:rPr>
        <w:t>渗沥液</w:t>
      </w:r>
      <w:bookmarkEnd w:id="33"/>
      <w:r>
        <w:rPr>
          <w:rFonts w:hint="eastAsia" w:ascii="黑体" w:hAnsi="黑体" w:eastAsia="黑体" w:cs="黑体"/>
          <w:szCs w:val="21"/>
          <w:highlight w:val="none"/>
        </w:rPr>
        <w:t>的成分、污染物浓度及渗沥量；</w:t>
      </w:r>
    </w:p>
    <w:p w14:paraId="0BBBFD8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w:t>
      </w:r>
      <w:r>
        <w:rPr>
          <w:rFonts w:ascii="黑体" w:hAnsi="黑体" w:eastAsia="黑体" w:cs="黑体"/>
          <w:szCs w:val="21"/>
          <w:highlight w:val="none"/>
        </w:rPr>
        <w:t xml:space="preserve">  </w:t>
      </w:r>
      <w:r>
        <w:rPr>
          <w:rFonts w:hint="eastAsia" w:ascii="黑体" w:hAnsi="黑体" w:eastAsia="黑体" w:cs="黑体"/>
          <w:szCs w:val="21"/>
          <w:highlight w:val="none"/>
        </w:rPr>
        <w:t>分析污染土体土壤气体的成分、污染气体浓度及迁移情况。</w:t>
      </w:r>
    </w:p>
    <w:p w14:paraId="6F20AED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4.3.</w:t>
      </w:r>
      <w:r>
        <w:rPr>
          <w:rFonts w:ascii="黑体" w:hAnsi="黑体" w:eastAsia="黑体" w:cs="黑体"/>
          <w:szCs w:val="21"/>
          <w:highlight w:val="none"/>
        </w:rPr>
        <w:t>3</w:t>
      </w:r>
      <w:r>
        <w:rPr>
          <w:rFonts w:hint="eastAsia" w:ascii="黑体" w:hAnsi="黑体" w:eastAsia="黑体" w:cs="黑体"/>
          <w:szCs w:val="21"/>
          <w:highlight w:val="none"/>
        </w:rPr>
        <w:t xml:space="preserve">  应在岩土工程勘察成果及本规范4.3.1、4.3.</w:t>
      </w:r>
      <w:r>
        <w:rPr>
          <w:rFonts w:ascii="黑体" w:hAnsi="黑体" w:eastAsia="黑体" w:cs="黑体"/>
          <w:szCs w:val="21"/>
          <w:highlight w:val="none"/>
        </w:rPr>
        <w:t>2</w:t>
      </w:r>
      <w:r>
        <w:rPr>
          <w:rFonts w:hint="eastAsia" w:ascii="黑体" w:hAnsi="黑体" w:eastAsia="黑体" w:cs="黑体"/>
          <w:szCs w:val="21"/>
          <w:highlight w:val="none"/>
        </w:rPr>
        <w:t>的基础上，开展下列工作：</w:t>
      </w:r>
    </w:p>
    <w:p w14:paraId="2FD57670">
      <w:pPr>
        <w:snapToGrid w:val="0"/>
        <w:spacing w:line="360" w:lineRule="auto"/>
        <w:ind w:firstLine="420" w:firstLineChars="200"/>
        <w:rPr>
          <w:rFonts w:ascii="黑体" w:hAnsi="黑体" w:eastAsia="黑体" w:cs="黑体"/>
          <w:szCs w:val="21"/>
          <w:highlight w:val="none"/>
        </w:rPr>
      </w:pPr>
      <w:bookmarkStart w:id="34" w:name="_Toc19787"/>
      <w:r>
        <w:rPr>
          <w:rFonts w:hint="eastAsia" w:ascii="黑体" w:hAnsi="黑体" w:eastAsia="黑体" w:cs="黑体"/>
          <w:szCs w:val="21"/>
          <w:highlight w:val="none"/>
        </w:rPr>
        <w:t>1  宜确定污染源-汇关系；</w:t>
      </w:r>
      <w:bookmarkEnd w:id="34"/>
    </w:p>
    <w:p w14:paraId="1F4121F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应查明岩土中污染物和污染气体种类及浓度的空间分布，并宜分析其变化规律；</w:t>
      </w:r>
    </w:p>
    <w:p w14:paraId="3173E37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应参考现行国家标准《石油化工工程防渗技术规范》GB/T 50934确定场地的污染防治分区。</w:t>
      </w:r>
    </w:p>
    <w:p w14:paraId="70F9AF3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4.3.</w:t>
      </w:r>
      <w:r>
        <w:rPr>
          <w:rFonts w:ascii="黑体" w:hAnsi="黑体" w:eastAsia="黑体" w:cs="黑体"/>
          <w:szCs w:val="21"/>
          <w:highlight w:val="none"/>
        </w:rPr>
        <w:t>4</w:t>
      </w:r>
      <w:r>
        <w:rPr>
          <w:rFonts w:hint="eastAsia" w:ascii="黑体" w:hAnsi="黑体" w:eastAsia="黑体" w:cs="黑体"/>
          <w:szCs w:val="21"/>
          <w:highlight w:val="none"/>
        </w:rPr>
        <w:t xml:space="preserve">  应根据场地勘察与污染状况调查成果、场地用途确定工业有机污染场地覆盖阻隔工程的风险管控目标，并开展下列工作：</w:t>
      </w:r>
    </w:p>
    <w:p w14:paraId="7B794539">
      <w:pPr>
        <w:snapToGrid w:val="0"/>
        <w:spacing w:line="360" w:lineRule="auto"/>
        <w:ind w:firstLine="420" w:firstLineChars="200"/>
        <w:rPr>
          <w:rFonts w:ascii="黑体" w:hAnsi="黑体" w:eastAsia="黑体" w:cs="黑体"/>
          <w:szCs w:val="21"/>
          <w:highlight w:val="none"/>
        </w:rPr>
      </w:pPr>
      <w:bookmarkStart w:id="35" w:name="_Toc30358"/>
      <w:r>
        <w:rPr>
          <w:rFonts w:hint="eastAsia" w:ascii="黑体" w:hAnsi="黑体" w:eastAsia="黑体" w:cs="黑体"/>
          <w:szCs w:val="21"/>
          <w:highlight w:val="none"/>
        </w:rPr>
        <w:t>1  确定目标污染物；</w:t>
      </w:r>
      <w:bookmarkEnd w:id="35"/>
    </w:p>
    <w:p w14:paraId="24DB83C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确定目标污染物的风险控制值，应按现行行业标准</w:t>
      </w:r>
      <w:bookmarkStart w:id="36" w:name="_Hlk172031321"/>
      <w:r>
        <w:rPr>
          <w:rFonts w:hint="eastAsia" w:ascii="黑体" w:hAnsi="黑体" w:eastAsia="黑体" w:cs="黑体"/>
          <w:szCs w:val="21"/>
          <w:highlight w:val="none"/>
        </w:rPr>
        <w:t>《建设用地土壤污染风险评估技术导则》HJ 25.3</w:t>
      </w:r>
      <w:bookmarkEnd w:id="36"/>
      <w:r>
        <w:rPr>
          <w:rFonts w:hint="eastAsia" w:ascii="黑体" w:hAnsi="黑体" w:eastAsia="黑体" w:cs="黑体"/>
          <w:szCs w:val="21"/>
          <w:highlight w:val="none"/>
        </w:rPr>
        <w:t>的相关规定执行；</w:t>
      </w:r>
    </w:p>
    <w:p w14:paraId="665C604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确定风险管控范围。</w:t>
      </w:r>
    </w:p>
    <w:p w14:paraId="273D83AC">
      <w:pPr>
        <w:snapToGrid w:val="0"/>
        <w:spacing w:line="360" w:lineRule="auto"/>
        <w:ind w:firstLine="480" w:firstLineChars="200"/>
        <w:jc w:val="left"/>
        <w:rPr>
          <w:rFonts w:ascii="黑体" w:hAnsi="黑体" w:eastAsia="黑体" w:cs="黑体"/>
          <w:sz w:val="24"/>
          <w:szCs w:val="24"/>
          <w:highlight w:val="none"/>
        </w:rPr>
      </w:pPr>
    </w:p>
    <w:p w14:paraId="778ED3DC">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377EB57C">
      <w:pPr>
        <w:snapToGrid w:val="0"/>
        <w:spacing w:line="360" w:lineRule="auto"/>
        <w:jc w:val="center"/>
        <w:outlineLvl w:val="0"/>
        <w:rPr>
          <w:rFonts w:hint="eastAsia" w:ascii="黑体" w:hAnsi="黑体" w:eastAsia="黑体" w:cs="黑体"/>
          <w:sz w:val="28"/>
          <w:szCs w:val="28"/>
          <w:highlight w:val="none"/>
        </w:rPr>
      </w:pPr>
      <w:bookmarkStart w:id="37" w:name="_Toc10019"/>
      <w:r>
        <w:rPr>
          <w:rFonts w:hint="eastAsia" w:ascii="黑体" w:hAnsi="黑体" w:eastAsia="黑体" w:cs="黑体"/>
          <w:sz w:val="28"/>
          <w:szCs w:val="28"/>
          <w:highlight w:val="none"/>
        </w:rPr>
        <w:t>5  覆盖阻隔工程设计</w:t>
      </w:r>
      <w:bookmarkEnd w:id="37"/>
    </w:p>
    <w:p w14:paraId="23D677CF">
      <w:pPr>
        <w:jc w:val="left"/>
        <w:rPr>
          <w:rFonts w:hint="eastAsia" w:ascii="黑体" w:hAnsi="黑体" w:eastAsia="黑体" w:cs="黑体"/>
          <w:highlight w:val="none"/>
          <w:lang w:val="en-US" w:eastAsia="zh-CN"/>
        </w:rPr>
      </w:pPr>
    </w:p>
    <w:p w14:paraId="6792FCAB">
      <w:pPr>
        <w:snapToGrid w:val="0"/>
        <w:spacing w:before="156" w:beforeLines="50" w:after="156" w:afterLines="50" w:line="360" w:lineRule="auto"/>
        <w:jc w:val="center"/>
        <w:outlineLvl w:val="1"/>
        <w:rPr>
          <w:rFonts w:ascii="黑体" w:hAnsi="黑体" w:eastAsia="黑体" w:cs="黑体"/>
          <w:szCs w:val="21"/>
          <w:highlight w:val="none"/>
        </w:rPr>
      </w:pPr>
      <w:bookmarkStart w:id="38" w:name="_Toc32524"/>
      <w:r>
        <w:rPr>
          <w:rFonts w:hint="eastAsia" w:ascii="黑体" w:hAnsi="黑体" w:eastAsia="黑体" w:cs="黑体"/>
          <w:szCs w:val="21"/>
          <w:highlight w:val="none"/>
        </w:rPr>
        <w:t>5.1  一 般 规 定</w:t>
      </w:r>
      <w:bookmarkEnd w:id="38"/>
    </w:p>
    <w:p w14:paraId="2EC36ED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 xml:space="preserve">5.1.1  </w:t>
      </w:r>
      <w:bookmarkStart w:id="39" w:name="OLE_LINK8"/>
      <w:r>
        <w:rPr>
          <w:rFonts w:hint="eastAsia" w:ascii="黑体" w:hAnsi="黑体" w:eastAsia="黑体" w:cs="黑体"/>
          <w:szCs w:val="21"/>
          <w:highlight w:val="none"/>
        </w:rPr>
        <w:t>覆盖阻隔工程设计应综合考虑场地勘察与污染状况调查成果、风险管控目标、目标污染物、风险控制值</w:t>
      </w:r>
      <w:bookmarkEnd w:id="39"/>
      <w:r>
        <w:rPr>
          <w:rFonts w:hint="eastAsia" w:ascii="黑体" w:hAnsi="黑体" w:eastAsia="黑体" w:cs="黑体"/>
          <w:szCs w:val="21"/>
          <w:highlight w:val="none"/>
        </w:rPr>
        <w:t>、设计使用年限要求，兼顾施工条件与场地修复方案。覆盖阻隔工程设计方案的内容宜按本规范附录A执行。</w:t>
      </w:r>
    </w:p>
    <w:p w14:paraId="0AE71EB2">
      <w:pPr>
        <w:snapToGrid w:val="0"/>
        <w:spacing w:line="360" w:lineRule="auto"/>
        <w:jc w:val="left"/>
        <w:rPr>
          <w:rFonts w:ascii="黑体" w:hAnsi="黑体" w:eastAsia="黑体" w:cs="黑体"/>
          <w:szCs w:val="21"/>
          <w:highlight w:val="none"/>
        </w:rPr>
      </w:pPr>
      <w:bookmarkStart w:id="40" w:name="OLE_LINK48"/>
      <w:r>
        <w:rPr>
          <w:rFonts w:hint="eastAsia" w:ascii="黑体" w:hAnsi="黑体" w:eastAsia="黑体" w:cs="黑体"/>
          <w:szCs w:val="21"/>
          <w:highlight w:val="none"/>
        </w:rPr>
        <w:t>5.1.2  覆盖阻隔系统自下而上宜包括排气层、防渗阻气层、排水层、</w:t>
      </w:r>
      <w:r>
        <w:rPr>
          <w:rFonts w:hint="eastAsia" w:ascii="黑体" w:hAnsi="黑体" w:eastAsia="黑体" w:cs="黑体"/>
          <w:szCs w:val="21"/>
          <w:highlight w:val="none"/>
          <w:lang w:val="en-US" w:eastAsia="zh-CN"/>
        </w:rPr>
        <w:t>覆盖支持土层、营养</w:t>
      </w:r>
      <w:r>
        <w:rPr>
          <w:rFonts w:hint="eastAsia" w:ascii="黑体" w:hAnsi="黑体" w:eastAsia="黑体" w:cs="黑体"/>
          <w:szCs w:val="21"/>
          <w:highlight w:val="none"/>
        </w:rPr>
        <w:t>植被层，如下图所示。其中防渗阻气层为必选层，其他层应视场地情况作为可选项。</w:t>
      </w:r>
      <w:bookmarkEnd w:id="40"/>
    </w:p>
    <w:p w14:paraId="58B912E4">
      <w:pPr>
        <w:snapToGrid w:val="0"/>
        <w:spacing w:line="360" w:lineRule="auto"/>
        <w:jc w:val="center"/>
        <w:rPr>
          <w:rFonts w:hint="eastAsia" w:ascii="黑体" w:hAnsi="黑体" w:eastAsia="黑体" w:cs="黑体"/>
          <w:highlight w:val="none"/>
        </w:rPr>
      </w:pPr>
      <w:r>
        <w:rPr>
          <w:rFonts w:hint="eastAsia" w:ascii="黑体" w:hAnsi="黑体" w:eastAsia="黑体" w:cs="黑体"/>
          <w:highlight w:val="none"/>
        </w:rPr>
        <w:drawing>
          <wp:inline distT="0" distB="0" distL="114300" distR="114300">
            <wp:extent cx="3315335" cy="2827020"/>
            <wp:effectExtent l="0" t="0" r="18415" b="11430"/>
            <wp:docPr id="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0"/>
                    <pic:cNvPicPr>
                      <a:picLocks noChangeAspect="1"/>
                    </pic:cNvPicPr>
                  </pic:nvPicPr>
                  <pic:blipFill>
                    <a:blip r:embed="rId10"/>
                    <a:stretch>
                      <a:fillRect/>
                    </a:stretch>
                  </pic:blipFill>
                  <pic:spPr>
                    <a:xfrm>
                      <a:off x="0" y="0"/>
                      <a:ext cx="3315335" cy="2827020"/>
                    </a:xfrm>
                    <a:prstGeom prst="rect">
                      <a:avLst/>
                    </a:prstGeom>
                    <a:noFill/>
                    <a:ln>
                      <a:noFill/>
                    </a:ln>
                  </pic:spPr>
                </pic:pic>
              </a:graphicData>
            </a:graphic>
          </wp:inline>
        </w:drawing>
      </w:r>
    </w:p>
    <w:p w14:paraId="7D8139BD">
      <w:pPr>
        <w:spacing w:line="360" w:lineRule="auto"/>
        <w:jc w:val="center"/>
        <w:rPr>
          <w:rFonts w:ascii="黑体" w:hAnsi="黑体" w:eastAsia="黑体" w:cs="黑体"/>
          <w:b/>
          <w:bCs/>
          <w:sz w:val="18"/>
          <w:szCs w:val="18"/>
          <w:highlight w:val="none"/>
        </w:rPr>
      </w:pPr>
      <w:r>
        <w:rPr>
          <w:rFonts w:hint="eastAsia" w:ascii="黑体" w:hAnsi="黑体" w:eastAsia="黑体" w:cs="黑体"/>
          <w:b/>
          <w:bCs/>
          <w:sz w:val="18"/>
          <w:szCs w:val="18"/>
          <w:highlight w:val="none"/>
        </w:rPr>
        <w:t>图5.1.2  覆盖阻隔系统结构图</w:t>
      </w:r>
    </w:p>
    <w:p w14:paraId="7D44FFE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5.1.3  覆盖阻隔屏障的设计使用年限应满足场地用途要求。</w:t>
      </w:r>
    </w:p>
    <w:p w14:paraId="70ED67B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 xml:space="preserve">5.1.4  </w:t>
      </w:r>
      <w:bookmarkStart w:id="41" w:name="_Hlk172796764"/>
      <w:r>
        <w:rPr>
          <w:rFonts w:hint="eastAsia" w:ascii="黑体" w:hAnsi="黑体" w:eastAsia="黑体" w:cs="黑体"/>
          <w:szCs w:val="21"/>
          <w:highlight w:val="none"/>
        </w:rPr>
        <w:t>风险控制值应根据场地污染特征、场地用途、场地周边环境等因素综合确定，并应符合</w:t>
      </w:r>
      <w:bookmarkStart w:id="42" w:name="OLE_LINK37"/>
      <w:r>
        <w:rPr>
          <w:rFonts w:hint="eastAsia" w:ascii="黑体" w:hAnsi="黑体" w:eastAsia="黑体" w:cs="黑体"/>
          <w:szCs w:val="21"/>
          <w:highlight w:val="none"/>
        </w:rPr>
        <w:t>现行行业标准</w:t>
      </w:r>
      <w:bookmarkEnd w:id="42"/>
      <w:bookmarkStart w:id="43" w:name="_Hlk172031702"/>
      <w:r>
        <w:rPr>
          <w:rFonts w:hint="eastAsia" w:ascii="黑体" w:hAnsi="黑体" w:eastAsia="黑体" w:cs="黑体"/>
          <w:szCs w:val="21"/>
          <w:highlight w:val="none"/>
        </w:rPr>
        <w:t>《污染地块风险管控与土壤修复效果评估技术导则》HJ 25.5</w:t>
      </w:r>
      <w:bookmarkEnd w:id="43"/>
      <w:r>
        <w:rPr>
          <w:rFonts w:hint="eastAsia" w:ascii="黑体" w:hAnsi="黑体" w:eastAsia="黑体" w:cs="黑体"/>
          <w:szCs w:val="21"/>
          <w:highlight w:val="none"/>
        </w:rPr>
        <w:t>、《建设用地土壤污染风险评估技术导则》HJ 25.3的相关规定。</w:t>
      </w:r>
      <w:bookmarkEnd w:id="41"/>
    </w:p>
    <w:p w14:paraId="073E87BF">
      <w:pPr>
        <w:snapToGrid w:val="0"/>
        <w:spacing w:before="156" w:beforeLines="50" w:after="156" w:afterLines="50" w:line="360" w:lineRule="auto"/>
        <w:jc w:val="center"/>
        <w:outlineLvl w:val="1"/>
        <w:rPr>
          <w:rFonts w:ascii="黑体" w:hAnsi="黑体" w:eastAsia="黑体" w:cs="黑体"/>
          <w:szCs w:val="21"/>
          <w:highlight w:val="none"/>
        </w:rPr>
      </w:pPr>
      <w:bookmarkStart w:id="44" w:name="_Toc31238"/>
      <w:r>
        <w:rPr>
          <w:rFonts w:hint="eastAsia" w:ascii="黑体" w:hAnsi="黑体" w:eastAsia="黑体" w:cs="黑体"/>
          <w:szCs w:val="21"/>
          <w:highlight w:val="none"/>
        </w:rPr>
        <w:t>5.2  覆盖阻隔屏障总体设计</w:t>
      </w:r>
      <w:bookmarkEnd w:id="44"/>
    </w:p>
    <w:p w14:paraId="0ED008E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5.2.1  覆盖阻隔屏障的总体设计内容应包括平面布置、屏障厚度。</w:t>
      </w:r>
    </w:p>
    <w:p w14:paraId="184F6F23">
      <w:pPr>
        <w:snapToGrid w:val="0"/>
        <w:spacing w:line="360" w:lineRule="auto"/>
        <w:rPr>
          <w:rFonts w:ascii="黑体" w:hAnsi="黑体" w:eastAsia="黑体" w:cs="黑体"/>
          <w:szCs w:val="21"/>
          <w:highlight w:val="none"/>
        </w:rPr>
      </w:pPr>
      <w:bookmarkStart w:id="45" w:name="OLE_LINK33"/>
      <w:r>
        <w:rPr>
          <w:rFonts w:hint="eastAsia" w:ascii="黑体" w:hAnsi="黑体" w:eastAsia="黑体" w:cs="黑体"/>
          <w:szCs w:val="21"/>
          <w:highlight w:val="none"/>
        </w:rPr>
        <w:t xml:space="preserve">5.2.2  </w:t>
      </w:r>
      <w:bookmarkStart w:id="46" w:name="_Hlk172797643"/>
      <w:r>
        <w:rPr>
          <w:rFonts w:hint="eastAsia" w:ascii="黑体" w:hAnsi="黑体" w:eastAsia="黑体" w:cs="黑体"/>
          <w:szCs w:val="21"/>
          <w:highlight w:val="none"/>
        </w:rPr>
        <w:t>覆盖阻隔屏障的平面布置设计</w:t>
      </w:r>
      <w:bookmarkEnd w:id="46"/>
      <w:r>
        <w:rPr>
          <w:rFonts w:hint="eastAsia" w:ascii="黑体" w:hAnsi="黑体" w:eastAsia="黑体" w:cs="黑体"/>
          <w:szCs w:val="21"/>
          <w:highlight w:val="none"/>
        </w:rPr>
        <w:t>应符合下列规定：</w:t>
      </w:r>
    </w:p>
    <w:p w14:paraId="3CAF593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对于</w:t>
      </w:r>
      <w:bookmarkStart w:id="47" w:name="OLE_LINK41"/>
      <w:r>
        <w:rPr>
          <w:rFonts w:hint="eastAsia" w:ascii="黑体" w:hAnsi="黑体" w:eastAsia="黑体" w:cs="黑体"/>
          <w:szCs w:val="21"/>
          <w:highlight w:val="none"/>
        </w:rPr>
        <w:t>一般污染防治区</w:t>
      </w:r>
      <w:bookmarkEnd w:id="47"/>
      <w:r>
        <w:rPr>
          <w:rFonts w:hint="eastAsia" w:ascii="黑体" w:hAnsi="黑体" w:eastAsia="黑体" w:cs="黑体"/>
          <w:szCs w:val="21"/>
          <w:highlight w:val="none"/>
        </w:rPr>
        <w:t>，应综合风险管控范围、地质条件、污染源-汇关系、场地用途等因素进行设计，宜根据污染范围选用全覆盖式平面布置，切断污染土壤和污染气体的暴露途径；</w:t>
      </w:r>
    </w:p>
    <w:p w14:paraId="0293B38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 xml:space="preserve">  </w:t>
      </w:r>
      <w:r>
        <w:rPr>
          <w:rFonts w:hint="eastAsia" w:ascii="黑体" w:hAnsi="黑体" w:eastAsia="黑体" w:cs="黑体"/>
          <w:szCs w:val="21"/>
          <w:highlight w:val="none"/>
        </w:rPr>
        <w:t>对于重点污染防治区，可额外对其设计闭合形式布置的竖向阻隔屏障，使其与覆盖阻隔屏障相连，切断污染气体的水平迁移途径。</w:t>
      </w:r>
    </w:p>
    <w:bookmarkEnd w:id="45"/>
    <w:p w14:paraId="4DFBE5B2">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5.2.3  覆盖阻隔屏障的厚度应根据施工条件、场地环境污染现状等因素进行设计；厚度不宜小于0.8 cm，不宜大于1.2 m。</w:t>
      </w:r>
    </w:p>
    <w:p w14:paraId="347B8B27">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5.2.4  覆盖阻隔屏障应位于地下水位之上。</w:t>
      </w:r>
    </w:p>
    <w:p w14:paraId="76E53FC8">
      <w:pPr>
        <w:snapToGrid w:val="0"/>
        <w:spacing w:before="156" w:beforeLines="50" w:after="156" w:afterLines="50" w:line="360" w:lineRule="auto"/>
        <w:jc w:val="center"/>
        <w:outlineLvl w:val="1"/>
        <w:rPr>
          <w:rFonts w:ascii="黑体" w:hAnsi="黑体" w:eastAsia="黑体" w:cs="黑体"/>
          <w:szCs w:val="21"/>
          <w:highlight w:val="none"/>
        </w:rPr>
      </w:pPr>
      <w:bookmarkStart w:id="48" w:name="_Toc5411"/>
      <w:r>
        <w:rPr>
          <w:rFonts w:hint="eastAsia" w:ascii="黑体" w:hAnsi="黑体" w:eastAsia="黑体" w:cs="黑体"/>
          <w:szCs w:val="21"/>
          <w:highlight w:val="none"/>
        </w:rPr>
        <w:t>5.3  覆盖阻隔屏障防渗阻气层</w:t>
      </w:r>
      <w:bookmarkEnd w:id="48"/>
    </w:p>
    <w:p w14:paraId="1EA5B77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5.3.1  防渗阻气层材料应根据设计使用年限要求、场地勘察与污染状况调查成果、场地安全再利用要求、设计厚度综合确定。选用程序应依次包括类型适用性判别、原材料选用、屏障材料设计、使用功能判别。</w:t>
      </w:r>
    </w:p>
    <w:p w14:paraId="5DABD2A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5.3.2  防渗阻气层材料及结构类型适用性判别应符合下列规定：</w:t>
      </w:r>
    </w:p>
    <w:p w14:paraId="7983327A">
      <w:pPr>
        <w:snapToGrid w:val="0"/>
        <w:spacing w:line="360" w:lineRule="auto"/>
        <w:ind w:firstLine="420" w:firstLineChars="200"/>
        <w:rPr>
          <w:rFonts w:ascii="黑体" w:hAnsi="黑体" w:eastAsia="黑体" w:cs="黑体"/>
          <w:szCs w:val="21"/>
          <w:highlight w:val="none"/>
        </w:rPr>
      </w:pPr>
      <w:bookmarkStart w:id="49" w:name="_Toc4054"/>
      <w:r>
        <w:rPr>
          <w:rFonts w:hint="eastAsia" w:ascii="黑体" w:hAnsi="黑体" w:eastAsia="黑体" w:cs="黑体"/>
          <w:szCs w:val="21"/>
          <w:highlight w:val="none"/>
        </w:rPr>
        <w:t>1  对于一般污染防治区，可选用压实黏土屏障、压实黏土-膨润土防水毯复合覆盖屏障；</w:t>
      </w:r>
    </w:p>
    <w:p w14:paraId="78E8D4AC">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 xml:space="preserve">  </w:t>
      </w:r>
      <w:r>
        <w:rPr>
          <w:rFonts w:hint="eastAsia" w:ascii="黑体" w:hAnsi="黑体" w:eastAsia="黑体" w:cs="黑体"/>
          <w:szCs w:val="21"/>
          <w:highlight w:val="none"/>
        </w:rPr>
        <w:t>对于重点污染防治区，可选用压实黏土-土工膜或压实黏土-膨润土防水毯-土工膜复合覆盖阻隔屏障，并与竖向阻隔屏障相连。</w:t>
      </w:r>
      <w:bookmarkEnd w:id="49"/>
    </w:p>
    <w:p w14:paraId="39D9944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5.3.3  防渗阻气材料应对场地污染物具有防腐蚀性能，应根据现行国家标准《工业建筑防腐蚀设计标准》GB 50046的腐蚀性等级进行选用，污染物对防渗阻气材料的腐蚀性等级不应高于中等。</w:t>
      </w:r>
    </w:p>
    <w:p w14:paraId="64CAC125">
      <w:pPr>
        <w:snapToGrid w:val="0"/>
        <w:spacing w:line="360" w:lineRule="auto"/>
        <w:rPr>
          <w:rFonts w:ascii="黑体" w:hAnsi="黑体" w:eastAsia="黑体" w:cs="黑体"/>
          <w:szCs w:val="21"/>
          <w:highlight w:val="none"/>
        </w:rPr>
      </w:pPr>
      <w:bookmarkStart w:id="50" w:name="_Toc30508"/>
      <w:r>
        <w:rPr>
          <w:rFonts w:hint="eastAsia" w:ascii="黑体" w:hAnsi="黑体" w:eastAsia="黑体" w:cs="黑体"/>
          <w:szCs w:val="21"/>
          <w:highlight w:val="none"/>
        </w:rPr>
        <w:t>5.3.4  覆盖阻隔屏障原材料选用的压实黏土除应符合现行国家标准《生活垃圾卫生填埋场防渗系统工程技术标准》GB/T 51403的相关规定外，尚应符合下列规定：</w:t>
      </w:r>
      <w:bookmarkEnd w:id="50"/>
    </w:p>
    <w:p w14:paraId="53A492E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压实黏土层平均厚度不宜小于300 mm，应进行分层压实，顶部压实度不宜小于90%，边坡压实度不宜小于85%。</w:t>
      </w:r>
    </w:p>
    <w:p w14:paraId="76918B3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压实黏土层饱和水力渗透系数小于1×10</w:t>
      </w:r>
      <w:r>
        <w:rPr>
          <w:rFonts w:hint="eastAsia" w:ascii="黑体" w:hAnsi="黑体" w:eastAsia="黑体" w:cs="黑体"/>
          <w:szCs w:val="21"/>
          <w:highlight w:val="none"/>
          <w:vertAlign w:val="superscript"/>
        </w:rPr>
        <w:t xml:space="preserve">-7 </w:t>
      </w:r>
      <w:r>
        <w:rPr>
          <w:rFonts w:hint="eastAsia" w:ascii="黑体" w:hAnsi="黑体" w:eastAsia="黑体" w:cs="黑体"/>
          <w:szCs w:val="21"/>
          <w:highlight w:val="none"/>
        </w:rPr>
        <w:t>cm/s;</w:t>
      </w:r>
    </w:p>
    <w:p w14:paraId="37F802A0">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压实黏土层表面应平整、光滑;</w:t>
      </w:r>
    </w:p>
    <w:p w14:paraId="644FF24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压实黏土层的无侧限抗压强度不应小于150 kPa；</w:t>
      </w:r>
    </w:p>
    <w:p w14:paraId="466C37B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屏障材料的强度性能尚应满足邻近建（构）筑物和地下管线变形控制要求。</w:t>
      </w:r>
    </w:p>
    <w:p w14:paraId="5290D627">
      <w:pPr>
        <w:snapToGrid w:val="0"/>
        <w:spacing w:line="360" w:lineRule="auto"/>
        <w:rPr>
          <w:rFonts w:ascii="黑体" w:hAnsi="黑体" w:eastAsia="黑体" w:cs="黑体"/>
          <w:szCs w:val="21"/>
          <w:highlight w:val="none"/>
        </w:rPr>
      </w:pPr>
      <w:bookmarkStart w:id="51" w:name="_Toc13963"/>
      <w:r>
        <w:rPr>
          <w:rFonts w:hint="eastAsia" w:ascii="黑体" w:hAnsi="黑体" w:eastAsia="黑体" w:cs="黑体"/>
          <w:szCs w:val="21"/>
          <w:highlight w:val="none"/>
        </w:rPr>
        <w:t>5.3.5  覆盖阻隔屏障原材料选用的土工膜</w:t>
      </w:r>
      <w:bookmarkEnd w:id="51"/>
      <w:r>
        <w:rPr>
          <w:rFonts w:hint="eastAsia" w:ascii="黑体" w:hAnsi="黑体" w:eastAsia="黑体" w:cs="黑体"/>
          <w:szCs w:val="21"/>
          <w:highlight w:val="none"/>
        </w:rPr>
        <w:t>除应符合现行国家标准《生活垃圾卫生填埋场防渗系统工程技术标准》GB/T 51403的相关规定外，尚应符合下列规定：</w:t>
      </w:r>
    </w:p>
    <w:p w14:paraId="17E896C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应具有良好的抗拉强度或抗不均匀沉降能力；</w:t>
      </w:r>
    </w:p>
    <w:p w14:paraId="24096DA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水力渗透系数应小于1×10</w:t>
      </w:r>
      <w:r>
        <w:rPr>
          <w:rFonts w:hint="eastAsia" w:ascii="黑体" w:hAnsi="黑体" w:eastAsia="黑体" w:cs="黑体"/>
          <w:szCs w:val="21"/>
          <w:highlight w:val="none"/>
          <w:vertAlign w:val="superscript"/>
        </w:rPr>
        <w:t xml:space="preserve">-12 </w:t>
      </w:r>
      <w:r>
        <w:rPr>
          <w:rFonts w:hint="eastAsia" w:ascii="黑体" w:hAnsi="黑体" w:eastAsia="黑体" w:cs="黑体"/>
          <w:szCs w:val="21"/>
          <w:highlight w:val="none"/>
        </w:rPr>
        <w:t>cm/s；</w:t>
      </w:r>
    </w:p>
    <w:p w14:paraId="48D41BD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应具有良好的抗老化能力，使用寿命应大于30年；</w:t>
      </w:r>
    </w:p>
    <w:p w14:paraId="3EFE8F5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可选用高密度聚乙烯或线性低密度聚乙烯土工膜，厚度不宜小于1.5 mm；</w:t>
      </w:r>
    </w:p>
    <w:p w14:paraId="25E882F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土工膜上方和下方可设置保护层，保护层为压实黏土层时，饱和渗透系数不应大于1×10</w:t>
      </w:r>
      <w:r>
        <w:rPr>
          <w:rFonts w:hint="eastAsia" w:ascii="黑体" w:hAnsi="黑体" w:eastAsia="黑体" w:cs="黑体"/>
          <w:szCs w:val="21"/>
          <w:highlight w:val="none"/>
          <w:vertAlign w:val="superscript"/>
        </w:rPr>
        <w:t>-5</w:t>
      </w:r>
      <w:r>
        <w:rPr>
          <w:rFonts w:hint="eastAsia" w:ascii="黑体" w:hAnsi="黑体" w:eastAsia="黑体" w:cs="黑体"/>
          <w:szCs w:val="21"/>
          <w:highlight w:val="none"/>
        </w:rPr>
        <w:t xml:space="preserve"> cm/s，厚度不宜小于0.30 m，防止土工膜遭到破坏；</w:t>
      </w:r>
    </w:p>
    <w:p w14:paraId="7518BFE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土工膜上方可采用非织造土工布作为保护层，规格不应小于600 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，并符合现行行业标准《垃圾填埋场用非织造土工布》CJ/T 460的相关规定；</w:t>
      </w:r>
    </w:p>
    <w:p w14:paraId="17D1B449">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7  边坡上宜采用双糙面土工膜，并在边坡平台上设土工膜锚固沟。</w:t>
      </w:r>
    </w:p>
    <w:p w14:paraId="1F1299E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8  土工膜外观应符合表5.3.5的规定。</w:t>
      </w:r>
    </w:p>
    <w:p w14:paraId="08375703">
      <w:pPr>
        <w:snapToGrid w:val="0"/>
        <w:spacing w:line="360" w:lineRule="auto"/>
        <w:jc w:val="center"/>
        <w:rPr>
          <w:rFonts w:ascii="黑体" w:hAnsi="黑体" w:eastAsia="黑体" w:cs="黑体"/>
          <w:szCs w:val="21"/>
          <w:highlight w:val="none"/>
        </w:rPr>
      </w:pPr>
      <w:r>
        <w:rPr>
          <w:rFonts w:hint="eastAsia" w:ascii="黑体" w:hAnsi="黑体" w:eastAsia="黑体" w:cs="黑体"/>
          <w:szCs w:val="21"/>
          <w:highlight w:val="none"/>
        </w:rPr>
        <w:t>表5.3.5 土工膜外观要求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5"/>
        <w:gridCol w:w="5937"/>
      </w:tblGrid>
      <w:tr w14:paraId="45FAC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3FE835A8">
            <w:pPr>
              <w:snapToGrid w:val="0"/>
              <w:jc w:val="center"/>
              <w:rPr>
                <w:rFonts w:ascii="黑体" w:hAnsi="黑体" w:eastAsia="黑体" w:cs="黑体"/>
                <w:szCs w:val="21"/>
                <w:highlight w:val="none"/>
              </w:rPr>
            </w:pPr>
            <w:r>
              <w:rPr>
                <w:rFonts w:hint="eastAsia" w:ascii="黑体" w:hAnsi="黑体" w:eastAsia="黑体" w:cs="黑体"/>
                <w:szCs w:val="21"/>
                <w:highlight w:val="none"/>
              </w:rPr>
              <w:t>项目</w:t>
            </w:r>
          </w:p>
        </w:tc>
        <w:tc>
          <w:tcPr>
            <w:tcW w:w="5937" w:type="dxa"/>
          </w:tcPr>
          <w:p w14:paraId="16D33F81">
            <w:pPr>
              <w:snapToGrid w:val="0"/>
              <w:jc w:val="center"/>
              <w:rPr>
                <w:rFonts w:ascii="黑体" w:hAnsi="黑体" w:eastAsia="黑体" w:cs="黑体"/>
                <w:szCs w:val="21"/>
                <w:highlight w:val="none"/>
              </w:rPr>
            </w:pPr>
            <w:r>
              <w:rPr>
                <w:rFonts w:hint="eastAsia" w:ascii="黑体" w:hAnsi="黑体" w:eastAsia="黑体" w:cs="黑体"/>
                <w:szCs w:val="21"/>
                <w:highlight w:val="none"/>
              </w:rPr>
              <w:t>要求</w:t>
            </w:r>
          </w:p>
        </w:tc>
      </w:tr>
      <w:tr w14:paraId="36814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6925874E">
            <w:pPr>
              <w:snapToGrid w:val="0"/>
              <w:jc w:val="center"/>
              <w:rPr>
                <w:rFonts w:ascii="黑体" w:hAnsi="黑体" w:eastAsia="黑体" w:cs="黑体"/>
                <w:szCs w:val="21"/>
                <w:highlight w:val="none"/>
              </w:rPr>
            </w:pPr>
            <w:r>
              <w:rPr>
                <w:rFonts w:hint="eastAsia" w:ascii="黑体" w:hAnsi="黑体" w:eastAsia="黑体" w:cs="黑体"/>
                <w:szCs w:val="21"/>
                <w:highlight w:val="none"/>
              </w:rPr>
              <w:t>切口</w:t>
            </w:r>
          </w:p>
        </w:tc>
        <w:tc>
          <w:tcPr>
            <w:tcW w:w="5937" w:type="dxa"/>
          </w:tcPr>
          <w:p w14:paraId="29B398E4">
            <w:pPr>
              <w:snapToGrid w:val="0"/>
              <w:jc w:val="center"/>
              <w:rPr>
                <w:rFonts w:ascii="黑体" w:hAnsi="黑体" w:eastAsia="黑体" w:cs="黑体"/>
                <w:szCs w:val="21"/>
                <w:highlight w:val="none"/>
              </w:rPr>
            </w:pPr>
            <w:r>
              <w:rPr>
                <w:rFonts w:hint="eastAsia" w:ascii="黑体" w:hAnsi="黑体" w:eastAsia="黑体" w:cs="黑体"/>
                <w:szCs w:val="21"/>
                <w:highlight w:val="none"/>
              </w:rPr>
              <w:t>平直，无明显锯齿现象</w:t>
            </w:r>
          </w:p>
        </w:tc>
      </w:tr>
      <w:tr w14:paraId="3DD10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6F08C69F">
            <w:pPr>
              <w:snapToGrid w:val="0"/>
              <w:jc w:val="center"/>
              <w:rPr>
                <w:rFonts w:ascii="黑体" w:hAnsi="黑体" w:eastAsia="黑体" w:cs="黑体"/>
                <w:szCs w:val="21"/>
                <w:highlight w:val="none"/>
              </w:rPr>
            </w:pPr>
            <w:r>
              <w:rPr>
                <w:rFonts w:hint="eastAsia" w:ascii="黑体" w:hAnsi="黑体" w:eastAsia="黑体" w:cs="黑体"/>
                <w:szCs w:val="21"/>
                <w:highlight w:val="none"/>
              </w:rPr>
              <w:t>穿孔修复点</w:t>
            </w:r>
          </w:p>
        </w:tc>
        <w:tc>
          <w:tcPr>
            <w:tcW w:w="5937" w:type="dxa"/>
          </w:tcPr>
          <w:p w14:paraId="466EF3BA">
            <w:pPr>
              <w:snapToGrid w:val="0"/>
              <w:jc w:val="center"/>
              <w:rPr>
                <w:rFonts w:ascii="黑体" w:hAnsi="黑体" w:eastAsia="黑体" w:cs="黑体"/>
                <w:szCs w:val="21"/>
                <w:highlight w:val="none"/>
              </w:rPr>
            </w:pPr>
            <w:r>
              <w:rPr>
                <w:rFonts w:hint="eastAsia" w:ascii="黑体" w:hAnsi="黑体" w:eastAsia="黑体" w:cs="黑体"/>
                <w:szCs w:val="21"/>
                <w:highlight w:val="none"/>
              </w:rPr>
              <w:t>不允许</w:t>
            </w:r>
          </w:p>
        </w:tc>
      </w:tr>
      <w:tr w14:paraId="40385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33967368">
            <w:pPr>
              <w:snapToGrid w:val="0"/>
              <w:jc w:val="center"/>
              <w:rPr>
                <w:rFonts w:ascii="黑体" w:hAnsi="黑体" w:eastAsia="黑体" w:cs="黑体"/>
                <w:szCs w:val="21"/>
                <w:highlight w:val="none"/>
              </w:rPr>
            </w:pPr>
            <w:r>
              <w:rPr>
                <w:rFonts w:hint="eastAsia" w:ascii="黑体" w:hAnsi="黑体" w:eastAsia="黑体" w:cs="黑体"/>
                <w:szCs w:val="21"/>
                <w:highlight w:val="none"/>
              </w:rPr>
              <w:t>机械（加工）划痕</w:t>
            </w:r>
          </w:p>
        </w:tc>
        <w:tc>
          <w:tcPr>
            <w:tcW w:w="5937" w:type="dxa"/>
          </w:tcPr>
          <w:p w14:paraId="25140F37">
            <w:pPr>
              <w:snapToGrid w:val="0"/>
              <w:jc w:val="center"/>
              <w:rPr>
                <w:rFonts w:ascii="黑体" w:hAnsi="黑体" w:eastAsia="黑体" w:cs="黑体"/>
                <w:szCs w:val="21"/>
                <w:highlight w:val="none"/>
              </w:rPr>
            </w:pPr>
            <w:r>
              <w:rPr>
                <w:rFonts w:hint="eastAsia" w:ascii="黑体" w:hAnsi="黑体" w:eastAsia="黑体" w:cs="黑体"/>
                <w:szCs w:val="21"/>
                <w:highlight w:val="none"/>
              </w:rPr>
              <w:t>无或不明显</w:t>
            </w:r>
          </w:p>
        </w:tc>
      </w:tr>
      <w:tr w14:paraId="1439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vAlign w:val="center"/>
          </w:tcPr>
          <w:p w14:paraId="2A6AEEC7">
            <w:pPr>
              <w:snapToGrid w:val="0"/>
              <w:jc w:val="center"/>
              <w:rPr>
                <w:rFonts w:ascii="黑体" w:hAnsi="黑体" w:eastAsia="黑体" w:cs="黑体"/>
                <w:szCs w:val="21"/>
                <w:highlight w:val="none"/>
              </w:rPr>
            </w:pPr>
            <w:r>
              <w:rPr>
                <w:rFonts w:hint="eastAsia" w:ascii="黑体" w:hAnsi="黑体" w:eastAsia="黑体" w:cs="黑体"/>
                <w:szCs w:val="21"/>
                <w:highlight w:val="none"/>
              </w:rPr>
              <w:t>僵块</w:t>
            </w:r>
          </w:p>
        </w:tc>
        <w:tc>
          <w:tcPr>
            <w:tcW w:w="5937" w:type="dxa"/>
          </w:tcPr>
          <w:p w14:paraId="7F091AF5">
            <w:pPr>
              <w:snapToGrid w:val="0"/>
              <w:jc w:val="center"/>
              <w:rPr>
                <w:rFonts w:ascii="黑体" w:hAnsi="黑体" w:eastAsia="黑体" w:cs="黑体"/>
                <w:szCs w:val="21"/>
                <w:highlight w:val="none"/>
              </w:rPr>
            </w:pPr>
            <w:r>
              <w:rPr>
                <w:rFonts w:hint="eastAsia" w:ascii="黑体" w:hAnsi="黑体" w:eastAsia="黑体" w:cs="黑体"/>
                <w:szCs w:val="21"/>
                <w:highlight w:val="none"/>
              </w:rPr>
              <w:t>每1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限于10个以内，直径小于等于2.0 mm，截面上不允许有贯穿膜厚度的僵块</w:t>
            </w:r>
          </w:p>
        </w:tc>
      </w:tr>
      <w:tr w14:paraId="21C57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39830864">
            <w:pPr>
              <w:snapToGrid w:val="0"/>
              <w:jc w:val="center"/>
              <w:rPr>
                <w:rFonts w:ascii="黑体" w:hAnsi="黑体" w:eastAsia="黑体" w:cs="黑体"/>
                <w:szCs w:val="21"/>
                <w:highlight w:val="none"/>
              </w:rPr>
            </w:pPr>
            <w:r>
              <w:rPr>
                <w:rFonts w:hint="eastAsia" w:ascii="黑体" w:hAnsi="黑体" w:eastAsia="黑体" w:cs="黑体"/>
                <w:szCs w:val="21"/>
                <w:highlight w:val="none"/>
              </w:rPr>
              <w:t>气泡和杂质</w:t>
            </w:r>
          </w:p>
        </w:tc>
        <w:tc>
          <w:tcPr>
            <w:tcW w:w="5937" w:type="dxa"/>
          </w:tcPr>
          <w:p w14:paraId="1774B0D4">
            <w:pPr>
              <w:snapToGrid w:val="0"/>
              <w:jc w:val="center"/>
              <w:rPr>
                <w:rFonts w:ascii="黑体" w:hAnsi="黑体" w:eastAsia="黑体" w:cs="黑体"/>
                <w:szCs w:val="21"/>
                <w:highlight w:val="none"/>
              </w:rPr>
            </w:pPr>
            <w:r>
              <w:rPr>
                <w:rFonts w:hint="eastAsia" w:ascii="黑体" w:hAnsi="黑体" w:eastAsia="黑体" w:cs="黑体"/>
                <w:szCs w:val="21"/>
                <w:highlight w:val="none"/>
              </w:rPr>
              <w:t>不允许</w:t>
            </w:r>
          </w:p>
        </w:tc>
      </w:tr>
      <w:tr w14:paraId="3E8AE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2F6FE6BF">
            <w:pPr>
              <w:snapToGrid w:val="0"/>
              <w:jc w:val="center"/>
              <w:rPr>
                <w:rFonts w:ascii="黑体" w:hAnsi="黑体" w:eastAsia="黑体" w:cs="黑体"/>
                <w:szCs w:val="21"/>
                <w:highlight w:val="none"/>
              </w:rPr>
            </w:pPr>
            <w:r>
              <w:rPr>
                <w:rFonts w:hint="eastAsia" w:ascii="黑体" w:hAnsi="黑体" w:eastAsia="黑体" w:cs="黑体"/>
                <w:szCs w:val="21"/>
                <w:highlight w:val="none"/>
              </w:rPr>
              <w:t>裂纹、分层、接头和断头</w:t>
            </w:r>
          </w:p>
        </w:tc>
        <w:tc>
          <w:tcPr>
            <w:tcW w:w="5937" w:type="dxa"/>
          </w:tcPr>
          <w:p w14:paraId="70F35CE4">
            <w:pPr>
              <w:snapToGrid w:val="0"/>
              <w:jc w:val="center"/>
              <w:rPr>
                <w:rFonts w:ascii="黑体" w:hAnsi="黑体" w:eastAsia="黑体" w:cs="黑体"/>
                <w:szCs w:val="21"/>
                <w:highlight w:val="none"/>
              </w:rPr>
            </w:pPr>
            <w:r>
              <w:rPr>
                <w:rFonts w:hint="eastAsia" w:ascii="黑体" w:hAnsi="黑体" w:eastAsia="黑体" w:cs="黑体"/>
                <w:szCs w:val="21"/>
                <w:highlight w:val="none"/>
              </w:rPr>
              <w:t>不允许</w:t>
            </w:r>
          </w:p>
        </w:tc>
      </w:tr>
      <w:tr w14:paraId="1CF08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5" w:type="dxa"/>
          </w:tcPr>
          <w:p w14:paraId="65B4186B">
            <w:pPr>
              <w:snapToGrid w:val="0"/>
              <w:jc w:val="center"/>
              <w:rPr>
                <w:rFonts w:ascii="黑体" w:hAnsi="黑体" w:eastAsia="黑体" w:cs="黑体"/>
                <w:szCs w:val="21"/>
                <w:highlight w:val="none"/>
              </w:rPr>
            </w:pPr>
            <w:r>
              <w:rPr>
                <w:rFonts w:hint="eastAsia" w:ascii="黑体" w:hAnsi="黑体" w:eastAsia="黑体" w:cs="黑体"/>
                <w:szCs w:val="21"/>
                <w:highlight w:val="none"/>
              </w:rPr>
              <w:t>糙面膜外观</w:t>
            </w:r>
          </w:p>
        </w:tc>
        <w:tc>
          <w:tcPr>
            <w:tcW w:w="5937" w:type="dxa"/>
          </w:tcPr>
          <w:p w14:paraId="189B29EC">
            <w:pPr>
              <w:snapToGrid w:val="0"/>
              <w:jc w:val="center"/>
              <w:rPr>
                <w:rFonts w:ascii="黑体" w:hAnsi="黑体" w:eastAsia="黑体" w:cs="黑体"/>
                <w:szCs w:val="21"/>
                <w:highlight w:val="none"/>
              </w:rPr>
            </w:pPr>
            <w:r>
              <w:rPr>
                <w:rFonts w:hint="eastAsia" w:ascii="黑体" w:hAnsi="黑体" w:eastAsia="黑体" w:cs="黑体"/>
                <w:szCs w:val="21"/>
                <w:highlight w:val="none"/>
              </w:rPr>
              <w:t>均匀，不应有结块、缺损等现象</w:t>
            </w:r>
          </w:p>
        </w:tc>
      </w:tr>
    </w:tbl>
    <w:p w14:paraId="3C76900C">
      <w:pPr>
        <w:snapToGrid w:val="0"/>
        <w:spacing w:before="156" w:beforeLines="50" w:line="360" w:lineRule="auto"/>
        <w:rPr>
          <w:rFonts w:ascii="黑体" w:hAnsi="黑体" w:eastAsia="黑体" w:cs="黑体"/>
          <w:szCs w:val="21"/>
          <w:highlight w:val="none"/>
        </w:rPr>
      </w:pPr>
      <w:r>
        <w:rPr>
          <w:rFonts w:hint="eastAsia" w:ascii="黑体" w:hAnsi="黑体" w:eastAsia="黑体" w:cs="黑体"/>
          <w:szCs w:val="21"/>
          <w:highlight w:val="none"/>
        </w:rPr>
        <w:t>5.3.6  覆盖阻隔屏障原材料选用的膨润土防水毯除应符合现行行业标准</w:t>
      </w:r>
      <w:bookmarkStart w:id="52" w:name="_Hlk172031377"/>
      <w:r>
        <w:rPr>
          <w:rFonts w:hint="eastAsia" w:ascii="黑体" w:hAnsi="黑体" w:eastAsia="黑体" w:cs="黑体"/>
          <w:szCs w:val="21"/>
          <w:highlight w:val="none"/>
        </w:rPr>
        <w:t>《钠基膨润土防水毯》JC/T 193</w:t>
      </w:r>
      <w:bookmarkEnd w:id="52"/>
      <w:r>
        <w:rPr>
          <w:rFonts w:hint="eastAsia" w:ascii="黑体" w:hAnsi="黑体" w:eastAsia="黑体" w:cs="黑体"/>
          <w:szCs w:val="21"/>
          <w:highlight w:val="none"/>
        </w:rPr>
        <w:t>的相关规定外，尚应符合下列规定：</w:t>
      </w:r>
    </w:p>
    <w:p w14:paraId="1C4761B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饱和水力渗透系数不应大于5×10</w:t>
      </w:r>
      <w:r>
        <w:rPr>
          <w:rFonts w:hint="eastAsia" w:ascii="黑体" w:hAnsi="黑体" w:eastAsia="黑体" w:cs="黑体"/>
          <w:szCs w:val="21"/>
          <w:highlight w:val="none"/>
          <w:vertAlign w:val="superscript"/>
        </w:rPr>
        <w:t xml:space="preserve">-9 </w:t>
      </w:r>
      <w:r>
        <w:rPr>
          <w:rFonts w:hint="eastAsia" w:ascii="黑体" w:hAnsi="黑体" w:eastAsia="黑体" w:cs="黑体"/>
          <w:szCs w:val="21"/>
          <w:highlight w:val="none"/>
        </w:rPr>
        <w:t>cm/s；</w:t>
      </w:r>
    </w:p>
    <w:p w14:paraId="1DA5C4D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规格不应小于4800 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w:t>
      </w:r>
    </w:p>
    <w:p w14:paraId="68349A7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膨润土自由膨胀系数不应小于24 mL/2g；</w:t>
      </w:r>
    </w:p>
    <w:p w14:paraId="6E463C1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抗拉强度不应小于800 N/100 mm；</w:t>
      </w:r>
    </w:p>
    <w:p w14:paraId="6A94CFF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剥离强度不应小于65 N/10 cm；</w:t>
      </w:r>
    </w:p>
    <w:p w14:paraId="2E21ACA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抗静水压力0.4 MPa/1 h，无渗漏；</w:t>
      </w:r>
    </w:p>
    <w:p w14:paraId="28ED0E3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5.3.</w:t>
      </w:r>
      <w:r>
        <w:rPr>
          <w:rFonts w:ascii="黑体" w:hAnsi="黑体" w:eastAsia="黑体" w:cs="黑体"/>
          <w:szCs w:val="21"/>
          <w:highlight w:val="none"/>
        </w:rPr>
        <w:t>7</w:t>
      </w:r>
      <w:r>
        <w:rPr>
          <w:rFonts w:hint="eastAsia" w:ascii="黑体" w:hAnsi="黑体" w:eastAsia="黑体" w:cs="黑体"/>
          <w:szCs w:val="21"/>
          <w:highlight w:val="none"/>
        </w:rPr>
        <w:t xml:space="preserve">  应根据防渗要求选用粉末型膨润土防水毯或颗粒型膨润土防水毯，防渗要求高的工程中应优先选用粉末型膨润土防水毯。</w:t>
      </w:r>
    </w:p>
    <w:p w14:paraId="39FC0FD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5.3.</w:t>
      </w:r>
      <w:r>
        <w:rPr>
          <w:rFonts w:ascii="黑体" w:hAnsi="黑体" w:eastAsia="黑体" w:cs="黑体"/>
          <w:szCs w:val="21"/>
          <w:highlight w:val="none"/>
        </w:rPr>
        <w:t>8</w:t>
      </w:r>
      <w:r>
        <w:rPr>
          <w:rFonts w:hint="eastAsia" w:ascii="黑体" w:hAnsi="黑体" w:eastAsia="黑体" w:cs="黑体"/>
          <w:szCs w:val="21"/>
          <w:highlight w:val="none"/>
        </w:rPr>
        <w:t xml:space="preserve">  当覆盖阻隔屏障中保护土层选用</w:t>
      </w:r>
      <w:bookmarkStart w:id="53" w:name="OLE_LINK10"/>
      <w:bookmarkStart w:id="54" w:name="_Hlk172801852"/>
      <w:r>
        <w:rPr>
          <w:rFonts w:hint="eastAsia" w:ascii="黑体" w:hAnsi="黑体" w:eastAsia="黑体" w:cs="黑体"/>
          <w:szCs w:val="21"/>
          <w:highlight w:val="none"/>
        </w:rPr>
        <w:t>未污染压实原位土</w:t>
      </w:r>
      <w:bookmarkEnd w:id="53"/>
      <w:bookmarkEnd w:id="54"/>
      <w:r>
        <w:rPr>
          <w:rFonts w:hint="eastAsia" w:ascii="黑体" w:hAnsi="黑体" w:eastAsia="黑体" w:cs="黑体"/>
          <w:szCs w:val="21"/>
          <w:highlight w:val="none"/>
        </w:rPr>
        <w:t>时，屏障材料除应符合本规范5.3.5外，</w:t>
      </w:r>
      <w:bookmarkStart w:id="55" w:name="_Toc32316"/>
      <w:r>
        <w:rPr>
          <w:rFonts w:hint="eastAsia" w:ascii="黑体" w:hAnsi="黑体" w:eastAsia="黑体" w:cs="黑体"/>
          <w:szCs w:val="21"/>
          <w:highlight w:val="none"/>
        </w:rPr>
        <w:t>防渗阻气材料应对未污染压实原位土具有防腐蚀性能</w:t>
      </w:r>
      <w:bookmarkEnd w:id="55"/>
      <w:r>
        <w:rPr>
          <w:rFonts w:hint="eastAsia" w:ascii="黑体" w:hAnsi="黑体" w:eastAsia="黑体" w:cs="黑体"/>
          <w:szCs w:val="21"/>
          <w:highlight w:val="none"/>
        </w:rPr>
        <w:t>。</w:t>
      </w:r>
    </w:p>
    <w:p w14:paraId="65038130">
      <w:pPr>
        <w:snapToGrid w:val="0"/>
        <w:spacing w:before="156" w:beforeLines="50" w:after="156" w:afterLines="50" w:line="360" w:lineRule="auto"/>
        <w:jc w:val="center"/>
        <w:outlineLvl w:val="1"/>
        <w:rPr>
          <w:rFonts w:ascii="黑体" w:hAnsi="黑体" w:eastAsia="黑体" w:cs="黑体"/>
          <w:szCs w:val="21"/>
          <w:highlight w:val="none"/>
        </w:rPr>
      </w:pPr>
      <w:bookmarkStart w:id="56" w:name="_Toc8991"/>
      <w:r>
        <w:rPr>
          <w:rFonts w:hint="eastAsia" w:ascii="黑体" w:hAnsi="黑体" w:eastAsia="黑体" w:cs="黑体"/>
          <w:szCs w:val="21"/>
          <w:highlight w:val="none"/>
        </w:rPr>
        <w:t>5.4  覆盖阻隔屏障排水层</w:t>
      </w:r>
      <w:bookmarkEnd w:id="56"/>
      <w:r>
        <w:rPr>
          <w:rFonts w:hint="eastAsia" w:ascii="黑体" w:hAnsi="黑体" w:eastAsia="黑体" w:cs="黑体"/>
          <w:szCs w:val="21"/>
          <w:highlight w:val="none"/>
        </w:rPr>
        <w:t>和排气层</w:t>
      </w:r>
    </w:p>
    <w:p w14:paraId="4F35419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5.4.1  排水层应选用导水性能好的材料，其水力渗透系数应大于0.1 cm/s，排水层纵向坡度不宜小于2</w:t>
      </w:r>
      <w:r>
        <w:rPr>
          <w:rFonts w:ascii="黑体" w:hAnsi="黑体" w:eastAsia="黑体" w:cs="黑体"/>
          <w:szCs w:val="21"/>
          <w:highlight w:val="none"/>
        </w:rPr>
        <w:t>%</w:t>
      </w:r>
      <w:r>
        <w:rPr>
          <w:rFonts w:hint="eastAsia" w:ascii="黑体" w:hAnsi="黑体" w:eastAsia="黑体" w:cs="黑体"/>
          <w:szCs w:val="21"/>
          <w:highlight w:val="none"/>
        </w:rPr>
        <w:t>。</w:t>
      </w:r>
    </w:p>
    <w:p w14:paraId="0E9C36A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5.4.2  顶部宜选用碎石作为排水层，边坡宜选用土工复合排水网作为排水层。</w:t>
      </w:r>
    </w:p>
    <w:p w14:paraId="39F5A08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5.4.3  当采用碎石作为排水层时，碎石排水层厚度不宜小于300 mm,粒径宜为20 mm~40 mm,上部宜铺设</w:t>
      </w:r>
      <w:bookmarkStart w:id="57" w:name="OLE_LINK32"/>
      <w:r>
        <w:rPr>
          <w:rFonts w:hint="eastAsia" w:ascii="黑体" w:hAnsi="黑体" w:eastAsia="黑体" w:cs="黑体"/>
          <w:szCs w:val="21"/>
          <w:highlight w:val="none"/>
        </w:rPr>
        <w:t>200 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土工滤网。</w:t>
      </w:r>
    </w:p>
    <w:bookmarkEnd w:id="57"/>
    <w:p w14:paraId="7DEA26A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5.4.4  边坡土工复合排水网厚度不宜小于5 mm,搭接重叠宽度不宜小于300 mm,且应采用塑料绳拴接，沿搭接缝的拴接点间距不宜大于500 mm。</w:t>
      </w:r>
    </w:p>
    <w:p w14:paraId="1E34609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5.4.5  土工复合排水网除应符合现行行业标准</w:t>
      </w:r>
      <w:bookmarkStart w:id="58" w:name="_Hlk172031454"/>
      <w:r>
        <w:rPr>
          <w:rFonts w:hint="eastAsia" w:ascii="黑体" w:hAnsi="黑体" w:eastAsia="黑体" w:cs="黑体"/>
          <w:szCs w:val="21"/>
          <w:highlight w:val="none"/>
        </w:rPr>
        <w:t>《垃圾填埋场用土工排水网》CJ/T 452</w:t>
      </w:r>
      <w:bookmarkEnd w:id="58"/>
      <w:r>
        <w:rPr>
          <w:rFonts w:hint="eastAsia" w:ascii="黑体" w:hAnsi="黑体" w:eastAsia="黑体" w:cs="黑体"/>
          <w:szCs w:val="21"/>
          <w:highlight w:val="none"/>
        </w:rPr>
        <w:t>的相关规定外，尚应符合下列规定：</w:t>
      </w:r>
    </w:p>
    <w:p w14:paraId="0D1208A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土工复合排水网宜选用高密度聚乙烯材质，纵向抗拉强度应大于8 kN/m；</w:t>
      </w:r>
    </w:p>
    <w:p w14:paraId="7A8603A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土工复合排水网中土工网和土工布应预先粘合，且粘合强度应大于0.17 kN/m。</w:t>
      </w:r>
    </w:p>
    <w:p w14:paraId="4905F3E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5.4.6  排水层与场地表面排水沟相接处应设置穿过沟壁的排水短管,排水短管沿排水沟纵向的间距不宜大于2 m。</w:t>
      </w:r>
    </w:p>
    <w:p w14:paraId="1479378F">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5.4.7  排气层可采用碎石等颗粒材料或导气性较好的土工网状材料。边坡宜选用土工网状材料作为排气层。排气层水力渗透系数应大于0.01 cm/s。</w:t>
      </w:r>
    </w:p>
    <w:p w14:paraId="1DD651F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5.4.8  当</w:t>
      </w:r>
      <w:bookmarkStart w:id="59" w:name="OLE_LINK30"/>
      <w:r>
        <w:rPr>
          <w:rFonts w:hint="eastAsia" w:ascii="黑体" w:hAnsi="黑体" w:eastAsia="黑体" w:cs="黑体"/>
          <w:szCs w:val="21"/>
          <w:highlight w:val="none"/>
        </w:rPr>
        <w:t>采用</w:t>
      </w:r>
      <w:bookmarkEnd w:id="59"/>
      <w:r>
        <w:rPr>
          <w:rFonts w:hint="eastAsia" w:ascii="黑体" w:hAnsi="黑体" w:eastAsia="黑体" w:cs="黑体"/>
          <w:szCs w:val="21"/>
          <w:highlight w:val="none"/>
        </w:rPr>
        <w:t>碎石</w:t>
      </w:r>
      <w:bookmarkStart w:id="60" w:name="OLE_LINK31"/>
      <w:r>
        <w:rPr>
          <w:rFonts w:hint="eastAsia" w:ascii="黑体" w:hAnsi="黑体" w:eastAsia="黑体" w:cs="黑体"/>
          <w:szCs w:val="21"/>
          <w:highlight w:val="none"/>
        </w:rPr>
        <w:t>作为排气层时，</w:t>
      </w:r>
      <w:bookmarkEnd w:id="60"/>
      <w:r>
        <w:rPr>
          <w:rFonts w:hint="eastAsia" w:ascii="黑体" w:hAnsi="黑体" w:eastAsia="黑体" w:cs="黑体"/>
          <w:szCs w:val="21"/>
          <w:highlight w:val="none"/>
        </w:rPr>
        <w:t>碎石排水层厚度不宜小于300 mm,粒径宜为20 mm~40 mm,上部宜铺设不小于300 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土工滤网，下部宜铺设200 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土工滤网。</w:t>
      </w:r>
    </w:p>
    <w:p w14:paraId="3CD84202">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5.4.9  当边坡采用土工网状材料作为排气层时，厚度不宜小于5 mm,网状材料上下应铺设土工滤网，防止颗粒物进入排气层。</w:t>
      </w:r>
    </w:p>
    <w:p w14:paraId="55A101BF">
      <w:pPr>
        <w:snapToGrid w:val="0"/>
        <w:spacing w:before="156" w:beforeLines="50" w:after="156" w:afterLines="50" w:line="360" w:lineRule="auto"/>
        <w:jc w:val="center"/>
        <w:outlineLvl w:val="1"/>
        <w:rPr>
          <w:rFonts w:ascii="黑体" w:hAnsi="黑体" w:eastAsia="黑体" w:cs="黑体"/>
          <w:szCs w:val="21"/>
          <w:highlight w:val="none"/>
        </w:rPr>
      </w:pPr>
      <w:bookmarkStart w:id="61" w:name="_Toc4325"/>
      <w:r>
        <w:rPr>
          <w:rFonts w:hint="eastAsia" w:ascii="黑体" w:hAnsi="黑体" w:eastAsia="黑体" w:cs="黑体"/>
          <w:szCs w:val="21"/>
          <w:highlight w:val="none"/>
        </w:rPr>
        <w:t>5.5  覆盖阻隔屏障植被层</w:t>
      </w:r>
      <w:bookmarkEnd w:id="61"/>
    </w:p>
    <w:p w14:paraId="5FFD79E3">
      <w:pPr>
        <w:snapToGrid w:val="0"/>
        <w:spacing w:line="360" w:lineRule="auto"/>
        <w:rPr>
          <w:rFonts w:ascii="黑体" w:hAnsi="黑体" w:eastAsia="黑体" w:cs="黑体"/>
          <w:szCs w:val="21"/>
          <w:highlight w:val="none"/>
        </w:rPr>
      </w:pPr>
      <w:bookmarkStart w:id="62" w:name="_Toc8018"/>
      <w:r>
        <w:rPr>
          <w:rFonts w:hint="eastAsia" w:ascii="黑体" w:hAnsi="黑体" w:eastAsia="黑体" w:cs="黑体"/>
          <w:szCs w:val="21"/>
          <w:highlight w:val="none"/>
        </w:rPr>
        <w:t>5.5.1  植被层由</w:t>
      </w:r>
      <w:bookmarkStart w:id="63" w:name="OLE_LINK36"/>
      <w:r>
        <w:rPr>
          <w:rFonts w:hint="eastAsia" w:ascii="黑体" w:hAnsi="黑体" w:eastAsia="黑体" w:cs="黑体"/>
          <w:szCs w:val="21"/>
          <w:highlight w:val="none"/>
        </w:rPr>
        <w:t>营养植被层和覆盖支持土层</w:t>
      </w:r>
      <w:bookmarkEnd w:id="63"/>
      <w:r>
        <w:rPr>
          <w:rFonts w:hint="eastAsia" w:ascii="黑体" w:hAnsi="黑体" w:eastAsia="黑体" w:cs="黑体"/>
          <w:szCs w:val="21"/>
          <w:highlight w:val="none"/>
        </w:rPr>
        <w:t>组成。</w:t>
      </w:r>
    </w:p>
    <w:p w14:paraId="4FD04A77">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5.5.2  营养植被层厚度应大于15 cm。</w:t>
      </w:r>
    </w:p>
    <w:p w14:paraId="0814FA0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5.5.3  覆盖支持土层由压实土层构成，厚度应大于45 cm，压实度不宜小于80%。</w:t>
      </w:r>
    </w:p>
    <w:p w14:paraId="6CF8A352">
      <w:pPr>
        <w:snapToGrid w:val="0"/>
        <w:spacing w:before="156" w:beforeLines="50" w:after="156" w:afterLines="50" w:line="360" w:lineRule="auto"/>
        <w:jc w:val="center"/>
        <w:outlineLvl w:val="1"/>
        <w:rPr>
          <w:rFonts w:ascii="黑体" w:hAnsi="黑体" w:eastAsia="黑体" w:cs="黑体"/>
          <w:szCs w:val="21"/>
          <w:highlight w:val="none"/>
        </w:rPr>
      </w:pPr>
      <w:r>
        <w:rPr>
          <w:rFonts w:hint="eastAsia" w:ascii="黑体" w:hAnsi="黑体" w:eastAsia="黑体" w:cs="黑体"/>
          <w:szCs w:val="21"/>
          <w:highlight w:val="none"/>
        </w:rPr>
        <w:t>5.6  击穿判别验算</w:t>
      </w:r>
      <w:bookmarkEnd w:id="62"/>
    </w:p>
    <w:p w14:paraId="757A9F6D">
      <w:pPr>
        <w:rPr>
          <w:rFonts w:ascii="黑体" w:hAnsi="黑体" w:eastAsia="黑体" w:cs="黑体"/>
          <w:szCs w:val="21"/>
          <w:highlight w:val="none"/>
        </w:rPr>
      </w:pPr>
      <w:r>
        <w:rPr>
          <w:rFonts w:hint="eastAsia" w:ascii="黑体" w:hAnsi="黑体" w:eastAsia="黑体" w:cs="黑体"/>
          <w:szCs w:val="21"/>
          <w:highlight w:val="none"/>
        </w:rPr>
        <w:t>5.6.1  有机污染场地土质覆盖层应能有效控制雨水渗入及污染气体排放，覆盖层底部雨水渗漏量应根据污染场地所在地区按表5.6.1控制。</w:t>
      </w:r>
    </w:p>
    <w:p w14:paraId="76F8A8A4">
      <w:pPr>
        <w:jc w:val="center"/>
        <w:rPr>
          <w:rFonts w:ascii="黑体" w:hAnsi="黑体" w:eastAsia="黑体" w:cs="黑体"/>
          <w:b/>
          <w:bCs/>
          <w:sz w:val="18"/>
          <w:szCs w:val="18"/>
          <w:highlight w:val="none"/>
        </w:rPr>
      </w:pPr>
      <w:r>
        <w:rPr>
          <w:rFonts w:hint="eastAsia" w:ascii="黑体" w:hAnsi="黑体" w:eastAsia="黑体" w:cs="黑体"/>
          <w:b/>
          <w:bCs/>
          <w:sz w:val="18"/>
          <w:szCs w:val="18"/>
          <w:highlight w:val="none"/>
        </w:rPr>
        <w:t>表5.6.1  土质覆盖层的雨水渗漏量控制要求</w:t>
      </w:r>
    </w:p>
    <w:tbl>
      <w:tblPr>
        <w:tblStyle w:val="12"/>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3056"/>
        <w:gridCol w:w="2911"/>
      </w:tblGrid>
      <w:tr w14:paraId="67AA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471" w:type="dxa"/>
            <w:vMerge w:val="restart"/>
            <w:vAlign w:val="center"/>
          </w:tcPr>
          <w:p w14:paraId="1B3C8F47">
            <w:pPr>
              <w:jc w:val="center"/>
              <w:rPr>
                <w:rFonts w:ascii="黑体" w:hAnsi="黑体" w:eastAsia="黑体" w:cs="黑体"/>
                <w:sz w:val="18"/>
                <w:szCs w:val="18"/>
                <w:highlight w:val="none"/>
              </w:rPr>
            </w:pPr>
            <w:r>
              <w:rPr>
                <w:rFonts w:hint="eastAsia" w:ascii="黑体" w:hAnsi="黑体" w:eastAsia="黑体" w:cs="黑体"/>
                <w:sz w:val="18"/>
                <w:szCs w:val="18"/>
                <w:highlight w:val="none"/>
              </w:rPr>
              <w:t>覆盖层类型</w:t>
            </w:r>
          </w:p>
        </w:tc>
        <w:tc>
          <w:tcPr>
            <w:tcW w:w="5967" w:type="dxa"/>
            <w:gridSpan w:val="2"/>
            <w:vAlign w:val="center"/>
          </w:tcPr>
          <w:p w14:paraId="72DFFC20">
            <w:pPr>
              <w:jc w:val="center"/>
              <w:rPr>
                <w:rFonts w:ascii="黑体" w:hAnsi="黑体" w:eastAsia="黑体" w:cs="黑体"/>
                <w:sz w:val="18"/>
                <w:szCs w:val="18"/>
                <w:highlight w:val="none"/>
              </w:rPr>
            </w:pPr>
            <w:r>
              <w:rPr>
                <w:rFonts w:hint="eastAsia" w:ascii="黑体" w:hAnsi="黑体" w:eastAsia="黑体" w:cs="黑体"/>
                <w:sz w:val="18"/>
                <w:szCs w:val="18"/>
                <w:highlight w:val="none"/>
              </w:rPr>
              <w:t>年最大渗漏量（mm/yr）</w:t>
            </w:r>
          </w:p>
        </w:tc>
      </w:tr>
      <w:tr w14:paraId="53910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471" w:type="dxa"/>
            <w:vMerge w:val="continue"/>
            <w:vAlign w:val="center"/>
          </w:tcPr>
          <w:p w14:paraId="21F231B8">
            <w:pPr>
              <w:jc w:val="center"/>
              <w:rPr>
                <w:rFonts w:ascii="黑体" w:hAnsi="黑体" w:eastAsia="黑体" w:cs="黑体"/>
                <w:sz w:val="18"/>
                <w:szCs w:val="18"/>
                <w:highlight w:val="none"/>
              </w:rPr>
            </w:pPr>
          </w:p>
        </w:tc>
        <w:tc>
          <w:tcPr>
            <w:tcW w:w="3056" w:type="dxa"/>
            <w:vAlign w:val="center"/>
          </w:tcPr>
          <w:p w14:paraId="2F81EE53">
            <w:pPr>
              <w:jc w:val="center"/>
              <w:rPr>
                <w:rFonts w:ascii="黑体" w:hAnsi="黑体" w:eastAsia="黑体" w:cs="黑体"/>
                <w:sz w:val="18"/>
                <w:szCs w:val="18"/>
                <w:highlight w:val="none"/>
              </w:rPr>
            </w:pPr>
            <w:r>
              <w:rPr>
                <w:rFonts w:hint="eastAsia" w:ascii="黑体" w:hAnsi="黑体" w:eastAsia="黑体" w:cs="黑体"/>
                <w:sz w:val="18"/>
                <w:szCs w:val="18"/>
                <w:highlight w:val="none"/>
              </w:rPr>
              <w:t>湿润地区</w:t>
            </w:r>
          </w:p>
        </w:tc>
        <w:tc>
          <w:tcPr>
            <w:tcW w:w="2911" w:type="dxa"/>
            <w:vAlign w:val="center"/>
          </w:tcPr>
          <w:p w14:paraId="65EEA576">
            <w:pPr>
              <w:jc w:val="center"/>
              <w:rPr>
                <w:rFonts w:ascii="黑体" w:hAnsi="黑体" w:eastAsia="黑体" w:cs="黑体"/>
                <w:sz w:val="18"/>
                <w:szCs w:val="18"/>
                <w:highlight w:val="none"/>
              </w:rPr>
            </w:pPr>
            <w:r>
              <w:rPr>
                <w:rFonts w:hint="eastAsia" w:ascii="黑体" w:hAnsi="黑体" w:eastAsia="黑体" w:cs="黑体"/>
                <w:sz w:val="18"/>
                <w:szCs w:val="18"/>
                <w:highlight w:val="none"/>
              </w:rPr>
              <w:t>干旱半干旱</w:t>
            </w:r>
          </w:p>
        </w:tc>
      </w:tr>
      <w:tr w14:paraId="4B007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471" w:type="dxa"/>
            <w:vAlign w:val="center"/>
          </w:tcPr>
          <w:p w14:paraId="382400DD">
            <w:pPr>
              <w:jc w:val="center"/>
              <w:rPr>
                <w:rFonts w:ascii="黑体" w:hAnsi="黑体" w:eastAsia="黑体" w:cs="黑体"/>
                <w:sz w:val="18"/>
                <w:szCs w:val="18"/>
                <w:highlight w:val="none"/>
              </w:rPr>
            </w:pPr>
            <w:r>
              <w:rPr>
                <w:rFonts w:hint="eastAsia" w:ascii="黑体" w:hAnsi="黑体" w:eastAsia="黑体" w:cs="黑体"/>
                <w:sz w:val="18"/>
                <w:szCs w:val="18"/>
                <w:highlight w:val="none"/>
              </w:rPr>
              <w:t>土质覆盖层</w:t>
            </w:r>
          </w:p>
        </w:tc>
        <w:tc>
          <w:tcPr>
            <w:tcW w:w="3056" w:type="dxa"/>
            <w:vAlign w:val="center"/>
          </w:tcPr>
          <w:p w14:paraId="2E055996">
            <w:pPr>
              <w:jc w:val="center"/>
              <w:rPr>
                <w:rFonts w:ascii="黑体" w:hAnsi="黑体" w:eastAsia="黑体" w:cs="黑体"/>
                <w:sz w:val="18"/>
                <w:szCs w:val="18"/>
                <w:highlight w:val="none"/>
              </w:rPr>
            </w:pPr>
            <w:r>
              <w:rPr>
                <w:rFonts w:hint="eastAsia" w:ascii="黑体" w:hAnsi="黑体" w:eastAsia="黑体" w:cs="黑体"/>
                <w:sz w:val="18"/>
                <w:szCs w:val="18"/>
                <w:highlight w:val="none"/>
              </w:rPr>
              <w:t>50</w:t>
            </w:r>
          </w:p>
        </w:tc>
        <w:tc>
          <w:tcPr>
            <w:tcW w:w="2911" w:type="dxa"/>
            <w:vAlign w:val="center"/>
          </w:tcPr>
          <w:p w14:paraId="056DE849">
            <w:pPr>
              <w:jc w:val="center"/>
              <w:rPr>
                <w:rFonts w:ascii="黑体" w:hAnsi="黑体" w:eastAsia="黑体" w:cs="黑体"/>
                <w:sz w:val="18"/>
                <w:szCs w:val="18"/>
                <w:highlight w:val="none"/>
              </w:rPr>
            </w:pPr>
            <w:r>
              <w:rPr>
                <w:rFonts w:hint="eastAsia" w:ascii="黑体" w:hAnsi="黑体" w:eastAsia="黑体" w:cs="黑体"/>
                <w:sz w:val="18"/>
                <w:szCs w:val="18"/>
                <w:highlight w:val="none"/>
              </w:rPr>
              <w:t>16</w:t>
            </w:r>
          </w:p>
        </w:tc>
      </w:tr>
    </w:tbl>
    <w:p w14:paraId="1FB83315">
      <w:pPr>
        <w:snapToGrid w:val="0"/>
        <w:spacing w:before="156" w:beforeLines="50" w:line="360" w:lineRule="auto"/>
        <w:rPr>
          <w:rFonts w:ascii="黑体" w:hAnsi="黑体" w:eastAsia="黑体" w:cs="黑体"/>
          <w:szCs w:val="21"/>
          <w:highlight w:val="none"/>
        </w:rPr>
      </w:pPr>
      <w:r>
        <w:rPr>
          <w:rFonts w:hint="eastAsia" w:ascii="黑体" w:hAnsi="黑体" w:eastAsia="黑体" w:cs="黑体"/>
          <w:szCs w:val="21"/>
          <w:highlight w:val="none"/>
        </w:rPr>
        <w:t>5.6.2  覆盖阻隔工程设计的污染气体击穿判别可按下列公式计算：</w:t>
      </w:r>
    </w:p>
    <w:p w14:paraId="3302662D">
      <w:pPr>
        <w:spacing w:line="360" w:lineRule="auto"/>
        <w:jc w:val="right"/>
        <w:rPr>
          <w:rFonts w:hint="eastAsia" w:ascii="黑体" w:hAnsi="黑体" w:eastAsia="黑体" w:cs="黑体"/>
          <w:szCs w:val="21"/>
          <w:highlight w:val="none"/>
        </w:rPr>
      </w:pPr>
      <w:r>
        <w:rPr>
          <w:rFonts w:hint="eastAsia" w:ascii="黑体" w:hAnsi="黑体" w:eastAsia="黑体" w:cs="黑体"/>
          <w:position w:val="-12"/>
          <w:sz w:val="20"/>
          <w:szCs w:val="20"/>
          <w:highlight w:val="none"/>
        </w:rPr>
        <w:object>
          <v:shape id="_x0000_i1025" o:spt="75" type="#_x0000_t75" style="height:19.85pt;width:50pt;" o:ole="t" filled="f" o:preferrelative="t" stroked="f" coordsize="21600,21600">
            <v:path/>
            <v:fill on="f" focussize="0,0"/>
            <v:stroke on="f" joinstyle="miter"/>
            <v:imagedata r:id="rId12" o:title=""/>
            <o:lock v:ext="edit" aspectratio="t"/>
            <w10:wrap type="none"/>
            <w10:anchorlock/>
          </v:shape>
          <o:OLEObject Type="Embed" ProgID="Equation.DSMT4" ShapeID="_x0000_i1025" DrawAspect="Content" ObjectID="_1468075725" r:id="rId11">
            <o:LockedField>false</o:LockedField>
          </o:OLEObject>
        </w:object>
      </w:r>
      <w:r>
        <w:rPr>
          <w:rFonts w:hint="eastAsia" w:ascii="黑体" w:hAnsi="黑体" w:eastAsia="黑体" w:cs="黑体"/>
          <w:sz w:val="20"/>
          <w:szCs w:val="20"/>
          <w:highlight w:val="none"/>
        </w:rPr>
        <w:t xml:space="preserve">                          </w:t>
      </w:r>
      <w:r>
        <w:rPr>
          <w:rFonts w:hint="eastAsia" w:ascii="黑体" w:hAnsi="黑体" w:eastAsia="黑体" w:cs="黑体"/>
          <w:szCs w:val="21"/>
          <w:highlight w:val="none"/>
        </w:rPr>
        <w:t>（5.6.2-1）</w:t>
      </w:r>
    </w:p>
    <w:p w14:paraId="4A4A0FDC">
      <w:pPr>
        <w:spacing w:line="360" w:lineRule="auto"/>
        <w:jc w:val="right"/>
        <w:rPr>
          <w:rFonts w:hint="eastAsia" w:ascii="黑体" w:hAnsi="黑体" w:eastAsia="黑体" w:cs="黑体"/>
          <w:szCs w:val="21"/>
          <w:highlight w:val="none"/>
        </w:rPr>
      </w:pPr>
      <w:r>
        <w:rPr>
          <w:rFonts w:hint="eastAsia" w:ascii="黑体" w:hAnsi="黑体" w:eastAsia="黑体" w:cs="黑体"/>
          <w:position w:val="-92"/>
          <w:sz w:val="20"/>
          <w:szCs w:val="20"/>
          <w:highlight w:val="none"/>
        </w:rPr>
        <w:object>
          <v:shape id="_x0000_i1026" o:spt="75" type="#_x0000_t75" style="height:78.35pt;width:359.25pt;" o:ole="t" filled="f" o:preferrelative="t" stroked="f" coordsize="21600,21600">
            <v:path/>
            <v:fill on="f" focussize="0,0"/>
            <v:stroke on="f" joinstyle="miter"/>
            <v:imagedata r:id="rId14" o:title=""/>
            <o:lock v:ext="edit" aspectratio="t"/>
            <w10:wrap type="none"/>
            <w10:anchorlock/>
          </v:shape>
          <o:OLEObject Type="Embed" ProgID="Equation.DSMT4" ShapeID="_x0000_i1026" DrawAspect="Content" ObjectID="_1468075726" r:id="rId13">
            <o:LockedField>false</o:LockedField>
          </o:OLEObject>
        </w:object>
      </w:r>
      <w:r>
        <w:rPr>
          <w:rFonts w:hint="eastAsia" w:ascii="黑体" w:hAnsi="黑体" w:eastAsia="黑体" w:cs="黑体"/>
          <w:szCs w:val="21"/>
          <w:highlight w:val="none"/>
        </w:rPr>
        <w:t>（5.6.2-2）</w:t>
      </w:r>
    </w:p>
    <w:p w14:paraId="2F6E9CB7">
      <w:pPr>
        <w:spacing w:line="360" w:lineRule="auto"/>
        <w:jc w:val="right"/>
        <w:rPr>
          <w:rFonts w:hint="eastAsia" w:ascii="黑体" w:hAnsi="黑体" w:eastAsia="黑体" w:cs="黑体"/>
          <w:szCs w:val="21"/>
          <w:highlight w:val="none"/>
        </w:rPr>
      </w:pPr>
      <w:r>
        <w:rPr>
          <w:rFonts w:hint="eastAsia" w:ascii="黑体" w:hAnsi="黑体" w:eastAsia="黑体" w:cs="黑体"/>
          <w:position w:val="-14"/>
          <w:sz w:val="20"/>
          <w:szCs w:val="20"/>
          <w:highlight w:val="none"/>
        </w:rPr>
        <w:object>
          <v:shape id="_x0000_i1027" o:spt="75" type="#_x0000_t75" style="height:22.45pt;width:93.95pt;" o:ole="t" filled="f" o:preferrelative="t" stroked="f" coordsize="21600,21600">
            <v:path/>
            <v:fill on="f" focussize="0,0"/>
            <v:stroke on="f" joinstyle="miter"/>
            <v:imagedata r:id="rId16" o:title=""/>
            <o:lock v:ext="edit" aspectratio="t"/>
            <w10:wrap type="none"/>
            <w10:anchorlock/>
          </v:shape>
          <o:OLEObject Type="Embed" ProgID="Equation.DSMT4" ShapeID="_x0000_i1027" DrawAspect="Content" ObjectID="_1468075727" r:id="rId15">
            <o:LockedField>false</o:LockedField>
          </o:OLEObject>
        </w:object>
      </w:r>
      <w:r>
        <w:rPr>
          <w:rFonts w:hint="eastAsia" w:ascii="黑体" w:hAnsi="黑体" w:eastAsia="黑体" w:cs="黑体"/>
          <w:sz w:val="20"/>
          <w:szCs w:val="20"/>
          <w:highlight w:val="none"/>
        </w:rPr>
        <w:tab/>
      </w:r>
      <w:r>
        <w:rPr>
          <w:rFonts w:hint="eastAsia" w:ascii="黑体" w:hAnsi="黑体" w:eastAsia="黑体" w:cs="黑体"/>
          <w:sz w:val="20"/>
          <w:szCs w:val="20"/>
          <w:highlight w:val="none"/>
        </w:rPr>
        <w:tab/>
      </w:r>
      <w:r>
        <w:rPr>
          <w:rFonts w:hint="eastAsia" w:ascii="黑体" w:hAnsi="黑体" w:eastAsia="黑体" w:cs="黑体"/>
          <w:sz w:val="20"/>
          <w:szCs w:val="20"/>
          <w:highlight w:val="none"/>
        </w:rPr>
        <w:t xml:space="preserve">        </w:t>
      </w:r>
      <w:r>
        <w:rPr>
          <w:rFonts w:hint="eastAsia" w:ascii="黑体" w:hAnsi="黑体" w:eastAsia="黑体" w:cs="黑体"/>
          <w:sz w:val="20"/>
          <w:szCs w:val="20"/>
          <w:highlight w:val="none"/>
        </w:rPr>
        <w:tab/>
      </w:r>
      <w:r>
        <w:rPr>
          <w:rFonts w:hint="eastAsia" w:ascii="黑体" w:hAnsi="黑体" w:eastAsia="黑体" w:cs="黑体"/>
          <w:sz w:val="20"/>
          <w:szCs w:val="20"/>
          <w:highlight w:val="none"/>
        </w:rPr>
        <w:tab/>
      </w:r>
      <w:r>
        <w:rPr>
          <w:rFonts w:hint="eastAsia" w:ascii="黑体" w:hAnsi="黑体" w:eastAsia="黑体" w:cs="黑体"/>
          <w:sz w:val="20"/>
          <w:szCs w:val="20"/>
          <w:highlight w:val="none"/>
        </w:rPr>
        <w:t xml:space="preserve"> </w:t>
      </w:r>
      <w:r>
        <w:rPr>
          <w:rFonts w:hint="eastAsia" w:ascii="黑体" w:hAnsi="黑体" w:eastAsia="黑体" w:cs="黑体"/>
          <w:szCs w:val="21"/>
          <w:highlight w:val="none"/>
        </w:rPr>
        <w:t>（5.6.2-3）</w:t>
      </w:r>
    </w:p>
    <w:p w14:paraId="0805B85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式中：</w:t>
      </w:r>
    </w:p>
    <w:p w14:paraId="73C4B3B9">
      <w:pPr>
        <w:spacing w:line="360" w:lineRule="auto"/>
        <w:ind w:firstLine="420" w:firstLineChars="200"/>
        <w:rPr>
          <w:rFonts w:ascii="黑体" w:hAnsi="黑体" w:eastAsia="黑体" w:cs="黑体"/>
          <w:szCs w:val="21"/>
          <w:highlight w:val="none"/>
        </w:rPr>
      </w:pPr>
      <w:r>
        <w:rPr>
          <w:rFonts w:hint="eastAsia" w:ascii="黑体" w:hAnsi="黑体" w:eastAsia="黑体" w:cs="黑体"/>
          <w:i/>
          <w:szCs w:val="21"/>
          <w:highlight w:val="none"/>
        </w:rPr>
        <w:t>C</w:t>
      </w:r>
      <w:r>
        <w:rPr>
          <w:rFonts w:hint="eastAsia" w:ascii="黑体" w:hAnsi="黑体" w:eastAsia="黑体" w:cs="黑体"/>
          <w:i/>
          <w:szCs w:val="21"/>
          <w:highlight w:val="none"/>
          <w:vertAlign w:val="subscript"/>
        </w:rPr>
        <w:t>s</w:t>
      </w:r>
      <w:r>
        <w:rPr>
          <w:rFonts w:hint="eastAsia" w:ascii="黑体" w:hAnsi="黑体" w:eastAsia="黑体" w:cs="黑体"/>
          <w:szCs w:val="21"/>
          <w:highlight w:val="none"/>
        </w:rPr>
        <w:t>——目标污染气体覆盖阻隔表面的浓度，mg/m</w:t>
      </w:r>
      <w:r>
        <w:rPr>
          <w:rFonts w:hint="eastAsia" w:ascii="黑体" w:hAnsi="黑体" w:eastAsia="黑体" w:cs="黑体"/>
          <w:szCs w:val="21"/>
          <w:highlight w:val="none"/>
          <w:vertAlign w:val="superscript"/>
        </w:rPr>
        <w:t>3</w:t>
      </w:r>
      <w:r>
        <w:rPr>
          <w:rFonts w:hint="eastAsia" w:ascii="黑体" w:hAnsi="黑体" w:eastAsia="黑体" w:cs="黑体"/>
          <w:szCs w:val="21"/>
          <w:highlight w:val="none"/>
        </w:rPr>
        <w:t>；</w:t>
      </w:r>
    </w:p>
    <w:p w14:paraId="013C3114">
      <w:pPr>
        <w:spacing w:line="360" w:lineRule="auto"/>
        <w:ind w:firstLine="420" w:firstLineChars="200"/>
        <w:rPr>
          <w:rFonts w:ascii="黑体" w:hAnsi="黑体" w:eastAsia="黑体" w:cs="黑体"/>
          <w:szCs w:val="21"/>
          <w:highlight w:val="none"/>
        </w:rPr>
      </w:pPr>
      <w:r>
        <w:rPr>
          <w:rFonts w:hint="eastAsia" w:ascii="黑体" w:hAnsi="黑体" w:eastAsia="黑体" w:cs="黑体"/>
          <w:i/>
          <w:iCs/>
          <w:szCs w:val="21"/>
          <w:highlight w:val="none"/>
        </w:rPr>
        <w:t>C</w:t>
      </w:r>
      <w:r>
        <w:rPr>
          <w:rFonts w:hint="eastAsia" w:ascii="黑体" w:hAnsi="黑体" w:eastAsia="黑体" w:cs="黑体"/>
          <w:i/>
          <w:iCs/>
          <w:szCs w:val="21"/>
          <w:highlight w:val="none"/>
          <w:vertAlign w:val="subscript"/>
        </w:rPr>
        <w:t>KZ</w:t>
      </w:r>
      <w:r>
        <w:rPr>
          <w:rFonts w:hint="eastAsia" w:ascii="黑体" w:hAnsi="黑体" w:eastAsia="黑体" w:cs="黑体"/>
          <w:i/>
          <w:iCs/>
          <w:szCs w:val="21"/>
          <w:highlight w:val="none"/>
        </w:rPr>
        <w:t xml:space="preserve"> </w:t>
      </w:r>
      <w:r>
        <w:rPr>
          <w:rFonts w:hint="eastAsia" w:ascii="黑体" w:hAnsi="黑体" w:eastAsia="黑体" w:cs="黑体"/>
          <w:szCs w:val="21"/>
          <w:highlight w:val="none"/>
        </w:rPr>
        <w:t>——目标污染气体的风险控制浓度，mg/m</w:t>
      </w:r>
      <w:r>
        <w:rPr>
          <w:rFonts w:hint="eastAsia" w:ascii="黑体" w:hAnsi="黑体" w:eastAsia="黑体" w:cs="黑体"/>
          <w:szCs w:val="21"/>
          <w:highlight w:val="none"/>
          <w:vertAlign w:val="superscript"/>
        </w:rPr>
        <w:t>3</w:t>
      </w:r>
      <w:r>
        <w:rPr>
          <w:rFonts w:hint="eastAsia" w:ascii="黑体" w:hAnsi="黑体" w:eastAsia="黑体" w:cs="黑体"/>
          <w:szCs w:val="21"/>
          <w:highlight w:val="none"/>
        </w:rPr>
        <w:t>；</w:t>
      </w:r>
    </w:p>
    <w:p w14:paraId="0165AA22">
      <w:pPr>
        <w:spacing w:line="360" w:lineRule="auto"/>
        <w:ind w:firstLine="420" w:firstLineChars="200"/>
        <w:rPr>
          <w:rFonts w:ascii="黑体" w:hAnsi="黑体" w:eastAsia="黑体" w:cs="黑体"/>
          <w:szCs w:val="21"/>
          <w:highlight w:val="none"/>
        </w:rPr>
      </w:pPr>
      <w:r>
        <w:rPr>
          <w:rFonts w:hint="eastAsia" w:ascii="黑体" w:hAnsi="黑体" w:eastAsia="黑体" w:cs="黑体"/>
          <w:i/>
          <w:szCs w:val="21"/>
          <w:highlight w:val="none"/>
        </w:rPr>
        <w:t xml:space="preserve">z </w:t>
      </w:r>
      <w:r>
        <w:rPr>
          <w:rFonts w:hint="eastAsia" w:ascii="黑体" w:hAnsi="黑体" w:eastAsia="黑体" w:cs="黑体"/>
          <w:szCs w:val="21"/>
          <w:highlight w:val="none"/>
        </w:rPr>
        <w:t>——与大气边界层顶部的距离，m；</w:t>
      </w:r>
    </w:p>
    <w:p w14:paraId="1F1C493D">
      <w:pPr>
        <w:spacing w:line="360" w:lineRule="auto"/>
        <w:ind w:firstLine="420" w:firstLineChars="200"/>
        <w:rPr>
          <w:rFonts w:ascii="黑体" w:hAnsi="黑体" w:eastAsia="黑体" w:cs="黑体"/>
          <w:szCs w:val="21"/>
          <w:highlight w:val="none"/>
        </w:rPr>
      </w:pPr>
      <w:r>
        <w:rPr>
          <w:rFonts w:hint="eastAsia" w:ascii="黑体" w:hAnsi="黑体" w:eastAsia="黑体" w:cs="黑体"/>
          <w:i/>
          <w:szCs w:val="21"/>
          <w:highlight w:val="none"/>
        </w:rPr>
        <w:t>λ ——</w:t>
      </w:r>
      <w:r>
        <w:rPr>
          <w:rFonts w:hint="eastAsia" w:ascii="黑体" w:hAnsi="黑体" w:eastAsia="黑体" w:cs="黑体"/>
          <w:szCs w:val="21"/>
          <w:highlight w:val="none"/>
        </w:rPr>
        <w:t>目标污染气体在覆盖阻隔中的降解速率，s</w:t>
      </w:r>
      <w:r>
        <w:rPr>
          <w:rFonts w:hint="eastAsia" w:ascii="黑体" w:hAnsi="黑体" w:eastAsia="黑体" w:cs="黑体"/>
          <w:szCs w:val="21"/>
          <w:highlight w:val="none"/>
          <w:vertAlign w:val="superscript"/>
        </w:rPr>
        <w:t>-1</w:t>
      </w:r>
      <w:r>
        <w:rPr>
          <w:rFonts w:hint="eastAsia" w:ascii="黑体" w:hAnsi="黑体" w:eastAsia="黑体" w:cs="黑体"/>
          <w:szCs w:val="21"/>
          <w:highlight w:val="none"/>
        </w:rPr>
        <w:t>；</w:t>
      </w:r>
    </w:p>
    <w:p w14:paraId="61421DEB">
      <w:pPr>
        <w:spacing w:line="360" w:lineRule="auto"/>
        <w:ind w:firstLine="420" w:firstLineChars="200"/>
        <w:rPr>
          <w:rFonts w:ascii="黑体" w:hAnsi="黑体" w:eastAsia="黑体" w:cs="黑体"/>
          <w:szCs w:val="21"/>
          <w:highlight w:val="none"/>
        </w:rPr>
      </w:pPr>
      <w:r>
        <w:rPr>
          <w:rFonts w:hint="eastAsia" w:ascii="黑体" w:hAnsi="黑体" w:eastAsia="黑体" w:cs="黑体"/>
          <w:i/>
          <w:iCs/>
          <w:szCs w:val="21"/>
          <w:highlight w:val="none"/>
        </w:rPr>
        <w:t>H</w:t>
      </w:r>
      <w:r>
        <w:rPr>
          <w:rFonts w:hint="eastAsia" w:ascii="黑体" w:hAnsi="黑体" w:eastAsia="黑体" w:cs="黑体"/>
          <w:szCs w:val="21"/>
          <w:highlight w:val="none"/>
        </w:rPr>
        <w:t xml:space="preserve"> ——中性或稳定大气条件下的大气边界层高度，m，取值范围为300 m~1000 m；</w:t>
      </w:r>
    </w:p>
    <w:p w14:paraId="6CBC2301">
      <w:pPr>
        <w:spacing w:line="360" w:lineRule="auto"/>
        <w:ind w:firstLine="420" w:firstLineChars="200"/>
        <w:rPr>
          <w:rFonts w:ascii="黑体" w:hAnsi="黑体" w:eastAsia="黑体" w:cs="黑体"/>
          <w:szCs w:val="21"/>
          <w:highlight w:val="none"/>
        </w:rPr>
      </w:pPr>
      <w:r>
        <w:rPr>
          <w:rFonts w:hint="eastAsia" w:ascii="黑体" w:hAnsi="黑体" w:eastAsia="黑体" w:cs="黑体"/>
          <w:i/>
          <w:szCs w:val="21"/>
          <w:highlight w:val="none"/>
        </w:rPr>
        <w:t>h</w:t>
      </w:r>
      <w:r>
        <w:rPr>
          <w:rFonts w:hint="eastAsia" w:ascii="黑体" w:hAnsi="黑体" w:eastAsia="黑体" w:cs="黑体"/>
          <w:szCs w:val="21"/>
          <w:highlight w:val="none"/>
        </w:rPr>
        <w:t xml:space="preserve"> ——覆盖阻隔层的厚度，mg/m</w:t>
      </w:r>
      <w:r>
        <w:rPr>
          <w:rFonts w:hint="eastAsia" w:ascii="黑体" w:hAnsi="黑体" w:eastAsia="黑体" w:cs="黑体"/>
          <w:szCs w:val="21"/>
          <w:highlight w:val="none"/>
          <w:vertAlign w:val="superscript"/>
        </w:rPr>
        <w:t>3</w:t>
      </w:r>
      <w:r>
        <w:rPr>
          <w:rFonts w:hint="eastAsia" w:ascii="黑体" w:hAnsi="黑体" w:eastAsia="黑体" w:cs="黑体"/>
          <w:szCs w:val="21"/>
          <w:highlight w:val="none"/>
        </w:rPr>
        <w:t>；</w:t>
      </w:r>
    </w:p>
    <w:p w14:paraId="2650B1EE">
      <w:pPr>
        <w:spacing w:line="360" w:lineRule="auto"/>
        <w:ind w:firstLine="420" w:firstLineChars="200"/>
        <w:rPr>
          <w:rFonts w:ascii="黑体" w:hAnsi="黑体" w:eastAsia="黑体" w:cs="黑体"/>
          <w:szCs w:val="21"/>
          <w:highlight w:val="none"/>
        </w:rPr>
      </w:pPr>
      <w:r>
        <w:rPr>
          <w:rFonts w:hint="eastAsia" w:ascii="黑体" w:hAnsi="黑体" w:eastAsia="黑体" w:cs="黑体"/>
          <w:i/>
          <w:iCs/>
          <w:szCs w:val="21"/>
          <w:highlight w:val="none"/>
        </w:rPr>
        <w:t>C</w:t>
      </w:r>
      <w:r>
        <w:rPr>
          <w:rFonts w:hint="eastAsia" w:ascii="黑体" w:hAnsi="黑体" w:eastAsia="黑体" w:cs="黑体"/>
          <w:i/>
          <w:iCs/>
          <w:szCs w:val="21"/>
          <w:highlight w:val="none"/>
          <w:vertAlign w:val="subscript"/>
        </w:rPr>
        <w:t>0</w:t>
      </w:r>
      <w:r>
        <w:rPr>
          <w:rFonts w:hint="eastAsia" w:ascii="黑体" w:hAnsi="黑体" w:eastAsia="黑体" w:cs="黑体"/>
          <w:szCs w:val="21"/>
          <w:highlight w:val="none"/>
        </w:rPr>
        <w:t xml:space="preserve"> ——目标污染气体的源浓度，mg/m</w:t>
      </w:r>
      <w:r>
        <w:rPr>
          <w:rFonts w:hint="eastAsia" w:ascii="黑体" w:hAnsi="黑体" w:eastAsia="黑体" w:cs="黑体"/>
          <w:szCs w:val="21"/>
          <w:highlight w:val="none"/>
          <w:vertAlign w:val="superscript"/>
        </w:rPr>
        <w:t>3</w:t>
      </w:r>
      <w:r>
        <w:rPr>
          <w:rFonts w:hint="eastAsia" w:ascii="黑体" w:hAnsi="黑体" w:eastAsia="黑体" w:cs="黑体"/>
          <w:szCs w:val="21"/>
          <w:highlight w:val="none"/>
        </w:rPr>
        <w:t>；</w:t>
      </w:r>
    </w:p>
    <w:p w14:paraId="2B2B9C56">
      <w:pPr>
        <w:spacing w:line="360" w:lineRule="auto"/>
        <w:ind w:firstLine="420" w:firstLineChars="200"/>
        <w:rPr>
          <w:rFonts w:ascii="黑体" w:hAnsi="黑体" w:eastAsia="黑体" w:cs="黑体"/>
          <w:szCs w:val="21"/>
          <w:highlight w:val="none"/>
        </w:rPr>
      </w:pPr>
      <w:r>
        <w:rPr>
          <w:rFonts w:hint="eastAsia" w:ascii="黑体" w:hAnsi="黑体" w:eastAsia="黑体" w:cs="黑体"/>
          <w:i/>
          <w:iCs/>
          <w:szCs w:val="21"/>
          <w:highlight w:val="none"/>
        </w:rPr>
        <w:t>D</w:t>
      </w:r>
      <w:r>
        <w:rPr>
          <w:rFonts w:hint="eastAsia" w:ascii="黑体" w:hAnsi="黑体" w:eastAsia="黑体" w:cs="黑体"/>
          <w:i/>
          <w:iCs/>
          <w:szCs w:val="21"/>
          <w:highlight w:val="none"/>
          <w:vertAlign w:val="subscript"/>
        </w:rPr>
        <w:t>e</w:t>
      </w:r>
      <w:r>
        <w:rPr>
          <w:rFonts w:hint="eastAsia" w:ascii="黑体" w:hAnsi="黑体" w:eastAsia="黑体" w:cs="黑体"/>
          <w:i/>
          <w:iCs/>
          <w:szCs w:val="21"/>
          <w:highlight w:val="none"/>
        </w:rPr>
        <w:t xml:space="preserve"> </w:t>
      </w:r>
      <w:r>
        <w:rPr>
          <w:rFonts w:hint="eastAsia" w:ascii="黑体" w:hAnsi="黑体" w:eastAsia="黑体" w:cs="黑体"/>
          <w:szCs w:val="21"/>
          <w:highlight w:val="none"/>
        </w:rPr>
        <w:t>——目标污染气体在覆盖阻隔中的有效扩散系数，m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/s，与土壤含水率和密度有关，数量级一般在10</w:t>
      </w:r>
      <w:r>
        <w:rPr>
          <w:rFonts w:hint="eastAsia" w:ascii="黑体" w:hAnsi="黑体" w:eastAsia="黑体" w:cs="黑体"/>
          <w:szCs w:val="21"/>
          <w:highlight w:val="none"/>
          <w:vertAlign w:val="superscript"/>
        </w:rPr>
        <w:t>-9</w:t>
      </w:r>
      <w:r>
        <w:rPr>
          <w:rFonts w:hint="eastAsia" w:ascii="黑体" w:hAnsi="黑体" w:eastAsia="黑体" w:cs="黑体"/>
          <w:szCs w:val="21"/>
          <w:highlight w:val="none"/>
        </w:rPr>
        <w:t xml:space="preserve">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/s~10</w:t>
      </w:r>
      <w:r>
        <w:rPr>
          <w:rFonts w:hint="eastAsia" w:ascii="黑体" w:hAnsi="黑体" w:eastAsia="黑体" w:cs="黑体"/>
          <w:szCs w:val="21"/>
          <w:highlight w:val="none"/>
          <w:vertAlign w:val="superscript"/>
        </w:rPr>
        <w:t>-6</w:t>
      </w:r>
      <w:r>
        <w:rPr>
          <w:rFonts w:hint="eastAsia" w:ascii="黑体" w:hAnsi="黑体" w:eastAsia="黑体" w:cs="黑体"/>
          <w:szCs w:val="21"/>
          <w:highlight w:val="none"/>
        </w:rPr>
        <w:t xml:space="preserve">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/s之间；</w:t>
      </w:r>
    </w:p>
    <w:p w14:paraId="6B3A432A">
      <w:pPr>
        <w:spacing w:line="360" w:lineRule="auto"/>
        <w:ind w:firstLine="420" w:firstLineChars="200"/>
        <w:rPr>
          <w:rFonts w:ascii="黑体" w:hAnsi="黑体" w:eastAsia="黑体" w:cs="黑体"/>
          <w:szCs w:val="21"/>
          <w:highlight w:val="none"/>
        </w:rPr>
      </w:pPr>
      <w:r>
        <w:rPr>
          <w:rFonts w:hint="eastAsia" w:ascii="黑体" w:hAnsi="黑体" w:eastAsia="黑体" w:cs="黑体"/>
          <w:i/>
          <w:iCs/>
          <w:szCs w:val="21"/>
          <w:highlight w:val="none"/>
        </w:rPr>
        <w:t xml:space="preserve">v </w:t>
      </w:r>
      <w:r>
        <w:rPr>
          <w:rFonts w:hint="eastAsia" w:ascii="黑体" w:hAnsi="黑体" w:eastAsia="黑体" w:cs="黑体"/>
          <w:szCs w:val="21"/>
          <w:highlight w:val="none"/>
        </w:rPr>
        <w:t>——目标污染气体在覆盖阻隔中的对流速度，m/s；</w:t>
      </w:r>
    </w:p>
    <w:p w14:paraId="7CD89C7A">
      <w:pPr>
        <w:spacing w:line="360" w:lineRule="auto"/>
        <w:ind w:firstLine="420" w:firstLineChars="200"/>
        <w:rPr>
          <w:rFonts w:ascii="黑体" w:hAnsi="黑体" w:eastAsia="黑体" w:cs="黑体"/>
          <w:szCs w:val="21"/>
          <w:highlight w:val="none"/>
        </w:rPr>
      </w:pPr>
      <w:r>
        <w:rPr>
          <w:rFonts w:hint="eastAsia" w:ascii="黑体" w:hAnsi="黑体" w:eastAsia="黑体" w:cs="黑体"/>
          <w:i/>
          <w:iCs/>
          <w:szCs w:val="21"/>
          <w:highlight w:val="none"/>
        </w:rPr>
        <w:t>D</w:t>
      </w:r>
      <w:r>
        <w:rPr>
          <w:rFonts w:hint="eastAsia" w:ascii="黑体" w:hAnsi="黑体" w:eastAsia="黑体" w:cs="黑体"/>
          <w:i/>
          <w:iCs/>
          <w:szCs w:val="21"/>
          <w:highlight w:val="none"/>
          <w:vertAlign w:val="subscript"/>
        </w:rPr>
        <w:t>eddy</w:t>
      </w:r>
      <w:r>
        <w:rPr>
          <w:rFonts w:hint="eastAsia" w:ascii="黑体" w:hAnsi="黑体" w:eastAsia="黑体" w:cs="黑体"/>
          <w:szCs w:val="21"/>
          <w:highlight w:val="none"/>
        </w:rPr>
        <w:t>——涡流扩散系数，m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/s；</w:t>
      </w:r>
    </w:p>
    <w:p w14:paraId="4129004F">
      <w:pPr>
        <w:spacing w:line="360" w:lineRule="auto"/>
        <w:ind w:firstLine="420" w:firstLineChars="200"/>
        <w:rPr>
          <w:rFonts w:ascii="黑体" w:hAnsi="黑体" w:eastAsia="黑体" w:cs="黑体"/>
          <w:szCs w:val="21"/>
          <w:highlight w:val="none"/>
        </w:rPr>
      </w:pPr>
      <w:r>
        <w:rPr>
          <w:rFonts w:hint="eastAsia" w:ascii="黑体" w:hAnsi="黑体" w:eastAsia="黑体" w:cs="黑体"/>
          <w:i/>
          <w:szCs w:val="21"/>
          <w:highlight w:val="none"/>
        </w:rPr>
        <w:t>k</w:t>
      </w:r>
      <w:r>
        <w:rPr>
          <w:rFonts w:hint="eastAsia" w:ascii="黑体" w:hAnsi="黑体" w:eastAsia="黑体" w:cs="黑体"/>
          <w:szCs w:val="21"/>
          <w:highlight w:val="none"/>
        </w:rPr>
        <w:t xml:space="preserve"> ——冯·卡门参数，一般取0.4；</w:t>
      </w:r>
    </w:p>
    <w:p w14:paraId="4D6E45A9">
      <w:pPr>
        <w:spacing w:line="360" w:lineRule="auto"/>
        <w:ind w:firstLine="420" w:firstLineChars="200"/>
        <w:rPr>
          <w:rFonts w:ascii="黑体" w:hAnsi="黑体" w:eastAsia="黑体" w:cs="黑体"/>
          <w:szCs w:val="21"/>
          <w:highlight w:val="none"/>
        </w:rPr>
      </w:pPr>
      <w:r>
        <w:rPr>
          <w:rFonts w:hint="eastAsia" w:ascii="黑体" w:hAnsi="黑体" w:eastAsia="黑体" w:cs="黑体"/>
          <w:i/>
          <w:szCs w:val="21"/>
          <w:highlight w:val="none"/>
        </w:rPr>
        <w:t>u</w:t>
      </w:r>
      <w:r>
        <w:rPr>
          <w:rFonts w:hint="eastAsia" w:ascii="黑体" w:hAnsi="黑体" w:eastAsia="黑体" w:cs="黑体"/>
          <w:i/>
          <w:szCs w:val="21"/>
          <w:highlight w:val="none"/>
          <w:vertAlign w:val="superscript"/>
        </w:rPr>
        <w:t>*</w:t>
      </w:r>
      <w:r>
        <w:rPr>
          <w:rFonts w:hint="eastAsia" w:ascii="黑体" w:hAnsi="黑体" w:eastAsia="黑体" w:cs="黑体"/>
          <w:i/>
          <w:szCs w:val="21"/>
          <w:highlight w:val="none"/>
        </w:rPr>
        <w:t xml:space="preserve"> </w:t>
      </w:r>
      <w:r>
        <w:rPr>
          <w:rFonts w:hint="eastAsia" w:ascii="黑体" w:hAnsi="黑体" w:eastAsia="黑体" w:cs="黑体"/>
          <w:szCs w:val="21"/>
          <w:highlight w:val="none"/>
        </w:rPr>
        <w:t>——摩擦速度或剪切速度，m/s，一般取0.3 m/s；</w:t>
      </w:r>
    </w:p>
    <w:p w14:paraId="623E291F">
      <w:pPr>
        <w:spacing w:line="360" w:lineRule="auto"/>
        <w:ind w:firstLine="420" w:firstLineChars="200"/>
        <w:rPr>
          <w:rFonts w:hint="eastAsia" w:ascii="黑体" w:hAnsi="黑体" w:eastAsia="黑体" w:cs="黑体"/>
          <w:szCs w:val="21"/>
          <w:highlight w:val="none"/>
          <w:lang w:eastAsia="zh-CN"/>
        </w:rPr>
      </w:pPr>
      <w:r>
        <w:rPr>
          <w:rFonts w:hint="eastAsia" w:ascii="黑体" w:hAnsi="黑体" w:eastAsia="黑体" w:cs="黑体"/>
          <w:i/>
          <w:iCs/>
          <w:szCs w:val="21"/>
          <w:highlight w:val="none"/>
        </w:rPr>
        <w:t>D</w:t>
      </w:r>
      <w:r>
        <w:rPr>
          <w:rFonts w:hint="eastAsia" w:ascii="黑体" w:hAnsi="黑体" w:eastAsia="黑体" w:cs="黑体"/>
          <w:i/>
          <w:iCs/>
          <w:szCs w:val="21"/>
          <w:highlight w:val="none"/>
          <w:vertAlign w:val="subscript"/>
        </w:rPr>
        <w:t xml:space="preserve">g </w:t>
      </w:r>
      <w:r>
        <w:rPr>
          <w:rFonts w:hint="eastAsia" w:ascii="黑体" w:hAnsi="黑体" w:eastAsia="黑体" w:cs="黑体"/>
          <w:szCs w:val="21"/>
          <w:highlight w:val="none"/>
        </w:rPr>
        <w:t>——目标污染气体在空气中的扩散系数，m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/s，数量级一般为10</w:t>
      </w:r>
      <w:r>
        <w:rPr>
          <w:rFonts w:hint="eastAsia" w:ascii="黑体" w:hAnsi="黑体" w:eastAsia="黑体" w:cs="黑体"/>
          <w:szCs w:val="21"/>
          <w:highlight w:val="none"/>
          <w:vertAlign w:val="superscript"/>
        </w:rPr>
        <w:t>-5</w:t>
      </w:r>
      <w:r>
        <w:rPr>
          <w:rFonts w:hint="eastAsia" w:ascii="黑体" w:hAnsi="黑体" w:eastAsia="黑体" w:cs="黑体"/>
          <w:szCs w:val="21"/>
          <w:highlight w:val="none"/>
        </w:rPr>
        <w:t xml:space="preserve">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/s</w:t>
      </w:r>
      <w:r>
        <w:rPr>
          <w:rFonts w:hint="eastAsia" w:ascii="黑体" w:hAnsi="黑体" w:eastAsia="黑体" w:cs="黑体"/>
          <w:szCs w:val="21"/>
          <w:highlight w:val="none"/>
          <w:lang w:eastAsia="zh-CN"/>
        </w:rPr>
        <w:t>。</w:t>
      </w:r>
    </w:p>
    <w:p w14:paraId="3C87FC4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5.6.3  污染气体击穿判别所需参数取值应符合下列规定：</w:t>
      </w:r>
    </w:p>
    <w:p w14:paraId="4DD067E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阻隔性能参数，宜取目标污染物的阻隔性能参数实测值；</w:t>
      </w:r>
    </w:p>
    <w:p w14:paraId="0E543B2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 xml:space="preserve">2  </w:t>
      </w:r>
      <w:r>
        <w:rPr>
          <w:rFonts w:hint="eastAsia" w:ascii="黑体" w:hAnsi="黑体" w:eastAsia="黑体" w:cs="黑体"/>
          <w:i/>
          <w:iCs/>
          <w:szCs w:val="21"/>
          <w:highlight w:val="none"/>
        </w:rPr>
        <w:t>C</w:t>
      </w:r>
      <w:r>
        <w:rPr>
          <w:rFonts w:hint="eastAsia" w:ascii="黑体" w:hAnsi="黑体" w:eastAsia="黑体" w:cs="黑体"/>
          <w:szCs w:val="21"/>
          <w:highlight w:val="none"/>
          <w:vertAlign w:val="subscript"/>
        </w:rPr>
        <w:t>0</w:t>
      </w:r>
      <w:r>
        <w:rPr>
          <w:rFonts w:hint="eastAsia" w:ascii="黑体" w:hAnsi="黑体" w:eastAsia="黑体" w:cs="黑体"/>
          <w:szCs w:val="21"/>
          <w:highlight w:val="none"/>
        </w:rPr>
        <w:t>可取场地勘察与污染状况调查阶段土壤气体试样中目标污染气体浓度。</w:t>
      </w:r>
    </w:p>
    <w:p w14:paraId="1B2E654A">
      <w:pPr>
        <w:snapToGrid w:val="0"/>
        <w:spacing w:before="156" w:beforeLines="50" w:after="156" w:afterLines="50" w:line="360" w:lineRule="auto"/>
        <w:jc w:val="center"/>
        <w:outlineLvl w:val="1"/>
        <w:rPr>
          <w:rFonts w:ascii="黑体" w:hAnsi="黑体" w:eastAsia="黑体" w:cs="黑体"/>
          <w:szCs w:val="21"/>
          <w:highlight w:val="none"/>
        </w:rPr>
      </w:pPr>
      <w:bookmarkStart w:id="64" w:name="_Toc20477"/>
      <w:r>
        <w:rPr>
          <w:rFonts w:hint="eastAsia" w:ascii="黑体" w:hAnsi="黑体" w:eastAsia="黑体" w:cs="黑体"/>
          <w:szCs w:val="21"/>
          <w:highlight w:val="none"/>
        </w:rPr>
        <w:t>5.7  覆盖阻隔屏障材料性能测试方法</w:t>
      </w:r>
      <w:bookmarkEnd w:id="64"/>
    </w:p>
    <w:p w14:paraId="3E6292D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5.7.1  污染物作用下单层及复合覆盖阻隔屏障中的压实黏土、膨润土防水毯、土工膜的性能测试，试验用污染土壤选用应符合下列规定：</w:t>
      </w:r>
    </w:p>
    <w:p w14:paraId="26C3A349">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工业有机污染场地取样处土壤；</w:t>
      </w:r>
    </w:p>
    <w:p w14:paraId="63465AF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按工业有机污染场地内目标污染物种类和浓度进行制备的人工污染土。</w:t>
      </w:r>
    </w:p>
    <w:p w14:paraId="764AA84F">
      <w:pPr>
        <w:snapToGrid w:val="0"/>
        <w:spacing w:line="360" w:lineRule="auto"/>
        <w:rPr>
          <w:rFonts w:hint="eastAsia" w:ascii="黑体" w:hAnsi="黑体" w:eastAsia="黑体" w:cs="黑体"/>
          <w:szCs w:val="21"/>
          <w:highlight w:val="none"/>
        </w:rPr>
      </w:pPr>
      <w:r>
        <w:rPr>
          <w:rFonts w:hint="eastAsia" w:ascii="黑体" w:hAnsi="黑体" w:eastAsia="黑体" w:cs="黑体"/>
          <w:szCs w:val="21"/>
          <w:highlight w:val="none"/>
        </w:rPr>
        <w:t>5.7.2  未受污染的单层及复合覆盖阻隔屏障中的压实黏土、膨润土防水毯、土工膜的性能测试的试验用水，宜采用水质达到现行国家标准《地下水质量标准》GB/T 14848所规定Ⅲ类地下水质量的淡水或自来水。</w:t>
      </w:r>
    </w:p>
    <w:p w14:paraId="678D434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5.7.3  污染物作用下膨润土的液限测试宜采用现行国家标准《土工试验方法标准》GB/T 50123所规定的液塑限联合测定法。</w:t>
      </w:r>
    </w:p>
    <w:p w14:paraId="48A2937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5.7.4  单层及复合覆盖阻隔屏障中的压实黏土、膨润土防水毯、土工膜的水力渗透系数测试应符合下列规定：</w:t>
      </w:r>
    </w:p>
    <w:p w14:paraId="53626B1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试验所用主要仪器设备、试样制备、试验步骤应符合现行国家标准《土工试验方法标准》GB/T 50123的相关规定；</w:t>
      </w:r>
    </w:p>
    <w:p w14:paraId="2609647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宜分别测试未受污染试样以及污染物作用下试样的渗透系数；</w:t>
      </w:r>
    </w:p>
    <w:p w14:paraId="0C212430">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试验过程中应收集并测定渗出液的体积、pH、电导率和污染物浓度；</w:t>
      </w:r>
    </w:p>
    <w:p w14:paraId="582564E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未受污染试样的渗透试验的试验终止条件应符合下列规定：</w:t>
      </w:r>
    </w:p>
    <w:p w14:paraId="3FC282D9">
      <w:pPr>
        <w:numPr>
          <w:ilvl w:val="0"/>
          <w:numId w:val="1"/>
        </w:num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连续4次所测定的渗透渗入量与渗出量的比值应在0.75~1.25之间；</w:t>
      </w:r>
    </w:p>
    <w:p w14:paraId="3A379D3A">
      <w:pPr>
        <w:numPr>
          <w:ilvl w:val="0"/>
          <w:numId w:val="1"/>
        </w:num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渗透系数大于等于1.0×10</w:t>
      </w:r>
      <w:r>
        <w:rPr>
          <w:rFonts w:hint="eastAsia" w:ascii="黑体" w:hAnsi="黑体" w:eastAsia="黑体" w:cs="黑体"/>
          <w:szCs w:val="21"/>
          <w:highlight w:val="none"/>
          <w:vertAlign w:val="superscript"/>
        </w:rPr>
        <w:t>-8</w:t>
      </w:r>
      <w:r>
        <w:rPr>
          <w:rFonts w:hint="eastAsia" w:ascii="黑体" w:hAnsi="黑体" w:eastAsia="黑体" w:cs="黑体"/>
          <w:szCs w:val="21"/>
          <w:highlight w:val="none"/>
        </w:rPr>
        <w:t xml:space="preserve"> cm/s时，至少连续4次所测定渗透系数的变化幅度应小于等于25%；渗透系数小于1.0×10</w:t>
      </w:r>
      <w:r>
        <w:rPr>
          <w:rFonts w:hint="eastAsia" w:ascii="黑体" w:hAnsi="黑体" w:eastAsia="黑体" w:cs="黑体"/>
          <w:szCs w:val="21"/>
          <w:highlight w:val="none"/>
          <w:vertAlign w:val="superscript"/>
        </w:rPr>
        <w:t>-8</w:t>
      </w:r>
      <w:r>
        <w:rPr>
          <w:rFonts w:hint="eastAsia" w:ascii="黑体" w:hAnsi="黑体" w:eastAsia="黑体" w:cs="黑体"/>
          <w:szCs w:val="21"/>
          <w:highlight w:val="none"/>
        </w:rPr>
        <w:t xml:space="preserve"> cm/s时，至少连续4次所测定渗透系数的变化幅度应小于等于50%；渗透系数随试验时间应无明显单调升高或降低趋势。</w:t>
      </w:r>
    </w:p>
    <w:p w14:paraId="6BD786C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污染物作用下试样的渗透系数的试验终止条件应符合下列规定：</w:t>
      </w:r>
    </w:p>
    <w:p w14:paraId="30818772">
      <w:pPr>
        <w:numPr>
          <w:ilvl w:val="0"/>
          <w:numId w:val="2"/>
        </w:num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符合本条第4款的规定；</w:t>
      </w:r>
    </w:p>
    <w:p w14:paraId="12A3F106">
      <w:pPr>
        <w:numPr>
          <w:ilvl w:val="0"/>
          <w:numId w:val="2"/>
        </w:num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累计渗出液体积与试验孔隙体积的比值不宜小于2.0；</w:t>
      </w:r>
    </w:p>
    <w:p w14:paraId="3871B175">
      <w:pPr>
        <w:numPr>
          <w:ilvl w:val="0"/>
          <w:numId w:val="2"/>
        </w:num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测定渗入液与渗出液pH、电导率及污染物浓度之间的相对误差小于10%，且渗出液pH、电导率及污染物浓度随试验时间应无明显单调升高或降低趋势。</w:t>
      </w:r>
    </w:p>
    <w:p w14:paraId="1034AC5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5.7.5  复合覆盖阻隔屏障的渗透试验应根据各工程材料渗透系数综合确定，并应符合下列规定：</w:t>
      </w:r>
    </w:p>
    <w:p w14:paraId="5854976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压实黏土的渗透系数测定应符合现行国家标准《土工试验方法标准》GB/T 50123的相关规定；</w:t>
      </w:r>
    </w:p>
    <w:p w14:paraId="65F12B4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土工膜的渗透系数测定应符合现行国家标准《土工合成材料 防渗性能 第2部分：渗透系数的测定》GB/T 19979.2的相关规定；</w:t>
      </w:r>
    </w:p>
    <w:p w14:paraId="2DAE3BE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膨润土防水毯的渗透系数除应符合现行行业标准《钠基膨润土防水毯》JC/T 193的相关规定，试验终止的条件还应符合本规范5.7.4的规定。</w:t>
      </w:r>
    </w:p>
    <w:p w14:paraId="725C809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5.7.6  压实黏土、膨润土防水毯、土工膜的</w:t>
      </w:r>
      <w:bookmarkStart w:id="65" w:name="OLE_LINK11"/>
      <w:r>
        <w:rPr>
          <w:rFonts w:hint="eastAsia" w:ascii="黑体" w:hAnsi="黑体" w:eastAsia="黑体" w:cs="黑体"/>
          <w:szCs w:val="21"/>
          <w:highlight w:val="none"/>
        </w:rPr>
        <w:t>气体有效渗透率测试和气体扩散系数</w:t>
      </w:r>
      <w:bookmarkEnd w:id="65"/>
      <w:r>
        <w:rPr>
          <w:rFonts w:hint="eastAsia" w:ascii="黑体" w:hAnsi="黑体" w:eastAsia="黑体" w:cs="黑体"/>
          <w:szCs w:val="21"/>
          <w:highlight w:val="none"/>
        </w:rPr>
        <w:t>测试可按本规范附录B执行。</w:t>
      </w:r>
    </w:p>
    <w:p w14:paraId="31C5A2D4">
      <w:pPr>
        <w:widowControl/>
        <w:jc w:val="left"/>
        <w:rPr>
          <w:rFonts w:ascii="黑体" w:hAnsi="黑体" w:eastAsia="黑体" w:cs="黑体"/>
          <w:sz w:val="24"/>
          <w:szCs w:val="24"/>
          <w:highlight w:val="none"/>
        </w:rPr>
      </w:pPr>
      <w:r>
        <w:rPr>
          <w:rFonts w:ascii="黑体" w:hAnsi="黑体" w:eastAsia="黑体" w:cs="黑体"/>
          <w:sz w:val="24"/>
          <w:szCs w:val="24"/>
          <w:highlight w:val="none"/>
        </w:rPr>
        <w:br w:type="page"/>
      </w:r>
    </w:p>
    <w:p w14:paraId="68CDB288">
      <w:pPr>
        <w:snapToGrid w:val="0"/>
        <w:spacing w:line="360" w:lineRule="auto"/>
        <w:jc w:val="center"/>
        <w:outlineLvl w:val="0"/>
        <w:rPr>
          <w:rFonts w:hint="eastAsia" w:ascii="黑体" w:hAnsi="黑体" w:eastAsia="黑体" w:cs="黑体"/>
          <w:sz w:val="28"/>
          <w:szCs w:val="28"/>
          <w:highlight w:val="none"/>
        </w:rPr>
      </w:pPr>
      <w:bookmarkStart w:id="66" w:name="_Toc16532"/>
      <w:r>
        <w:rPr>
          <w:rFonts w:hint="eastAsia" w:ascii="黑体" w:hAnsi="黑体" w:eastAsia="黑体" w:cs="黑体"/>
          <w:sz w:val="28"/>
          <w:szCs w:val="28"/>
          <w:highlight w:val="none"/>
        </w:rPr>
        <w:t>6  覆盖阻隔工程施工</w:t>
      </w:r>
      <w:bookmarkEnd w:id="66"/>
    </w:p>
    <w:p w14:paraId="5DFAF886">
      <w:pPr>
        <w:jc w:val="left"/>
        <w:rPr>
          <w:rFonts w:hint="eastAsia" w:ascii="黑体" w:hAnsi="黑体" w:eastAsia="黑体" w:cs="黑体"/>
          <w:highlight w:val="none"/>
          <w:lang w:val="en-US" w:eastAsia="zh-CN"/>
        </w:rPr>
      </w:pPr>
    </w:p>
    <w:p w14:paraId="54E66B0C">
      <w:pPr>
        <w:snapToGrid w:val="0"/>
        <w:spacing w:before="156" w:beforeLines="50" w:after="156" w:afterLines="50" w:line="360" w:lineRule="auto"/>
        <w:jc w:val="center"/>
        <w:outlineLvl w:val="1"/>
        <w:rPr>
          <w:rFonts w:ascii="黑体" w:hAnsi="黑体" w:eastAsia="黑体" w:cs="黑体"/>
          <w:szCs w:val="21"/>
          <w:highlight w:val="none"/>
        </w:rPr>
      </w:pPr>
      <w:bookmarkStart w:id="67" w:name="_Toc25530"/>
      <w:r>
        <w:rPr>
          <w:rFonts w:hint="eastAsia" w:ascii="黑体" w:hAnsi="黑体" w:eastAsia="黑体" w:cs="黑体"/>
          <w:szCs w:val="21"/>
          <w:highlight w:val="none"/>
        </w:rPr>
        <w:t>6.1  一 般 规 定</w:t>
      </w:r>
      <w:bookmarkEnd w:id="67"/>
    </w:p>
    <w:p w14:paraId="77E2AD2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6.1.1  覆盖阻隔工程施工前，应具备下列资料：</w:t>
      </w:r>
    </w:p>
    <w:p w14:paraId="4A69F88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场地勘察及污染状况调查资料；</w:t>
      </w:r>
    </w:p>
    <w:p w14:paraId="11A7185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施工所需的设计方案；</w:t>
      </w:r>
    </w:p>
    <w:p w14:paraId="0515492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施工方案；</w:t>
      </w:r>
    </w:p>
    <w:p w14:paraId="55894A0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工艺性试验资料；</w:t>
      </w:r>
    </w:p>
    <w:p w14:paraId="050BCED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施工原材料的质量检验资料；</w:t>
      </w:r>
    </w:p>
    <w:p w14:paraId="7D19415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 xml:space="preserve">6  </w:t>
      </w:r>
      <w:bookmarkStart w:id="68" w:name="OLE_LINK44"/>
      <w:r>
        <w:rPr>
          <w:rFonts w:hint="eastAsia" w:ascii="黑体" w:hAnsi="黑体" w:eastAsia="黑体" w:cs="黑体"/>
          <w:szCs w:val="21"/>
          <w:highlight w:val="none"/>
        </w:rPr>
        <w:t>保障施工人员健康和环境安全</w:t>
      </w:r>
      <w:bookmarkEnd w:id="68"/>
      <w:r>
        <w:rPr>
          <w:rFonts w:hint="eastAsia" w:ascii="黑体" w:hAnsi="黑体" w:eastAsia="黑体" w:cs="黑体"/>
          <w:szCs w:val="21"/>
          <w:highlight w:val="none"/>
        </w:rPr>
        <w:t>的措施。</w:t>
      </w:r>
    </w:p>
    <w:p w14:paraId="3733916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6.1.2  施工方案宜包括下列内容：</w:t>
      </w:r>
    </w:p>
    <w:p w14:paraId="782D736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施工作业条件资料；</w:t>
      </w:r>
    </w:p>
    <w:p w14:paraId="15266FF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测量作业资料；</w:t>
      </w:r>
    </w:p>
    <w:p w14:paraId="5DEFF15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施工组织设计；</w:t>
      </w:r>
    </w:p>
    <w:p w14:paraId="3A76C19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施工方法与作业流程；</w:t>
      </w:r>
    </w:p>
    <w:p w14:paraId="2150159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施工质量控制方案；</w:t>
      </w:r>
    </w:p>
    <w:p w14:paraId="02306C0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对邻近建（构）筑物分布、地下管线及管廊的工程保护措施。</w:t>
      </w:r>
    </w:p>
    <w:p w14:paraId="5F760C9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6.1.3  施工作业条件资料宜包括下列内容：</w:t>
      </w:r>
    </w:p>
    <w:p w14:paraId="1FF2541C">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工程场地总平面图，宜包括场地建（构）筑物分布、地下管线及管廊分布、施工空间、交通设施;</w:t>
      </w:r>
    </w:p>
    <w:p w14:paraId="605D936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邻近建（构）筑物安全等级、基础形式及埋设深度;</w:t>
      </w:r>
    </w:p>
    <w:p w14:paraId="3310CF5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施工过程中产生固体废弃物、废液与废气的处置方案;</w:t>
      </w:r>
    </w:p>
    <w:p w14:paraId="6B47EDA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施工场地的平整情况和地基承载力;</w:t>
      </w:r>
    </w:p>
    <w:p w14:paraId="15EAB8A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水、气及其他施工燃料动力供应条件;</w:t>
      </w:r>
    </w:p>
    <w:p w14:paraId="4F76219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区域及场地周边的交通条件。</w:t>
      </w:r>
    </w:p>
    <w:p w14:paraId="569AB8F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6.1.4  施工场地的施工空间、平整情况和地基承载力应满足机械施工要求。工程需要时应提出施工场地的地基处理设计与施工方案。</w:t>
      </w:r>
    </w:p>
    <w:p w14:paraId="58965F3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6.1.5  施工场地</w:t>
      </w:r>
      <w:bookmarkStart w:id="69" w:name="OLE_LINK45"/>
      <w:r>
        <w:rPr>
          <w:rFonts w:hint="eastAsia" w:ascii="黑体" w:hAnsi="黑体" w:eastAsia="黑体" w:cs="黑体"/>
          <w:szCs w:val="21"/>
          <w:highlight w:val="none"/>
        </w:rPr>
        <w:t>土壤</w:t>
      </w:r>
      <w:bookmarkEnd w:id="69"/>
      <w:r>
        <w:rPr>
          <w:rFonts w:hint="eastAsia" w:ascii="黑体" w:hAnsi="黑体" w:eastAsia="黑体" w:cs="黑体"/>
          <w:szCs w:val="21"/>
          <w:highlight w:val="none"/>
        </w:rPr>
        <w:t>中存在挥发及半挥发有机污染物时，施工过程应保障施工人员健康。</w:t>
      </w:r>
    </w:p>
    <w:p w14:paraId="53B1DF6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6.1.6  覆盖阻隔屏障施工的有效厚度不应小于屏障厚度设计要求。</w:t>
      </w:r>
    </w:p>
    <w:p w14:paraId="6A4E0F1C">
      <w:pPr>
        <w:snapToGrid w:val="0"/>
        <w:spacing w:line="360" w:lineRule="auto"/>
        <w:rPr>
          <w:rFonts w:ascii="黑体" w:hAnsi="黑体" w:eastAsia="黑体" w:cs="黑体"/>
          <w:szCs w:val="21"/>
          <w:highlight w:val="none"/>
        </w:rPr>
      </w:pPr>
      <w:bookmarkStart w:id="70" w:name="_Toc10022"/>
      <w:r>
        <w:rPr>
          <w:rFonts w:hint="eastAsia" w:ascii="黑体" w:hAnsi="黑体" w:eastAsia="黑体" w:cs="黑体"/>
          <w:szCs w:val="21"/>
          <w:highlight w:val="none"/>
        </w:rPr>
        <w:t>6.1.7  覆盖阻隔屏障施工应确保交接面的连续、完整。</w:t>
      </w:r>
      <w:bookmarkEnd w:id="70"/>
    </w:p>
    <w:p w14:paraId="35C5EDB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6.1.8  覆盖阻隔屏障施工过程中宜监测地下水位变动，当影响施工时应采取降水措施。</w:t>
      </w:r>
    </w:p>
    <w:p w14:paraId="02D497F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6.1.9  覆盖阻隔屏障施工过程中出现特殊施工情况时，应采取应急措施。</w:t>
      </w:r>
    </w:p>
    <w:p w14:paraId="634DBE1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6.1.10  覆盖阻隔材料入场时应检验，应包装完好、标识清楚，厂家、场地、批次等信息清晰，性能检测报告、产品质量合格证等资料应齐全。覆盖阻隔材料应在现场进行抽样检查，并应由专业机构进行检测。</w:t>
      </w:r>
    </w:p>
    <w:p w14:paraId="03BA54F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6.1.11  施工人员不应穿钉鞋等在土工合成材料上踩踏，车辆不应直接在土工合成材料上碾压。</w:t>
      </w:r>
    </w:p>
    <w:p w14:paraId="0339B04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6.1.12  覆盖阻隔工程各单项施工完成后应及时进行验收并在下一阶段施工时对以前的工程予以保护。</w:t>
      </w:r>
    </w:p>
    <w:p w14:paraId="6BA5C2E6">
      <w:pPr>
        <w:snapToGrid w:val="0"/>
        <w:spacing w:before="156" w:beforeLines="50" w:after="156" w:afterLines="50" w:line="360" w:lineRule="auto"/>
        <w:jc w:val="center"/>
        <w:outlineLvl w:val="1"/>
        <w:rPr>
          <w:rFonts w:ascii="黑体" w:hAnsi="黑体" w:eastAsia="黑体" w:cs="黑体"/>
          <w:szCs w:val="21"/>
          <w:highlight w:val="none"/>
        </w:rPr>
      </w:pPr>
      <w:bookmarkStart w:id="71" w:name="_Toc25977"/>
      <w:r>
        <w:rPr>
          <w:rFonts w:hint="eastAsia" w:ascii="黑体" w:hAnsi="黑体" w:eastAsia="黑体" w:cs="黑体"/>
          <w:szCs w:val="21"/>
          <w:highlight w:val="none"/>
        </w:rPr>
        <w:t>6.2  工艺性试验</w:t>
      </w:r>
      <w:bookmarkEnd w:id="71"/>
    </w:p>
    <w:p w14:paraId="15AA97CB">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6.2.1  工艺性试验应开展下列工作：</w:t>
      </w:r>
    </w:p>
    <w:p w14:paraId="0F35694F">
      <w:pPr>
        <w:snapToGrid w:val="0"/>
        <w:spacing w:line="360" w:lineRule="auto"/>
        <w:ind w:firstLine="420" w:firstLineChars="200"/>
        <w:rPr>
          <w:rFonts w:ascii="黑体" w:hAnsi="黑体" w:eastAsia="黑体" w:cs="黑体"/>
          <w:szCs w:val="21"/>
          <w:highlight w:val="none"/>
        </w:rPr>
      </w:pPr>
      <w:bookmarkStart w:id="72" w:name="OLE_LINK13"/>
      <w:r>
        <w:rPr>
          <w:rFonts w:hint="eastAsia" w:ascii="黑体" w:hAnsi="黑体" w:eastAsia="黑体" w:cs="黑体"/>
          <w:szCs w:val="21"/>
          <w:highlight w:val="none"/>
        </w:rPr>
        <w:t>1  确定施工所需要的施工工艺参数;</w:t>
      </w:r>
    </w:p>
    <w:bookmarkEnd w:id="72"/>
    <w:p w14:paraId="38D5D36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核验覆盖阻隔屏障施工的有效厚度、屏障的完整性；</w:t>
      </w:r>
    </w:p>
    <w:p w14:paraId="52847EA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核验覆盖阻隔屏障中防渗阻气层材料的水力渗透系数、气体有效渗透率和气体扩散系数。</w:t>
      </w:r>
    </w:p>
    <w:p w14:paraId="3B9A985F">
      <w:pPr>
        <w:snapToGrid w:val="0"/>
        <w:spacing w:line="360" w:lineRule="auto"/>
        <w:jc w:val="left"/>
        <w:rPr>
          <w:rFonts w:ascii="黑体" w:hAnsi="黑体" w:eastAsia="黑体" w:cs="黑体"/>
          <w:szCs w:val="21"/>
          <w:highlight w:val="none"/>
        </w:rPr>
      </w:pPr>
      <w:bookmarkStart w:id="73" w:name="OLE_LINK12"/>
      <w:r>
        <w:rPr>
          <w:rFonts w:hint="eastAsia" w:ascii="黑体" w:hAnsi="黑体" w:eastAsia="黑体" w:cs="黑体"/>
          <w:szCs w:val="21"/>
          <w:highlight w:val="none"/>
        </w:rPr>
        <w:t xml:space="preserve">6.2.2  </w:t>
      </w:r>
      <w:bookmarkEnd w:id="73"/>
      <w:r>
        <w:rPr>
          <w:rFonts w:hint="eastAsia" w:ascii="黑体" w:hAnsi="黑体" w:eastAsia="黑体" w:cs="黑体"/>
          <w:szCs w:val="21"/>
          <w:highlight w:val="none"/>
        </w:rPr>
        <w:t>工艺性试验的试验点选择应具有代表性，试验间距沿平面布置的方向不应小于3 m。</w:t>
      </w:r>
    </w:p>
    <w:p w14:paraId="3AE3773E">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6.2.3  工艺性试验应验证以下施工工艺：</w:t>
      </w:r>
    </w:p>
    <w:p w14:paraId="5B6A9FAC">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压实黏土层压实度；</w:t>
      </w:r>
    </w:p>
    <w:p w14:paraId="318EAF7D">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szCs w:val="21"/>
          <w:highlight w:val="none"/>
        </w:rPr>
        <w:t>2  膨润土防水毯、土工膜的搭接方式及搭接宽度。</w:t>
      </w:r>
    </w:p>
    <w:p w14:paraId="1B1D72F7">
      <w:pPr>
        <w:snapToGrid w:val="0"/>
        <w:spacing w:before="156" w:beforeLines="50" w:after="156" w:afterLines="50" w:line="360" w:lineRule="auto"/>
        <w:jc w:val="center"/>
        <w:outlineLvl w:val="1"/>
        <w:rPr>
          <w:rFonts w:ascii="黑体" w:hAnsi="黑体" w:eastAsia="黑体" w:cs="黑体"/>
          <w:szCs w:val="21"/>
          <w:highlight w:val="none"/>
        </w:rPr>
      </w:pPr>
      <w:bookmarkStart w:id="74" w:name="_Toc213"/>
      <w:r>
        <w:rPr>
          <w:rFonts w:hint="eastAsia" w:ascii="黑体" w:hAnsi="黑体" w:eastAsia="黑体" w:cs="黑体"/>
          <w:szCs w:val="21"/>
          <w:highlight w:val="none"/>
        </w:rPr>
        <w:t>6.3  施 工 方 法</w:t>
      </w:r>
      <w:bookmarkEnd w:id="74"/>
    </w:p>
    <w:p w14:paraId="2C4A866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6.3.1  场地顶部、边坡、锚固平台、回填材料应平整、密实，并应无明显凹凸不平，平整度应达到±20 mm。场地顶部、边坡、锚固平台之间应过渡平缓。</w:t>
      </w:r>
    </w:p>
    <w:p w14:paraId="0AC6112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6.3.2  压实黏土阻气防渗层应选择细粒土含量高、砂砾土含量低的土料，并符合下列规定：</w:t>
      </w:r>
    </w:p>
    <w:p w14:paraId="074F6A6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粒径小于0.075 mm的土粒干重应大于土粒总干重的25%；</w:t>
      </w:r>
    </w:p>
    <w:p w14:paraId="7D0BCE8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粒径大于5 mm的土粒干重不宜超过土粒总干重的20%；</w:t>
      </w:r>
    </w:p>
    <w:p w14:paraId="0AD8B44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塑性指数范围宜为15~30。</w:t>
      </w:r>
    </w:p>
    <w:p w14:paraId="2F5DA6B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6.3.3  压实黏土层施工及质量控制应符合现行行业标准《生活垃圾卫生填埋场岩土工程技术规范》CJJ 176的相关规定。</w:t>
      </w:r>
    </w:p>
    <w:p w14:paraId="69ED838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6.3.4  压实黏土层应分层压实。施工时宜采用无振动的羊足碾分层压实，每层压实土层的厚度宜按150 mm控制，各层之间应紧密结合。</w:t>
      </w:r>
    </w:p>
    <w:p w14:paraId="0E4E8D44">
      <w:pPr>
        <w:snapToGrid w:val="0"/>
        <w:spacing w:line="360" w:lineRule="auto"/>
        <w:rPr>
          <w:rFonts w:ascii="黑体" w:hAnsi="黑体" w:eastAsia="黑体" w:cs="黑体"/>
          <w:szCs w:val="21"/>
          <w:highlight w:val="none"/>
        </w:rPr>
      </w:pPr>
      <w:bookmarkStart w:id="75" w:name="_Toc16923"/>
      <w:r>
        <w:rPr>
          <w:rFonts w:hint="eastAsia" w:ascii="黑体" w:hAnsi="黑体" w:eastAsia="黑体" w:cs="黑体"/>
          <w:szCs w:val="21"/>
          <w:highlight w:val="none"/>
        </w:rPr>
        <w:t>6.3.5  膨润土防水毯施工应符合下列规定：</w:t>
      </w:r>
    </w:p>
    <w:p w14:paraId="687A0D1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膨润土防水毯不应在雨雪天气施工；</w:t>
      </w:r>
    </w:p>
    <w:p w14:paraId="1FDABD7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应与基础层贴实，不应折皱、悬空；</w:t>
      </w:r>
    </w:p>
    <w:p w14:paraId="31FA3FA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应以品字形分布，不得出现十字搭接；</w:t>
      </w:r>
    </w:p>
    <w:p w14:paraId="3C08BEB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边坡施工应沿坡面铺展，边坡上不应存在水平搭接。</w:t>
      </w:r>
    </w:p>
    <w:p w14:paraId="4F149D2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6.3.6  膨润土防水毯施工时，卷材宜绕在刚性轴上，借挖土机、装载机结合专用框架起吊铺设，应铺放平整无折皱，不得在地上拖拉，不得直接在其上行车；当边坡铺设膨润土防水毯时，严禁沿边坡向下自由滚落铺设。坡顶处材料应埋入锚固沟锚固。</w:t>
      </w:r>
    </w:p>
    <w:p w14:paraId="262FBBC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6.3.7  膨润土防水毯的搭接处施工应符合下列规定：</w:t>
      </w:r>
    </w:p>
    <w:p w14:paraId="5B10056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膨润土防水毯及其搭接部位应与基础层贴实且无折皱和悬空；</w:t>
      </w:r>
    </w:p>
    <w:p w14:paraId="5A72D8DD">
      <w:pPr>
        <w:snapToGrid w:val="0"/>
        <w:spacing w:line="360" w:lineRule="auto"/>
        <w:ind w:firstLine="420" w:firstLineChars="200"/>
        <w:rPr>
          <w:rFonts w:hint="eastAsia" w:ascii="黑体" w:hAnsi="黑体" w:eastAsia="黑体" w:cs="黑体"/>
          <w:szCs w:val="21"/>
          <w:highlight w:val="none"/>
          <w:lang w:eastAsia="zh-CN"/>
        </w:rPr>
      </w:pPr>
      <w:r>
        <w:rPr>
          <w:rFonts w:hint="eastAsia" w:ascii="黑体" w:hAnsi="黑体" w:eastAsia="黑体" w:cs="黑体"/>
          <w:szCs w:val="21"/>
          <w:highlight w:val="none"/>
        </w:rPr>
        <w:t>2  搭接膨润土防水毯应在下层膨润土防水毯的边缘150 mm处撒上膨润土粉状密封剂，其宽度宜为50 mm，重量宜为0.5 kg/m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。当膨润土防水毯材料的一面为土工膜时，应焊接</w:t>
      </w:r>
      <w:r>
        <w:rPr>
          <w:rFonts w:hint="eastAsia" w:ascii="黑体" w:hAnsi="黑体" w:eastAsia="黑体" w:cs="黑体"/>
          <w:szCs w:val="21"/>
          <w:highlight w:val="none"/>
          <w:lang w:eastAsia="zh-CN"/>
        </w:rPr>
        <w:t>；</w:t>
      </w:r>
    </w:p>
    <w:p w14:paraId="3488028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膨润土防水毯搭接方式为自然搭接，最小搭接宽度宜为250 mm±50 mm；</w:t>
      </w:r>
    </w:p>
    <w:p w14:paraId="61B5675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局部可用膨润土搭接膏密封；</w:t>
      </w:r>
    </w:p>
    <w:p w14:paraId="59775775">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坡面铺设完成后，应在底面留下不少于2 m的膨润土防水毯余量。</w:t>
      </w:r>
    </w:p>
    <w:p w14:paraId="39D4F0E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6.3.8  膨润土防水毯在管道或构筑立柱等特殊部位施工，应加强处理；遇有贯穿物或与结构物连接处，膨润土防水毯与周边接触处应密闭。</w:t>
      </w:r>
    </w:p>
    <w:p w14:paraId="0B2A49C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6.3.9  在膨润土防水毯施工验收以后，应做好防水、防潮保护。</w:t>
      </w:r>
    </w:p>
    <w:p w14:paraId="20FE0E7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6.3.10  土工膜铺设应符合下列规定：</w:t>
      </w:r>
      <w:bookmarkEnd w:id="75"/>
    </w:p>
    <w:p w14:paraId="1E05D73C">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应选择合适的天气施工，土工膜的每日铺设量不应超过一个工作日能完成的焊接量；</w:t>
      </w:r>
    </w:p>
    <w:p w14:paraId="68E1B92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在安装土工膜之前，应检查膜下保护层的平整度达到铺设的要求；</w:t>
      </w:r>
    </w:p>
    <w:p w14:paraId="75E2035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铺设应一次展开到位，不宜展开后再拖动；</w:t>
      </w:r>
    </w:p>
    <w:p w14:paraId="1EAE561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应为材料热胀冷缩导致的尺寸变化留出伸缩量；</w:t>
      </w:r>
    </w:p>
    <w:p w14:paraId="77DF5A1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宜对膜下保护层采取适当的防水、排水措施。</w:t>
      </w:r>
    </w:p>
    <w:p w14:paraId="756EDB3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6.3.11  土工膜展开完成后，应及时焊接，搭接应良好。搭接方式为热熔焊接和挤出焊接。采用热熔焊接时，最小搭接宽度宜为100 mm±20 mm；采用挤出焊接时，最小搭接宽度宜为75 mm±20 mm。土工膜应无明显损伤、无褶皱、无隆起、无悬空现象。边坡上的接缝应与坡面的坡向平行，场底横向接缝应距坡脚应大于1.5 m。</w:t>
      </w:r>
    </w:p>
    <w:p w14:paraId="12EDBDE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.12  </w:t>
      </w:r>
      <w:r>
        <w:rPr>
          <w:rFonts w:hint="eastAsia" w:ascii="黑体" w:hAnsi="黑体" w:eastAsia="黑体" w:cs="黑体"/>
          <w:szCs w:val="21"/>
          <w:highlight w:val="none"/>
        </w:rPr>
        <w:t>土工布应铺设平顺，无破损、无褶皱、无跳针、无漏接现象，不得有石块、土块、水和过多的灰尘进入土工布。</w:t>
      </w:r>
    </w:p>
    <w:p w14:paraId="33E9B2F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.13  </w:t>
      </w:r>
      <w:r>
        <w:rPr>
          <w:rFonts w:hint="eastAsia" w:ascii="黑体" w:hAnsi="黑体" w:eastAsia="黑体" w:cs="黑体"/>
          <w:szCs w:val="21"/>
          <w:highlight w:val="none"/>
        </w:rPr>
        <w:t>土工布搭接方式为缝合连接时，最小搭接宽度宜为7</w:t>
      </w:r>
      <w:r>
        <w:rPr>
          <w:rFonts w:ascii="黑体" w:hAnsi="黑体" w:eastAsia="黑体" w:cs="黑体"/>
          <w:szCs w:val="21"/>
          <w:highlight w:val="none"/>
        </w:rPr>
        <w:t xml:space="preserve">5 </w:t>
      </w:r>
      <w:r>
        <w:rPr>
          <w:rFonts w:hint="eastAsia" w:ascii="黑体" w:hAnsi="黑体" w:eastAsia="黑体" w:cs="黑体"/>
          <w:szCs w:val="21"/>
          <w:highlight w:val="none"/>
        </w:rPr>
        <w:t>mm±</w:t>
      </w:r>
      <w:r>
        <w:rPr>
          <w:rFonts w:ascii="黑体" w:hAnsi="黑体" w:eastAsia="黑体" w:cs="黑体"/>
          <w:szCs w:val="21"/>
          <w:highlight w:val="none"/>
        </w:rPr>
        <w:t xml:space="preserve"> 15 </w:t>
      </w:r>
      <w:r>
        <w:rPr>
          <w:rFonts w:hint="eastAsia" w:ascii="黑体" w:hAnsi="黑体" w:eastAsia="黑体" w:cs="黑体"/>
          <w:szCs w:val="21"/>
          <w:highlight w:val="none"/>
        </w:rPr>
        <w:t>mm；非织造土工布搭接方式为热粘连接时，最小搭接宽度宜为</w:t>
      </w:r>
      <w:r>
        <w:rPr>
          <w:rFonts w:ascii="黑体" w:hAnsi="黑体" w:eastAsia="黑体" w:cs="黑体"/>
          <w:szCs w:val="21"/>
          <w:highlight w:val="none"/>
        </w:rPr>
        <w:t xml:space="preserve">200 </w:t>
      </w:r>
      <w:r>
        <w:rPr>
          <w:rFonts w:hint="eastAsia" w:ascii="黑体" w:hAnsi="黑体" w:eastAsia="黑体" w:cs="黑体"/>
          <w:szCs w:val="21"/>
          <w:highlight w:val="none"/>
        </w:rPr>
        <w:t>mm±</w:t>
      </w:r>
      <w:r>
        <w:rPr>
          <w:rFonts w:ascii="黑体" w:hAnsi="黑体" w:eastAsia="黑体" w:cs="黑体"/>
          <w:szCs w:val="21"/>
          <w:highlight w:val="none"/>
        </w:rPr>
        <w:t xml:space="preserve"> 25 </w:t>
      </w:r>
      <w:r>
        <w:rPr>
          <w:rFonts w:hint="eastAsia" w:ascii="黑体" w:hAnsi="黑体" w:eastAsia="黑体" w:cs="黑体"/>
          <w:szCs w:val="21"/>
          <w:highlight w:val="none"/>
        </w:rPr>
        <w:t>mm。</w:t>
      </w:r>
    </w:p>
    <w:p w14:paraId="1B44310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.14  </w:t>
      </w:r>
      <w:r>
        <w:rPr>
          <w:rFonts w:hint="eastAsia" w:ascii="黑体" w:hAnsi="黑体" w:eastAsia="黑体" w:cs="黑体"/>
          <w:szCs w:val="21"/>
          <w:highlight w:val="none"/>
        </w:rPr>
        <w:t>土工布缝合应采用双线缝合。用于土工布缝合的线应为最小张力大于60 N的树脂线，并应具有不低于土工布的抗化学腐蚀和抗紫外线能力。当非织造土工布采用热粘连接时，应使搭接宽度范围内的重叠部分全部粘结。</w:t>
      </w:r>
    </w:p>
    <w:p w14:paraId="2D5506C7">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6.3.</w:t>
      </w:r>
      <w:r>
        <w:rPr>
          <w:rFonts w:ascii="黑体" w:hAnsi="黑体" w:eastAsia="黑体" w:cs="黑体"/>
          <w:szCs w:val="21"/>
          <w:highlight w:val="none"/>
        </w:rPr>
        <w:t xml:space="preserve">15  </w:t>
      </w:r>
      <w:r>
        <w:rPr>
          <w:rFonts w:hint="eastAsia" w:ascii="黑体" w:hAnsi="黑体" w:eastAsia="黑体" w:cs="黑体"/>
          <w:szCs w:val="21"/>
          <w:highlight w:val="none"/>
        </w:rPr>
        <w:t>边坡上的土工布施工，应预先将土工布锚固在锚固沟内，再沿斜坡向下铺放，土工布不得折叠，不得打皱。土工布在边坡土的铺设方向应与坡面一致，在坡面上宜整卷铺设，不宜有水平接缝。</w:t>
      </w:r>
    </w:p>
    <w:p w14:paraId="5BA7845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.16  </w:t>
      </w:r>
      <w:r>
        <w:rPr>
          <w:rFonts w:hint="eastAsia" w:ascii="黑体" w:hAnsi="黑体" w:eastAsia="黑体" w:cs="黑体"/>
          <w:szCs w:val="21"/>
          <w:highlight w:val="none"/>
        </w:rPr>
        <w:t>土工布上如果有裂缝和孔洞，应使用相同规格材料进行修补，修补范围应大于破损处周边300</w:t>
      </w:r>
      <w:r>
        <w:rPr>
          <w:rFonts w:ascii="黑体" w:hAnsi="黑体" w:eastAsia="黑体" w:cs="黑体"/>
          <w:szCs w:val="21"/>
          <w:highlight w:val="none"/>
        </w:rPr>
        <w:t xml:space="preserve"> </w:t>
      </w:r>
      <w:r>
        <w:rPr>
          <w:rFonts w:hint="eastAsia" w:ascii="黑体" w:hAnsi="黑体" w:eastAsia="黑体" w:cs="黑体"/>
          <w:szCs w:val="21"/>
          <w:highlight w:val="none"/>
        </w:rPr>
        <w:t>mm。</w:t>
      </w:r>
    </w:p>
    <w:p w14:paraId="5A0D1B6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.17</w:t>
      </w:r>
      <w:r>
        <w:rPr>
          <w:rFonts w:hint="eastAsia" w:ascii="黑体" w:hAnsi="黑体" w:eastAsia="黑体" w:cs="黑体"/>
          <w:szCs w:val="21"/>
          <w:highlight w:val="none"/>
        </w:rPr>
        <w:t xml:space="preserve"> </w:t>
      </w:r>
      <w:r>
        <w:rPr>
          <w:rFonts w:ascii="黑体" w:hAnsi="黑体" w:eastAsia="黑体" w:cs="黑体"/>
          <w:szCs w:val="21"/>
          <w:highlight w:val="none"/>
        </w:rPr>
        <w:t xml:space="preserve"> </w:t>
      </w:r>
      <w:r>
        <w:rPr>
          <w:rFonts w:hint="eastAsia" w:ascii="黑体" w:hAnsi="黑体" w:eastAsia="黑体" w:cs="黑体"/>
          <w:szCs w:val="21"/>
          <w:highlight w:val="none"/>
        </w:rPr>
        <w:t>土工复合排水网的排水方向应与水流方向一致。</w:t>
      </w:r>
    </w:p>
    <w:p w14:paraId="77F575C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.18  </w:t>
      </w:r>
      <w:r>
        <w:rPr>
          <w:rFonts w:hint="eastAsia" w:ascii="黑体" w:hAnsi="黑体" w:eastAsia="黑体" w:cs="黑体"/>
          <w:szCs w:val="21"/>
          <w:highlight w:val="none"/>
        </w:rPr>
        <w:t>土工布和排水网都应和同类材料连接。相邻的部位应使用塑料扣件或聚合物编织带连接，底层土工布应搭接，上层土工布应缝合连接，连接部分应重叠。沿材料卷的长度方向，最小连接间距不宜大于1.5m。排水网芯复合的土工布应全面覆盖网芯。</w:t>
      </w:r>
    </w:p>
    <w:p w14:paraId="2189C18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.19  </w:t>
      </w:r>
      <w:r>
        <w:rPr>
          <w:rFonts w:hint="eastAsia" w:ascii="黑体" w:hAnsi="黑体" w:eastAsia="黑体" w:cs="黑体"/>
          <w:szCs w:val="21"/>
          <w:highlight w:val="none"/>
        </w:rPr>
        <w:t>管道或构筑立柱等特殊部位施工应进行特殊处理，并保证排水畅通。</w:t>
      </w:r>
    </w:p>
    <w:p w14:paraId="1B6EADF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w:t>
      </w:r>
      <w:r>
        <w:rPr>
          <w:rFonts w:hint="eastAsia" w:ascii="黑体" w:hAnsi="黑体" w:eastAsia="黑体" w:cs="黑体"/>
          <w:szCs w:val="21"/>
          <w:highlight w:val="none"/>
        </w:rPr>
        <w:t>3</w:t>
      </w:r>
      <w:r>
        <w:rPr>
          <w:rFonts w:ascii="黑体" w:hAnsi="黑体" w:eastAsia="黑体" w:cs="黑体"/>
          <w:szCs w:val="21"/>
          <w:highlight w:val="none"/>
        </w:rPr>
        <w:t xml:space="preserve">.20  </w:t>
      </w:r>
      <w:r>
        <w:rPr>
          <w:rFonts w:hint="eastAsia" w:ascii="黑体" w:hAnsi="黑体" w:eastAsia="黑体" w:cs="黑体"/>
          <w:szCs w:val="21"/>
          <w:highlight w:val="none"/>
        </w:rPr>
        <w:t>土工复合排水网中的破损均应使用相同材料修补，修补范围应大于破损范围周边300</w:t>
      </w:r>
      <w:r>
        <w:rPr>
          <w:rFonts w:ascii="黑体" w:hAnsi="黑体" w:eastAsia="黑体" w:cs="黑体"/>
          <w:szCs w:val="21"/>
          <w:highlight w:val="none"/>
        </w:rPr>
        <w:t xml:space="preserve"> </w:t>
      </w:r>
      <w:r>
        <w:rPr>
          <w:rFonts w:hint="eastAsia" w:ascii="黑体" w:hAnsi="黑体" w:eastAsia="黑体" w:cs="黑体"/>
          <w:szCs w:val="21"/>
          <w:highlight w:val="none"/>
        </w:rPr>
        <w:t>mm。</w:t>
      </w:r>
    </w:p>
    <w:p w14:paraId="3645E250">
      <w:pPr>
        <w:snapToGrid w:val="0"/>
        <w:spacing w:before="156" w:beforeLines="50" w:after="156" w:afterLines="50" w:line="360" w:lineRule="auto"/>
        <w:jc w:val="center"/>
        <w:outlineLvl w:val="1"/>
        <w:rPr>
          <w:rFonts w:ascii="黑体" w:hAnsi="黑体" w:eastAsia="黑体" w:cs="黑体"/>
          <w:szCs w:val="21"/>
          <w:highlight w:val="none"/>
        </w:rPr>
      </w:pPr>
      <w:bookmarkStart w:id="76" w:name="_Toc26219"/>
      <w:r>
        <w:rPr>
          <w:rFonts w:hint="eastAsia" w:ascii="黑体" w:hAnsi="黑体" w:eastAsia="黑体" w:cs="黑体"/>
          <w:szCs w:val="21"/>
          <w:highlight w:val="none"/>
        </w:rPr>
        <w:t>6.4  施工质量控制</w:t>
      </w:r>
      <w:bookmarkEnd w:id="76"/>
    </w:p>
    <w:p w14:paraId="68D1C3D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6.4.1  施工质量控制包括原材料进场质量控制、施工材料质量控制、施工工序质量控制。各阶段施工质量控制应进行准确记录。主控项目的质量控制均应符合质量控制要求。一般项目的质量控制合格率不得低于90%，且不得存在严重缺陷。</w:t>
      </w:r>
    </w:p>
    <w:p w14:paraId="7DCD7F5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6.4.2  原材料进场质量控制应符合设计要求，可根据原材料的质量检测资料进行检查。</w:t>
      </w:r>
    </w:p>
    <w:p w14:paraId="36F9768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6.4.3  施工前应对施工用水进行质量控制，且符合表6.3.3的规定。</w:t>
      </w:r>
    </w:p>
    <w:p w14:paraId="1926FD7D">
      <w:pPr>
        <w:snapToGrid w:val="0"/>
        <w:jc w:val="center"/>
        <w:rPr>
          <w:rFonts w:ascii="黑体" w:hAnsi="黑体" w:eastAsia="黑体" w:cs="黑体"/>
          <w:b/>
          <w:bCs/>
          <w:sz w:val="18"/>
          <w:szCs w:val="18"/>
          <w:highlight w:val="none"/>
        </w:rPr>
      </w:pPr>
      <w:r>
        <w:rPr>
          <w:rFonts w:hint="eastAsia" w:ascii="黑体" w:hAnsi="黑体" w:eastAsia="黑体" w:cs="黑体"/>
          <w:b/>
          <w:bCs/>
          <w:sz w:val="18"/>
          <w:szCs w:val="18"/>
          <w:highlight w:val="none"/>
        </w:rPr>
        <w:t>表</w:t>
      </w:r>
      <w:r>
        <w:rPr>
          <w:rFonts w:ascii="黑体" w:hAnsi="黑体" w:eastAsia="黑体" w:cs="黑体"/>
          <w:b/>
          <w:bCs/>
          <w:sz w:val="18"/>
          <w:szCs w:val="18"/>
          <w:highlight w:val="none"/>
        </w:rPr>
        <w:t>7</w:t>
      </w:r>
      <w:r>
        <w:rPr>
          <w:rFonts w:hint="eastAsia" w:ascii="黑体" w:hAnsi="黑体" w:eastAsia="黑体" w:cs="黑体"/>
          <w:b/>
          <w:bCs/>
          <w:sz w:val="18"/>
          <w:szCs w:val="18"/>
          <w:highlight w:val="none"/>
        </w:rPr>
        <w:t>.3.3 施工用水质量标准</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750"/>
        <w:gridCol w:w="1200"/>
        <w:gridCol w:w="1515"/>
        <w:gridCol w:w="1590"/>
        <w:gridCol w:w="2337"/>
      </w:tblGrid>
      <w:tr w14:paraId="0004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Align w:val="center"/>
          </w:tcPr>
          <w:p w14:paraId="5C2B1512">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项目类别</w:t>
            </w:r>
          </w:p>
        </w:tc>
        <w:tc>
          <w:tcPr>
            <w:tcW w:w="750" w:type="dxa"/>
            <w:vAlign w:val="center"/>
          </w:tcPr>
          <w:p w14:paraId="66D6B1F3">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序号</w:t>
            </w:r>
          </w:p>
        </w:tc>
        <w:tc>
          <w:tcPr>
            <w:tcW w:w="1200" w:type="dxa"/>
            <w:vAlign w:val="center"/>
          </w:tcPr>
          <w:p w14:paraId="7DAA9871">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检测项目</w:t>
            </w:r>
          </w:p>
        </w:tc>
        <w:tc>
          <w:tcPr>
            <w:tcW w:w="1515" w:type="dxa"/>
            <w:vAlign w:val="center"/>
          </w:tcPr>
          <w:p w14:paraId="1DC80CCC">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质量控制要求</w:t>
            </w:r>
          </w:p>
        </w:tc>
        <w:tc>
          <w:tcPr>
            <w:tcW w:w="1590" w:type="dxa"/>
            <w:vAlign w:val="center"/>
          </w:tcPr>
          <w:p w14:paraId="1B170849">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检测频次</w:t>
            </w:r>
          </w:p>
        </w:tc>
        <w:tc>
          <w:tcPr>
            <w:tcW w:w="2337" w:type="dxa"/>
            <w:vAlign w:val="center"/>
          </w:tcPr>
          <w:p w14:paraId="1C4784DA">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检测方法</w:t>
            </w:r>
          </w:p>
        </w:tc>
      </w:tr>
      <w:tr w14:paraId="53C8C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Merge w:val="restart"/>
            <w:vAlign w:val="center"/>
          </w:tcPr>
          <w:p w14:paraId="4E4B9F5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主控项目</w:t>
            </w:r>
          </w:p>
        </w:tc>
        <w:tc>
          <w:tcPr>
            <w:tcW w:w="750" w:type="dxa"/>
            <w:vAlign w:val="center"/>
          </w:tcPr>
          <w:p w14:paraId="3B953E7F">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1</w:t>
            </w:r>
          </w:p>
        </w:tc>
        <w:tc>
          <w:tcPr>
            <w:tcW w:w="1200" w:type="dxa"/>
            <w:vAlign w:val="center"/>
          </w:tcPr>
          <w:p w14:paraId="331DFB22">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pH</w:t>
            </w:r>
          </w:p>
        </w:tc>
        <w:tc>
          <w:tcPr>
            <w:tcW w:w="1515" w:type="dxa"/>
            <w:vAlign w:val="center"/>
          </w:tcPr>
          <w:p w14:paraId="7E5A2080">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6~9</w:t>
            </w:r>
          </w:p>
        </w:tc>
        <w:tc>
          <w:tcPr>
            <w:tcW w:w="1590" w:type="dxa"/>
            <w:vAlign w:val="center"/>
          </w:tcPr>
          <w:p w14:paraId="4826CBAC">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每个来源1次</w:t>
            </w:r>
          </w:p>
        </w:tc>
        <w:tc>
          <w:tcPr>
            <w:tcW w:w="2337" w:type="dxa"/>
            <w:vAlign w:val="center"/>
          </w:tcPr>
          <w:p w14:paraId="24DD0378">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玻璃电极法</w:t>
            </w:r>
          </w:p>
        </w:tc>
      </w:tr>
      <w:tr w14:paraId="561E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Merge w:val="continue"/>
            <w:vAlign w:val="center"/>
          </w:tcPr>
          <w:p w14:paraId="75CE4DA2">
            <w:pPr>
              <w:snapToGrid w:val="0"/>
              <w:jc w:val="center"/>
              <w:rPr>
                <w:rFonts w:ascii="黑体" w:hAnsi="黑体" w:eastAsia="黑体" w:cs="黑体"/>
                <w:sz w:val="18"/>
                <w:szCs w:val="18"/>
                <w:highlight w:val="none"/>
              </w:rPr>
            </w:pPr>
          </w:p>
        </w:tc>
        <w:tc>
          <w:tcPr>
            <w:tcW w:w="750" w:type="dxa"/>
            <w:vAlign w:val="center"/>
          </w:tcPr>
          <w:p w14:paraId="0284F6E6">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2</w:t>
            </w:r>
          </w:p>
        </w:tc>
        <w:tc>
          <w:tcPr>
            <w:tcW w:w="1200" w:type="dxa"/>
            <w:vAlign w:val="center"/>
          </w:tcPr>
          <w:p w14:paraId="0E898A90">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硬度</w:t>
            </w:r>
          </w:p>
        </w:tc>
        <w:tc>
          <w:tcPr>
            <w:tcW w:w="1515" w:type="dxa"/>
            <w:vAlign w:val="center"/>
          </w:tcPr>
          <w:p w14:paraId="46AEB0C3">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＜250 mg/L</w:t>
            </w:r>
          </w:p>
        </w:tc>
        <w:tc>
          <w:tcPr>
            <w:tcW w:w="1590" w:type="dxa"/>
            <w:vAlign w:val="center"/>
          </w:tcPr>
          <w:p w14:paraId="48CE340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每个来源1次</w:t>
            </w:r>
          </w:p>
        </w:tc>
        <w:tc>
          <w:tcPr>
            <w:tcW w:w="2337" w:type="dxa"/>
            <w:vAlign w:val="center"/>
          </w:tcPr>
          <w:p w14:paraId="7B48894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EDTA容量法、电感耦合等离子发射光谱法、电感等离子体质谱法</w:t>
            </w:r>
          </w:p>
        </w:tc>
      </w:tr>
      <w:tr w14:paraId="328E3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0" w:type="dxa"/>
            <w:vMerge w:val="continue"/>
            <w:vAlign w:val="center"/>
          </w:tcPr>
          <w:p w14:paraId="5C4358C2">
            <w:pPr>
              <w:snapToGrid w:val="0"/>
              <w:jc w:val="center"/>
              <w:rPr>
                <w:rFonts w:ascii="黑体" w:hAnsi="黑体" w:eastAsia="黑体" w:cs="黑体"/>
                <w:sz w:val="18"/>
                <w:szCs w:val="18"/>
                <w:highlight w:val="none"/>
              </w:rPr>
            </w:pPr>
          </w:p>
        </w:tc>
        <w:tc>
          <w:tcPr>
            <w:tcW w:w="750" w:type="dxa"/>
            <w:vAlign w:val="center"/>
          </w:tcPr>
          <w:p w14:paraId="26F6A364">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3</w:t>
            </w:r>
          </w:p>
        </w:tc>
        <w:tc>
          <w:tcPr>
            <w:tcW w:w="1200" w:type="dxa"/>
            <w:vAlign w:val="center"/>
          </w:tcPr>
          <w:p w14:paraId="53077A03">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总固体含量</w:t>
            </w:r>
          </w:p>
        </w:tc>
        <w:tc>
          <w:tcPr>
            <w:tcW w:w="1515" w:type="dxa"/>
            <w:vAlign w:val="center"/>
          </w:tcPr>
          <w:p w14:paraId="29907D4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＜500 mg/L</w:t>
            </w:r>
          </w:p>
        </w:tc>
        <w:tc>
          <w:tcPr>
            <w:tcW w:w="1590" w:type="dxa"/>
            <w:vAlign w:val="center"/>
          </w:tcPr>
          <w:p w14:paraId="338463E5">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每个来源1次</w:t>
            </w:r>
          </w:p>
        </w:tc>
        <w:tc>
          <w:tcPr>
            <w:tcW w:w="2337" w:type="dxa"/>
            <w:vAlign w:val="center"/>
          </w:tcPr>
          <w:p w14:paraId="50B20135">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105℃干燥重量法、180℃干燥重量法</w:t>
            </w:r>
          </w:p>
        </w:tc>
      </w:tr>
      <w:tr w14:paraId="407E6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0" w:type="dxa"/>
            <w:vMerge w:val="continue"/>
            <w:vAlign w:val="center"/>
          </w:tcPr>
          <w:p w14:paraId="24F7C23C">
            <w:pPr>
              <w:snapToGrid w:val="0"/>
              <w:jc w:val="center"/>
              <w:rPr>
                <w:rFonts w:ascii="黑体" w:hAnsi="黑体" w:eastAsia="黑体" w:cs="黑体"/>
                <w:sz w:val="18"/>
                <w:szCs w:val="18"/>
                <w:highlight w:val="none"/>
              </w:rPr>
            </w:pPr>
          </w:p>
        </w:tc>
        <w:tc>
          <w:tcPr>
            <w:tcW w:w="750" w:type="dxa"/>
            <w:vAlign w:val="center"/>
          </w:tcPr>
          <w:p w14:paraId="1FC48045">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4</w:t>
            </w:r>
          </w:p>
        </w:tc>
        <w:tc>
          <w:tcPr>
            <w:tcW w:w="1200" w:type="dxa"/>
            <w:vAlign w:val="center"/>
          </w:tcPr>
          <w:p w14:paraId="66CCC270">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硫酸盐</w:t>
            </w:r>
          </w:p>
        </w:tc>
        <w:tc>
          <w:tcPr>
            <w:tcW w:w="1515" w:type="dxa"/>
            <w:vAlign w:val="center"/>
          </w:tcPr>
          <w:p w14:paraId="6D00FD8C">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＜1%</w:t>
            </w:r>
          </w:p>
        </w:tc>
        <w:tc>
          <w:tcPr>
            <w:tcW w:w="1590" w:type="dxa"/>
            <w:vAlign w:val="center"/>
          </w:tcPr>
          <w:p w14:paraId="0C7E095E">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每个来源1次</w:t>
            </w:r>
          </w:p>
        </w:tc>
        <w:tc>
          <w:tcPr>
            <w:tcW w:w="2337" w:type="dxa"/>
            <w:vAlign w:val="center"/>
          </w:tcPr>
          <w:p w14:paraId="65BBC85F">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硫酸钡重量法、离子色谱法、EDTA容量法、硫酸钡比浊法</w:t>
            </w:r>
          </w:p>
        </w:tc>
      </w:tr>
    </w:tbl>
    <w:p w14:paraId="3BCA0D24">
      <w:pPr>
        <w:snapToGrid w:val="0"/>
        <w:spacing w:before="156" w:beforeLines="50" w:line="360" w:lineRule="auto"/>
        <w:rPr>
          <w:rFonts w:ascii="黑体" w:hAnsi="黑体" w:eastAsia="黑体" w:cs="黑体"/>
          <w:szCs w:val="21"/>
          <w:highlight w:val="none"/>
        </w:rPr>
      </w:pPr>
      <w:r>
        <w:rPr>
          <w:rFonts w:hint="eastAsia" w:ascii="黑体" w:hAnsi="黑体" w:eastAsia="黑体" w:cs="黑体"/>
          <w:szCs w:val="21"/>
          <w:highlight w:val="none"/>
        </w:rPr>
        <w:t>6.4.4  当压实黏土层施工时，各层压实土层应每500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取3个~5个样品进行压实度测试。</w:t>
      </w:r>
    </w:p>
    <w:p w14:paraId="102DAA3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6.4.5  膨润土防水毯铺设应随时检查外观有无缺陷，当发现缺陷时，应及时采取修补措施，修补范围宜大于破损范围300 mm。膨润土防水毯如有撕裂等损伤应全部更换。</w:t>
      </w:r>
    </w:p>
    <w:p w14:paraId="60721C9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6.4.6  土工膜应在施工前进行尺寸、外观和物理性能检查，符合下列规定：</w:t>
      </w:r>
    </w:p>
    <w:p w14:paraId="68904632">
      <w:pPr>
        <w:snapToGrid w:val="0"/>
        <w:spacing w:line="360" w:lineRule="auto"/>
        <w:ind w:firstLine="420" w:firstLineChars="200"/>
        <w:rPr>
          <w:rFonts w:ascii="黑体" w:hAnsi="黑体" w:eastAsia="黑体" w:cs="黑体"/>
          <w:szCs w:val="21"/>
          <w:highlight w:val="none"/>
        </w:rPr>
      </w:pPr>
      <w:r>
        <w:rPr>
          <w:rFonts w:ascii="黑体" w:hAnsi="黑体" w:eastAsia="黑体" w:cs="黑体"/>
          <w:szCs w:val="21"/>
          <w:highlight w:val="none"/>
        </w:rPr>
        <w:t>1</w:t>
      </w:r>
      <w:r>
        <w:rPr>
          <w:rFonts w:hint="eastAsia" w:ascii="黑体" w:hAnsi="黑体" w:eastAsia="黑体" w:cs="黑体"/>
          <w:szCs w:val="21"/>
          <w:highlight w:val="none"/>
        </w:rPr>
        <w:t xml:space="preserve">  </w:t>
      </w:r>
      <w:r>
        <w:rPr>
          <w:rFonts w:ascii="黑体" w:hAnsi="黑体" w:eastAsia="黑体" w:cs="黑体"/>
          <w:szCs w:val="21"/>
          <w:highlight w:val="none"/>
        </w:rPr>
        <w:t>尺寸偏差和外观检查应每10000</w:t>
      </w:r>
      <w:r>
        <w:rPr>
          <w:rFonts w:hint="eastAsia" w:ascii="黑体" w:hAnsi="黑体" w:eastAsia="黑体" w:cs="黑体"/>
          <w:szCs w:val="21"/>
          <w:highlight w:val="none"/>
        </w:rPr>
        <w:t xml:space="preserve"> </w:t>
      </w:r>
      <w:r>
        <w:rPr>
          <w:rFonts w:ascii="黑体" w:hAnsi="黑体" w:eastAsia="黑体" w:cs="黑体"/>
          <w:szCs w:val="21"/>
          <w:highlight w:val="none"/>
        </w:rPr>
        <w:t>m</w:t>
      </w:r>
      <w:r>
        <w:rPr>
          <w:rFonts w:ascii="黑体" w:hAnsi="黑体" w:eastAsia="黑体" w:cs="黑体"/>
          <w:szCs w:val="21"/>
          <w:highlight w:val="none"/>
          <w:vertAlign w:val="superscript"/>
        </w:rPr>
        <w:t>2</w:t>
      </w:r>
      <w:r>
        <w:rPr>
          <w:rFonts w:ascii="黑体" w:hAnsi="黑体" w:eastAsia="黑体" w:cs="黑体"/>
          <w:szCs w:val="21"/>
          <w:highlight w:val="none"/>
        </w:rPr>
        <w:t>为一批，不足10000</w:t>
      </w:r>
      <w:r>
        <w:rPr>
          <w:rFonts w:hint="eastAsia" w:ascii="黑体" w:hAnsi="黑体" w:eastAsia="黑体" w:cs="黑体"/>
          <w:szCs w:val="21"/>
          <w:highlight w:val="none"/>
        </w:rPr>
        <w:t xml:space="preserve"> </w:t>
      </w:r>
      <w:r>
        <w:rPr>
          <w:rFonts w:ascii="黑体" w:hAnsi="黑体" w:eastAsia="黑体" w:cs="黑体"/>
          <w:szCs w:val="21"/>
          <w:highlight w:val="none"/>
        </w:rPr>
        <w:t>m</w:t>
      </w:r>
      <w:r>
        <w:rPr>
          <w:rFonts w:ascii="黑体" w:hAnsi="黑体" w:eastAsia="黑体" w:cs="黑体"/>
          <w:szCs w:val="21"/>
          <w:highlight w:val="none"/>
          <w:vertAlign w:val="superscript"/>
        </w:rPr>
        <w:t>2</w:t>
      </w:r>
      <w:r>
        <w:rPr>
          <w:rFonts w:ascii="黑体" w:hAnsi="黑体" w:eastAsia="黑体" w:cs="黑体"/>
          <w:szCs w:val="21"/>
          <w:highlight w:val="none"/>
        </w:rPr>
        <w:t>按一批计。在每批产品中随机抽取3卷进行尺寸偏差和外观检查</w:t>
      </w:r>
      <w:r>
        <w:rPr>
          <w:rFonts w:hint="eastAsia" w:ascii="黑体" w:hAnsi="黑体" w:eastAsia="黑体" w:cs="黑体"/>
          <w:szCs w:val="21"/>
          <w:highlight w:val="none"/>
        </w:rPr>
        <w:t>；</w:t>
      </w:r>
      <w:r>
        <w:rPr>
          <w:rFonts w:ascii="黑体" w:hAnsi="黑体" w:eastAsia="黑体" w:cs="黑体"/>
          <w:szCs w:val="21"/>
          <w:highlight w:val="none"/>
        </w:rPr>
        <w:t>膜的外观应符合本标准第</w:t>
      </w:r>
      <w:r>
        <w:rPr>
          <w:rFonts w:hint="eastAsia" w:ascii="黑体" w:hAnsi="黑体" w:eastAsia="黑体" w:cs="黑体"/>
          <w:szCs w:val="21"/>
          <w:highlight w:val="none"/>
        </w:rPr>
        <w:t>5.3.5</w:t>
      </w:r>
      <w:r>
        <w:rPr>
          <w:rFonts w:ascii="黑体" w:hAnsi="黑体" w:eastAsia="黑体" w:cs="黑体"/>
          <w:szCs w:val="21"/>
          <w:highlight w:val="none"/>
        </w:rPr>
        <w:t>条的规定。土工膜的检测频率宜保证每一批次聚乙烯土工膜</w:t>
      </w:r>
      <w:r>
        <w:rPr>
          <w:rFonts w:hint="eastAsia" w:ascii="黑体" w:hAnsi="黑体" w:eastAsia="黑体" w:cs="黑体"/>
          <w:szCs w:val="21"/>
          <w:highlight w:val="none"/>
        </w:rPr>
        <w:t>至少</w:t>
      </w:r>
      <w:r>
        <w:rPr>
          <w:rFonts w:ascii="黑体" w:hAnsi="黑体" w:eastAsia="黑体" w:cs="黑体"/>
          <w:szCs w:val="21"/>
          <w:highlight w:val="none"/>
        </w:rPr>
        <w:t>取一个样</w:t>
      </w:r>
      <w:r>
        <w:rPr>
          <w:rFonts w:hint="eastAsia" w:ascii="黑体" w:hAnsi="黑体" w:eastAsia="黑体" w:cs="黑体"/>
          <w:szCs w:val="21"/>
          <w:highlight w:val="none"/>
        </w:rPr>
        <w:t>，</w:t>
      </w:r>
      <w:r>
        <w:rPr>
          <w:rFonts w:ascii="黑体" w:hAnsi="黑体" w:eastAsia="黑体" w:cs="黑体"/>
          <w:szCs w:val="21"/>
          <w:highlight w:val="none"/>
        </w:rPr>
        <w:t>同一批次土工膜宜按每50000</w:t>
      </w:r>
      <w:r>
        <w:rPr>
          <w:rFonts w:hint="eastAsia" w:ascii="黑体" w:hAnsi="黑体" w:eastAsia="黑体" w:cs="黑体"/>
          <w:szCs w:val="21"/>
          <w:highlight w:val="none"/>
        </w:rPr>
        <w:t xml:space="preserve"> </w:t>
      </w:r>
      <w:r>
        <w:rPr>
          <w:rFonts w:ascii="黑体" w:hAnsi="黑体" w:eastAsia="黑体" w:cs="黑体"/>
          <w:szCs w:val="21"/>
          <w:highlight w:val="none"/>
        </w:rPr>
        <w:t>m</w:t>
      </w:r>
      <w:r>
        <w:rPr>
          <w:rFonts w:ascii="黑体" w:hAnsi="黑体" w:eastAsia="黑体" w:cs="黑体"/>
          <w:szCs w:val="21"/>
          <w:highlight w:val="none"/>
          <w:vertAlign w:val="superscript"/>
        </w:rPr>
        <w:t>2</w:t>
      </w:r>
      <w:r>
        <w:rPr>
          <w:rFonts w:ascii="黑体" w:hAnsi="黑体" w:eastAsia="黑体" w:cs="黑体"/>
          <w:szCs w:val="21"/>
          <w:highlight w:val="none"/>
        </w:rPr>
        <w:t>增加一个取样</w:t>
      </w:r>
      <w:r>
        <w:rPr>
          <w:rFonts w:hint="eastAsia" w:ascii="黑体" w:hAnsi="黑体" w:eastAsia="黑体" w:cs="黑体"/>
          <w:szCs w:val="21"/>
          <w:highlight w:val="none"/>
        </w:rPr>
        <w:t>。</w:t>
      </w:r>
    </w:p>
    <w:p w14:paraId="123C5E43">
      <w:pPr>
        <w:snapToGrid w:val="0"/>
        <w:spacing w:line="360" w:lineRule="auto"/>
        <w:ind w:firstLine="420" w:firstLineChars="200"/>
        <w:rPr>
          <w:rFonts w:ascii="黑体" w:hAnsi="黑体" w:eastAsia="黑体" w:cs="黑体"/>
          <w:szCs w:val="21"/>
          <w:highlight w:val="none"/>
        </w:rPr>
      </w:pPr>
      <w:r>
        <w:rPr>
          <w:rFonts w:ascii="黑体" w:hAnsi="黑体" w:eastAsia="黑体" w:cs="黑体"/>
          <w:szCs w:val="21"/>
          <w:highlight w:val="none"/>
        </w:rPr>
        <w:t>2</w:t>
      </w:r>
      <w:r>
        <w:rPr>
          <w:rFonts w:hint="eastAsia" w:ascii="黑体" w:hAnsi="黑体" w:eastAsia="黑体" w:cs="黑体"/>
          <w:szCs w:val="21"/>
          <w:highlight w:val="none"/>
        </w:rPr>
        <w:t xml:space="preserve">  </w:t>
      </w:r>
      <w:r>
        <w:rPr>
          <w:rFonts w:ascii="黑体" w:hAnsi="黑体" w:eastAsia="黑体" w:cs="黑体"/>
          <w:szCs w:val="21"/>
          <w:highlight w:val="none"/>
        </w:rPr>
        <w:t>主要物理性能指标检验应在尺寸偏差和外观检查合格的样品中任取一卷，在距外层端部500</w:t>
      </w:r>
      <w:r>
        <w:rPr>
          <w:rFonts w:hint="eastAsia" w:ascii="黑体" w:hAnsi="黑体" w:eastAsia="黑体" w:cs="黑体"/>
          <w:szCs w:val="21"/>
          <w:highlight w:val="none"/>
        </w:rPr>
        <w:t xml:space="preserve"> </w:t>
      </w:r>
      <w:r>
        <w:rPr>
          <w:rFonts w:ascii="黑体" w:hAnsi="黑体" w:eastAsia="黑体" w:cs="黑体"/>
          <w:szCs w:val="21"/>
          <w:highlight w:val="none"/>
        </w:rPr>
        <w:t>mm处裁取5</w:t>
      </w:r>
      <w:r>
        <w:rPr>
          <w:rFonts w:hint="eastAsia" w:ascii="黑体" w:hAnsi="黑体" w:eastAsia="黑体" w:cs="黑体"/>
          <w:szCs w:val="21"/>
          <w:highlight w:val="none"/>
        </w:rPr>
        <w:t xml:space="preserve"> </w:t>
      </w:r>
      <w:r>
        <w:rPr>
          <w:rFonts w:ascii="黑体" w:hAnsi="黑体" w:eastAsia="黑体" w:cs="黑体"/>
          <w:szCs w:val="21"/>
          <w:highlight w:val="none"/>
        </w:rPr>
        <w:t>m</w:t>
      </w:r>
      <w:r>
        <w:rPr>
          <w:rFonts w:ascii="黑体" w:hAnsi="黑体" w:eastAsia="黑体" w:cs="黑体"/>
          <w:szCs w:val="21"/>
          <w:highlight w:val="none"/>
          <w:vertAlign w:val="superscript"/>
        </w:rPr>
        <w:t>2</w:t>
      </w:r>
      <w:r>
        <w:rPr>
          <w:rFonts w:ascii="黑体" w:hAnsi="黑体" w:eastAsia="黑体" w:cs="黑体"/>
          <w:szCs w:val="21"/>
          <w:highlight w:val="none"/>
        </w:rPr>
        <w:t>进行主要</w:t>
      </w:r>
      <w:r>
        <w:rPr>
          <w:rFonts w:hint="eastAsia" w:ascii="黑体" w:hAnsi="黑体" w:eastAsia="黑体" w:cs="黑体"/>
          <w:szCs w:val="21"/>
          <w:highlight w:val="none"/>
        </w:rPr>
        <w:t>物理性能指标检验。当有一项指标不符合要求，应加倍取样检测，仍有一项指标不合格，应认定整批材料不合格。</w:t>
      </w:r>
    </w:p>
    <w:p w14:paraId="28B64B5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6.4.7  土工膜焊接、检测和修补记录标识应明显、清楚，焊缝表面应整齐、美观，不得有裂纹、气孔、漏焊和虛焊现象。土工膜焊接质量检测应符合下列规定：</w:t>
      </w:r>
    </w:p>
    <w:p w14:paraId="1B2C1EE1">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对热熔焊接每条焊缝应进行气压检测，合格率应为100%；</w:t>
      </w:r>
    </w:p>
    <w:p w14:paraId="2705414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对挤压焊接每条焊缝应进行真空检测，合格率应为100%；</w:t>
      </w:r>
    </w:p>
    <w:p w14:paraId="42AB71F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焊缝破坏性检测，按每1000 m 焊缝取一个1000 mm×350 mm样品做强度测试，合格率应为100%；</w:t>
      </w:r>
    </w:p>
    <w:p w14:paraId="1F45605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气压、真空和破坏性检测及电火花测试方法应符合国家标准</w:t>
      </w:r>
      <w:bookmarkStart w:id="77" w:name="_Hlk172031512"/>
      <w:r>
        <w:rPr>
          <w:rFonts w:hint="eastAsia" w:ascii="黑体" w:hAnsi="黑体" w:eastAsia="黑体" w:cs="黑体"/>
          <w:szCs w:val="21"/>
          <w:highlight w:val="none"/>
        </w:rPr>
        <w:t>《生活垃圾卫生填埋场防渗系统工程技术标准》GB/T 51403</w:t>
      </w:r>
      <w:bookmarkEnd w:id="77"/>
      <w:r>
        <w:rPr>
          <w:rFonts w:hint="eastAsia" w:ascii="黑体" w:hAnsi="黑体" w:eastAsia="黑体" w:cs="黑体"/>
          <w:szCs w:val="21"/>
          <w:highlight w:val="none"/>
        </w:rPr>
        <w:t>的相关规定。</w:t>
      </w:r>
    </w:p>
    <w:p w14:paraId="110C6FC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6.4.8</w:t>
      </w:r>
      <w:r>
        <w:rPr>
          <w:rFonts w:ascii="黑体" w:hAnsi="黑体" w:eastAsia="黑体" w:cs="黑体"/>
          <w:szCs w:val="21"/>
          <w:highlight w:val="none"/>
        </w:rPr>
        <w:t xml:space="preserve">  </w:t>
      </w:r>
      <w:r>
        <w:rPr>
          <w:rFonts w:hint="eastAsia" w:ascii="黑体" w:hAnsi="黑体" w:eastAsia="黑体" w:cs="黑体"/>
          <w:szCs w:val="21"/>
          <w:highlight w:val="none"/>
        </w:rPr>
        <w:t>土工布每200</w:t>
      </w:r>
      <w:r>
        <w:rPr>
          <w:rFonts w:ascii="黑体" w:hAnsi="黑体" w:eastAsia="黑体" w:cs="黑体"/>
          <w:szCs w:val="21"/>
          <w:highlight w:val="none"/>
        </w:rPr>
        <w:t xml:space="preserve"> </w:t>
      </w:r>
      <w:r>
        <w:rPr>
          <w:rFonts w:hint="eastAsia" w:ascii="黑体" w:hAnsi="黑体" w:eastAsia="黑体" w:cs="黑体"/>
          <w:szCs w:val="21"/>
          <w:highlight w:val="none"/>
        </w:rPr>
        <w:t>m接缝取一个样检测搭接效果，合格率应为95%。</w:t>
      </w:r>
    </w:p>
    <w:p w14:paraId="2DE2553A">
      <w:pPr>
        <w:snapToGrid w:val="0"/>
        <w:spacing w:line="360" w:lineRule="auto"/>
        <w:ind w:firstLine="480" w:firstLineChars="200"/>
        <w:jc w:val="left"/>
        <w:rPr>
          <w:rFonts w:ascii="黑体" w:hAnsi="黑体" w:eastAsia="黑体" w:cs="黑体"/>
          <w:sz w:val="24"/>
          <w:szCs w:val="24"/>
          <w:highlight w:val="none"/>
        </w:rPr>
      </w:pPr>
    </w:p>
    <w:p w14:paraId="54426CBD">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538CB0A8">
      <w:pPr>
        <w:snapToGrid w:val="0"/>
        <w:spacing w:line="360" w:lineRule="auto"/>
        <w:jc w:val="center"/>
        <w:outlineLvl w:val="0"/>
        <w:rPr>
          <w:rFonts w:hint="eastAsia" w:ascii="黑体" w:hAnsi="黑体" w:eastAsia="黑体" w:cs="黑体"/>
          <w:sz w:val="28"/>
          <w:szCs w:val="28"/>
          <w:highlight w:val="none"/>
        </w:rPr>
      </w:pPr>
      <w:bookmarkStart w:id="78" w:name="_Toc605"/>
      <w:r>
        <w:rPr>
          <w:rFonts w:hint="eastAsia" w:ascii="黑体" w:hAnsi="黑体" w:eastAsia="黑体" w:cs="黑体"/>
          <w:sz w:val="28"/>
          <w:szCs w:val="28"/>
          <w:highlight w:val="none"/>
        </w:rPr>
        <w:t>7  工程效果评估及工后监测</w:t>
      </w:r>
      <w:bookmarkEnd w:id="78"/>
    </w:p>
    <w:p w14:paraId="4605A6FC">
      <w:pPr>
        <w:jc w:val="left"/>
        <w:rPr>
          <w:rFonts w:hint="eastAsia" w:ascii="黑体" w:hAnsi="黑体" w:eastAsia="黑体" w:cs="黑体"/>
          <w:highlight w:val="none"/>
          <w:lang w:val="en-US" w:eastAsia="zh-CN"/>
        </w:rPr>
      </w:pPr>
    </w:p>
    <w:p w14:paraId="06B23FFC">
      <w:pPr>
        <w:snapToGrid w:val="0"/>
        <w:spacing w:before="156" w:beforeLines="50" w:after="156" w:afterLines="50" w:line="360" w:lineRule="auto"/>
        <w:jc w:val="center"/>
        <w:outlineLvl w:val="1"/>
        <w:rPr>
          <w:rFonts w:ascii="黑体" w:hAnsi="黑体" w:eastAsia="黑体" w:cs="黑体"/>
          <w:szCs w:val="21"/>
          <w:highlight w:val="none"/>
        </w:rPr>
      </w:pPr>
      <w:bookmarkStart w:id="79" w:name="_Toc11610"/>
      <w:r>
        <w:rPr>
          <w:rFonts w:hint="eastAsia" w:ascii="黑体" w:hAnsi="黑体" w:eastAsia="黑体" w:cs="黑体"/>
          <w:szCs w:val="21"/>
          <w:highlight w:val="none"/>
        </w:rPr>
        <w:t>7.1  一 般 规 定</w:t>
      </w:r>
      <w:bookmarkEnd w:id="79"/>
    </w:p>
    <w:p w14:paraId="5EEDCCC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7.1.1  工程效果评估应包括工程效果评估标准、工程全流程资料、施工质量评估、工程性能指标抽检评估、土壤气体质量</w:t>
      </w:r>
      <w:r>
        <w:rPr>
          <w:rFonts w:hint="eastAsia" w:ascii="黑体" w:hAnsi="黑体" w:eastAsia="黑体" w:cs="黑体"/>
          <w:szCs w:val="21"/>
          <w:highlight w:val="none"/>
          <w:lang w:val="en-US" w:eastAsia="zh-CN"/>
        </w:rPr>
        <w:t>和</w:t>
      </w:r>
      <w:r>
        <w:rPr>
          <w:rFonts w:hint="eastAsia" w:ascii="黑体" w:hAnsi="黑体" w:eastAsia="黑体" w:cs="黑体"/>
          <w:szCs w:val="21"/>
          <w:highlight w:val="none"/>
        </w:rPr>
        <w:t>土壤气体</w:t>
      </w:r>
      <w:r>
        <w:rPr>
          <w:rFonts w:hint="eastAsia" w:ascii="黑体" w:hAnsi="黑体" w:eastAsia="黑体" w:cs="黑体"/>
          <w:szCs w:val="21"/>
          <w:highlight w:val="none"/>
          <w:lang w:val="en-US" w:eastAsia="zh-CN"/>
        </w:rPr>
        <w:t>通量</w:t>
      </w:r>
      <w:r>
        <w:rPr>
          <w:rFonts w:hint="eastAsia" w:ascii="黑体" w:hAnsi="黑体" w:eastAsia="黑体" w:cs="黑体"/>
          <w:szCs w:val="21"/>
          <w:highlight w:val="none"/>
        </w:rPr>
        <w:t>抽检。工程效果评估工作记录宜按本规范附录C执行。工程效果评估报告的内容宜按本规范附录D执行。</w:t>
      </w:r>
    </w:p>
    <w:p w14:paraId="4120833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7.1.2  开展工程效果评估的时间应符合现行行业标准《污染地块风险管控与土壤修复效果评估技术导则》HJ 25.5的相关规定，可在覆盖阻隔工程施工完成1年内开展。</w:t>
      </w:r>
    </w:p>
    <w:p w14:paraId="75BA305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7.1.3  工程效果评估应在施工单位自行检验评定合格的基础上进行。</w:t>
      </w:r>
    </w:p>
    <w:p w14:paraId="1D6E18A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7.1.4  覆盖阻隔工程的工后监测应根据工程效果评估结论及建议进行，应包括反映工程效果的环境监测与工程监测，并可根据监测结果、场地用途开展制度控制、工程管理。</w:t>
      </w:r>
    </w:p>
    <w:p w14:paraId="4624567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7.1.5  工程效果评估及工后监测完成后应立即对工作点位采取保护和复原措施，并应进行标记。钻孔的封控应符合本规范7.2.10的规定。开挖的覆盖阻隔工程应进行复原。</w:t>
      </w:r>
    </w:p>
    <w:p w14:paraId="765C82F2">
      <w:pPr>
        <w:snapToGrid w:val="0"/>
        <w:spacing w:before="156" w:beforeLines="50" w:after="156" w:afterLines="50" w:line="360" w:lineRule="auto"/>
        <w:jc w:val="center"/>
        <w:outlineLvl w:val="1"/>
        <w:rPr>
          <w:rFonts w:ascii="黑体" w:hAnsi="黑体" w:eastAsia="黑体" w:cs="黑体"/>
          <w:szCs w:val="21"/>
          <w:highlight w:val="none"/>
        </w:rPr>
      </w:pPr>
      <w:bookmarkStart w:id="80" w:name="_Toc16665"/>
      <w:r>
        <w:rPr>
          <w:rFonts w:hint="eastAsia" w:ascii="黑体" w:hAnsi="黑体" w:eastAsia="黑体" w:cs="黑体"/>
          <w:szCs w:val="21"/>
          <w:highlight w:val="none"/>
        </w:rPr>
        <w:t>7.2  工程效果评估</w:t>
      </w:r>
      <w:bookmarkEnd w:id="80"/>
    </w:p>
    <w:p w14:paraId="0D6F5932">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7.2.1  工程效果评估标准应符合下列规定：</w:t>
      </w:r>
    </w:p>
    <w:p w14:paraId="4CD6EB1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工程全流程资料完整、记录准确；</w:t>
      </w:r>
    </w:p>
    <w:p w14:paraId="2C474FF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施工过程中检测项目达到施工质量控制要求；</w:t>
      </w:r>
    </w:p>
    <w:p w14:paraId="09DAD9D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施工质量评估达到工程施工质量要求；</w:t>
      </w:r>
    </w:p>
    <w:p w14:paraId="6F55066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抽检工程性能指标达到设计要求；</w:t>
      </w:r>
    </w:p>
    <w:p w14:paraId="7DB06A0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抽检土壤气体质量中</w:t>
      </w:r>
      <w:bookmarkStart w:id="81" w:name="OLE_LINK54"/>
      <w:r>
        <w:rPr>
          <w:rFonts w:hint="eastAsia" w:ascii="黑体" w:hAnsi="黑体" w:eastAsia="黑体" w:cs="黑体"/>
          <w:szCs w:val="21"/>
          <w:highlight w:val="none"/>
        </w:rPr>
        <w:t>目标污染物</w:t>
      </w:r>
      <w:bookmarkEnd w:id="81"/>
      <w:r>
        <w:rPr>
          <w:rFonts w:hint="eastAsia" w:ascii="黑体" w:hAnsi="黑体" w:eastAsia="黑体" w:cs="黑体"/>
          <w:szCs w:val="21"/>
          <w:highlight w:val="none"/>
        </w:rPr>
        <w:t>浓度</w:t>
      </w:r>
      <w:r>
        <w:rPr>
          <w:rFonts w:hint="eastAsia" w:ascii="黑体" w:hAnsi="黑体" w:eastAsia="黑体" w:cs="黑体"/>
          <w:szCs w:val="21"/>
          <w:highlight w:val="none"/>
          <w:lang w:val="en-US" w:eastAsia="zh-CN"/>
        </w:rPr>
        <w:t>和土壤气体通量</w:t>
      </w:r>
      <w:r>
        <w:rPr>
          <w:rFonts w:hint="eastAsia" w:ascii="黑体" w:hAnsi="黑体" w:eastAsia="黑体" w:cs="黑体"/>
          <w:szCs w:val="21"/>
          <w:highlight w:val="none"/>
        </w:rPr>
        <w:t>，确认实现风险管控目标。</w:t>
      </w:r>
    </w:p>
    <w:p w14:paraId="69936A3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7.2.2  工程效果评估的工程全流程资料应包括下列内容：</w:t>
      </w:r>
    </w:p>
    <w:p w14:paraId="67EE713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场地勘察与污染状况调查报告；</w:t>
      </w:r>
    </w:p>
    <w:p w14:paraId="5BC299E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覆盖阻隔工程设计方案；</w:t>
      </w:r>
    </w:p>
    <w:p w14:paraId="3F1642D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施工组织设计资料及工程施工专项方案；</w:t>
      </w:r>
    </w:p>
    <w:p w14:paraId="5F3E1B2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施工原材料的质量检测资料；</w:t>
      </w:r>
    </w:p>
    <w:p w14:paraId="01881E8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施工过程中施工质量控制记录资料；</w:t>
      </w:r>
    </w:p>
    <w:p w14:paraId="03342499">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与设计及施工相关的其他资料。</w:t>
      </w:r>
    </w:p>
    <w:p w14:paraId="45493EA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7.2.3  覆盖阻隔屏障的施工质量评估、工程性能指标抽检评估、土壤气体质量</w:t>
      </w:r>
      <w:r>
        <w:rPr>
          <w:rFonts w:hint="eastAsia" w:ascii="黑体" w:hAnsi="黑体" w:eastAsia="黑体" w:cs="黑体"/>
          <w:szCs w:val="21"/>
          <w:highlight w:val="none"/>
          <w:lang w:val="en-US" w:eastAsia="zh-CN"/>
        </w:rPr>
        <w:t>和</w:t>
      </w:r>
      <w:r>
        <w:rPr>
          <w:rFonts w:hint="eastAsia" w:ascii="黑体" w:hAnsi="黑体" w:eastAsia="黑体" w:cs="黑体"/>
          <w:szCs w:val="21"/>
          <w:highlight w:val="none"/>
        </w:rPr>
        <w:t>土壤气体</w:t>
      </w:r>
      <w:r>
        <w:rPr>
          <w:rFonts w:hint="eastAsia" w:ascii="黑体" w:hAnsi="黑体" w:eastAsia="黑体" w:cs="黑体"/>
          <w:szCs w:val="21"/>
          <w:highlight w:val="none"/>
          <w:lang w:val="en-US" w:eastAsia="zh-CN"/>
        </w:rPr>
        <w:t>通量</w:t>
      </w:r>
      <w:r>
        <w:rPr>
          <w:rFonts w:hint="eastAsia" w:ascii="黑体" w:hAnsi="黑体" w:eastAsia="黑体" w:cs="黑体"/>
          <w:szCs w:val="21"/>
          <w:highlight w:val="none"/>
        </w:rPr>
        <w:t>抽检应综合原位测</w:t>
      </w:r>
      <w:bookmarkStart w:id="82" w:name="OLE_LINK9"/>
      <w:r>
        <w:rPr>
          <w:rFonts w:hint="eastAsia" w:ascii="黑体" w:hAnsi="黑体" w:eastAsia="黑体" w:cs="黑体"/>
          <w:szCs w:val="21"/>
          <w:highlight w:val="none"/>
        </w:rPr>
        <w:t>试与取样室内试验进行。</w:t>
      </w:r>
      <w:bookmarkEnd w:id="82"/>
    </w:p>
    <w:p w14:paraId="2FD88F9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7.2.4  覆盖阻隔屏障施工质量评估的点位宜随机分布，评估结果应具有代表性。</w:t>
      </w:r>
    </w:p>
    <w:p w14:paraId="1B51C1C7">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7.2.5  覆盖阻隔屏障施工质量评估的时间应符合下列规定：</w:t>
      </w:r>
    </w:p>
    <w:p w14:paraId="325C68F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 xml:space="preserve">1  </w:t>
      </w:r>
      <w:bookmarkStart w:id="83" w:name="OLE_LINK14"/>
      <w:r>
        <w:rPr>
          <w:rFonts w:hint="eastAsia" w:ascii="黑体" w:hAnsi="黑体" w:eastAsia="黑体" w:cs="黑体"/>
          <w:szCs w:val="21"/>
          <w:highlight w:val="none"/>
        </w:rPr>
        <w:t>开挖验证屏障厚</w:t>
      </w:r>
      <w:bookmarkEnd w:id="83"/>
      <w:r>
        <w:rPr>
          <w:rFonts w:hint="eastAsia" w:ascii="黑体" w:hAnsi="黑体" w:eastAsia="黑体" w:cs="黑体"/>
          <w:szCs w:val="21"/>
          <w:highlight w:val="none"/>
        </w:rPr>
        <w:t>度的施工质量评估工作可在</w:t>
      </w:r>
      <w:bookmarkStart w:id="84" w:name="OLE_LINK16"/>
      <w:bookmarkStart w:id="85" w:name="OLE_LINK15"/>
      <w:r>
        <w:rPr>
          <w:rFonts w:hint="eastAsia" w:ascii="黑体" w:hAnsi="黑体" w:eastAsia="黑体" w:cs="黑体"/>
          <w:szCs w:val="21"/>
          <w:highlight w:val="none"/>
        </w:rPr>
        <w:t>各分项工作施工结束后1 d内</w:t>
      </w:r>
      <w:bookmarkEnd w:id="84"/>
      <w:r>
        <w:rPr>
          <w:rFonts w:hint="eastAsia" w:ascii="黑体" w:hAnsi="黑体" w:eastAsia="黑体" w:cs="黑体"/>
          <w:szCs w:val="21"/>
          <w:highlight w:val="none"/>
        </w:rPr>
        <w:t>开展</w:t>
      </w:r>
      <w:bookmarkEnd w:id="85"/>
      <w:r>
        <w:rPr>
          <w:rFonts w:hint="eastAsia" w:ascii="黑体" w:hAnsi="黑体" w:eastAsia="黑体" w:cs="黑体"/>
          <w:szCs w:val="21"/>
          <w:highlight w:val="none"/>
        </w:rPr>
        <w:t>；</w:t>
      </w:r>
    </w:p>
    <w:p w14:paraId="4C62A1F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  压实黏土压实度、土工膜及搭接处完整性、膨润土防水毯搭接处完整性宜在各分项工作施工结束后1 d内开展。</w:t>
      </w:r>
    </w:p>
    <w:p w14:paraId="442F085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7.2.6  覆盖阻隔屏障的施工质量评估应符合本规范表7.2.6的规定。</w:t>
      </w:r>
    </w:p>
    <w:p w14:paraId="45098010">
      <w:pPr>
        <w:snapToGrid w:val="0"/>
        <w:spacing w:line="360" w:lineRule="auto"/>
        <w:jc w:val="center"/>
        <w:rPr>
          <w:rFonts w:ascii="黑体" w:hAnsi="黑体" w:eastAsia="黑体" w:cs="黑体"/>
          <w:szCs w:val="21"/>
          <w:highlight w:val="none"/>
        </w:rPr>
      </w:pPr>
      <w:r>
        <w:rPr>
          <w:rFonts w:hint="eastAsia" w:ascii="黑体" w:hAnsi="黑体" w:eastAsia="黑体" w:cs="黑体"/>
          <w:b/>
          <w:bCs/>
          <w:sz w:val="18"/>
          <w:szCs w:val="18"/>
          <w:highlight w:val="none"/>
        </w:rPr>
        <w:t>表7.2.6 施工质量评估项目要求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2790"/>
        <w:gridCol w:w="3495"/>
        <w:gridCol w:w="1572"/>
      </w:tblGrid>
      <w:tr w14:paraId="2066D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5" w:type="dxa"/>
            <w:vAlign w:val="center"/>
          </w:tcPr>
          <w:p w14:paraId="0DFE10B0">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序号</w:t>
            </w:r>
          </w:p>
        </w:tc>
        <w:tc>
          <w:tcPr>
            <w:tcW w:w="2790" w:type="dxa"/>
            <w:vAlign w:val="center"/>
          </w:tcPr>
          <w:p w14:paraId="3ACC3A95">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评估项目</w:t>
            </w:r>
          </w:p>
        </w:tc>
        <w:tc>
          <w:tcPr>
            <w:tcW w:w="3495" w:type="dxa"/>
            <w:vAlign w:val="center"/>
          </w:tcPr>
          <w:p w14:paraId="6A25DC6E">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评估方法</w:t>
            </w:r>
          </w:p>
        </w:tc>
        <w:tc>
          <w:tcPr>
            <w:tcW w:w="1572" w:type="dxa"/>
            <w:vAlign w:val="center"/>
          </w:tcPr>
          <w:p w14:paraId="0333466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允许偏差</w:t>
            </w:r>
          </w:p>
        </w:tc>
      </w:tr>
      <w:tr w14:paraId="47227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67618C6B">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1</w:t>
            </w:r>
          </w:p>
        </w:tc>
        <w:tc>
          <w:tcPr>
            <w:tcW w:w="2790" w:type="dxa"/>
            <w:vAlign w:val="center"/>
          </w:tcPr>
          <w:p w14:paraId="7DB256C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屏障厚度</w:t>
            </w:r>
          </w:p>
        </w:tc>
        <w:tc>
          <w:tcPr>
            <w:tcW w:w="3495" w:type="dxa"/>
            <w:vAlign w:val="center"/>
          </w:tcPr>
          <w:p w14:paraId="1A45C41E">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开挖验证、钢尺测量</w:t>
            </w:r>
          </w:p>
        </w:tc>
        <w:tc>
          <w:tcPr>
            <w:tcW w:w="1572" w:type="dxa"/>
            <w:vAlign w:val="center"/>
          </w:tcPr>
          <w:p w14:paraId="6B94E8E8">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不小于设计值</w:t>
            </w:r>
          </w:p>
        </w:tc>
      </w:tr>
      <w:tr w14:paraId="55E5A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3F837DB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2</w:t>
            </w:r>
          </w:p>
        </w:tc>
        <w:tc>
          <w:tcPr>
            <w:tcW w:w="2790" w:type="dxa"/>
            <w:vAlign w:val="center"/>
          </w:tcPr>
          <w:p w14:paraId="7323EE8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压实黏土压实度</w:t>
            </w:r>
          </w:p>
        </w:tc>
        <w:tc>
          <w:tcPr>
            <w:tcW w:w="3495" w:type="dxa"/>
            <w:vAlign w:val="center"/>
          </w:tcPr>
          <w:p w14:paraId="42DE132A">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环刀法取样评估</w:t>
            </w:r>
          </w:p>
        </w:tc>
        <w:tc>
          <w:tcPr>
            <w:tcW w:w="1572" w:type="dxa"/>
            <w:vAlign w:val="center"/>
          </w:tcPr>
          <w:p w14:paraId="7023E1DC">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不小于设计值</w:t>
            </w:r>
          </w:p>
        </w:tc>
      </w:tr>
      <w:tr w14:paraId="6733D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7117205B">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3</w:t>
            </w:r>
          </w:p>
        </w:tc>
        <w:tc>
          <w:tcPr>
            <w:tcW w:w="2790" w:type="dxa"/>
            <w:vAlign w:val="center"/>
          </w:tcPr>
          <w:p w14:paraId="249A82BB">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压实黏土无侧限抗压强度</w:t>
            </w:r>
          </w:p>
        </w:tc>
        <w:tc>
          <w:tcPr>
            <w:tcW w:w="3495" w:type="dxa"/>
            <w:vAlign w:val="center"/>
          </w:tcPr>
          <w:p w14:paraId="3AE34DB9">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钻孔取样评估</w:t>
            </w:r>
          </w:p>
        </w:tc>
        <w:tc>
          <w:tcPr>
            <w:tcW w:w="1572" w:type="dxa"/>
            <w:vAlign w:val="center"/>
          </w:tcPr>
          <w:p w14:paraId="37003B01">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不小于设计值</w:t>
            </w:r>
          </w:p>
        </w:tc>
      </w:tr>
      <w:tr w14:paraId="673B8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42494C07">
            <w:pPr>
              <w:snapToGrid w:val="0"/>
              <w:jc w:val="center"/>
              <w:rPr>
                <w:rFonts w:ascii="黑体" w:hAnsi="黑体" w:eastAsia="黑体" w:cs="黑体"/>
                <w:sz w:val="18"/>
                <w:szCs w:val="18"/>
                <w:highlight w:val="none"/>
              </w:rPr>
            </w:pPr>
            <w:r>
              <w:rPr>
                <w:rFonts w:ascii="黑体" w:hAnsi="黑体" w:eastAsia="黑体" w:cs="黑体"/>
                <w:sz w:val="18"/>
                <w:szCs w:val="18"/>
                <w:highlight w:val="none"/>
              </w:rPr>
              <w:t>4</w:t>
            </w:r>
          </w:p>
        </w:tc>
        <w:tc>
          <w:tcPr>
            <w:tcW w:w="2790" w:type="dxa"/>
            <w:vAlign w:val="center"/>
          </w:tcPr>
          <w:p w14:paraId="786EF12F">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土工膜及搭接处完整性</w:t>
            </w:r>
          </w:p>
        </w:tc>
        <w:tc>
          <w:tcPr>
            <w:tcW w:w="3495" w:type="dxa"/>
            <w:vAlign w:val="center"/>
          </w:tcPr>
          <w:p w14:paraId="35718EFE">
            <w:pPr>
              <w:snapToGrid w:val="0"/>
              <w:jc w:val="center"/>
              <w:rPr>
                <w:rFonts w:ascii="黑体" w:hAnsi="黑体" w:eastAsia="黑体" w:cs="黑体"/>
                <w:sz w:val="18"/>
                <w:szCs w:val="18"/>
                <w:highlight w:val="none"/>
              </w:rPr>
            </w:pPr>
            <w:r>
              <w:rPr>
                <w:rFonts w:ascii="黑体" w:hAnsi="黑体" w:eastAsia="黑体" w:cs="黑体"/>
                <w:sz w:val="18"/>
                <w:szCs w:val="18"/>
                <w:highlight w:val="none"/>
              </w:rPr>
              <w:t>气压、真空检测及电火花测试方法</w:t>
            </w:r>
          </w:p>
        </w:tc>
        <w:tc>
          <w:tcPr>
            <w:tcW w:w="1572" w:type="dxa"/>
            <w:vAlign w:val="center"/>
          </w:tcPr>
          <w:p w14:paraId="65FA45FA">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不小于设计值</w:t>
            </w:r>
          </w:p>
        </w:tc>
      </w:tr>
      <w:tr w14:paraId="24CC8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14:paraId="4C929D90">
            <w:pPr>
              <w:snapToGrid w:val="0"/>
              <w:jc w:val="center"/>
              <w:rPr>
                <w:rFonts w:ascii="黑体" w:hAnsi="黑体" w:eastAsia="黑体" w:cs="黑体"/>
                <w:sz w:val="18"/>
                <w:szCs w:val="18"/>
                <w:highlight w:val="none"/>
              </w:rPr>
            </w:pPr>
            <w:r>
              <w:rPr>
                <w:rFonts w:ascii="黑体" w:hAnsi="黑体" w:eastAsia="黑体" w:cs="黑体"/>
                <w:sz w:val="18"/>
                <w:szCs w:val="18"/>
                <w:highlight w:val="none"/>
              </w:rPr>
              <w:t>5</w:t>
            </w:r>
          </w:p>
        </w:tc>
        <w:tc>
          <w:tcPr>
            <w:tcW w:w="2790" w:type="dxa"/>
            <w:vAlign w:val="center"/>
          </w:tcPr>
          <w:p w14:paraId="4CA54EBA">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膨润土防水毯搭接处完整性</w:t>
            </w:r>
          </w:p>
        </w:tc>
        <w:tc>
          <w:tcPr>
            <w:tcW w:w="3495" w:type="dxa"/>
            <w:vAlign w:val="center"/>
          </w:tcPr>
          <w:p w14:paraId="01400CC3">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坑探、工程物探方法</w:t>
            </w:r>
          </w:p>
        </w:tc>
        <w:tc>
          <w:tcPr>
            <w:tcW w:w="1572" w:type="dxa"/>
            <w:vAlign w:val="center"/>
          </w:tcPr>
          <w:p w14:paraId="6F6AB654">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w:t>
            </w:r>
          </w:p>
        </w:tc>
      </w:tr>
    </w:tbl>
    <w:p w14:paraId="5931F4B8">
      <w:pPr>
        <w:snapToGrid w:val="0"/>
        <w:spacing w:before="156" w:beforeLines="50" w:line="360" w:lineRule="auto"/>
        <w:rPr>
          <w:rFonts w:ascii="黑体" w:hAnsi="黑体" w:eastAsia="黑体" w:cs="黑体"/>
          <w:szCs w:val="21"/>
          <w:highlight w:val="none"/>
        </w:rPr>
      </w:pPr>
      <w:r>
        <w:rPr>
          <w:rFonts w:hint="eastAsia" w:ascii="黑体" w:hAnsi="黑体" w:eastAsia="黑体" w:cs="黑体"/>
          <w:szCs w:val="21"/>
          <w:highlight w:val="none"/>
        </w:rPr>
        <w:t>7.2.7  满足工程效果评估标准的工程性能指标应符合下列规定：</w:t>
      </w:r>
    </w:p>
    <w:p w14:paraId="2F2A1D5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抽检防渗阻气层的水力渗透系数、气体有效渗透率、气体扩散系数应达到设计要求，单个不超过5倍设计要求；</w:t>
      </w:r>
    </w:p>
    <w:p w14:paraId="11F4BCFC">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抽检压实黏土层的无侧限抗压强度不应小于设计值；</w:t>
      </w:r>
    </w:p>
    <w:p w14:paraId="416B5EE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抽检的错判概率和漏判概率均不应超过5%。</w:t>
      </w:r>
    </w:p>
    <w:p w14:paraId="34E3B10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7.2.8  工程性能指标抽检点位每500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不宜少于3个~5个样品，抽检结果应具有代表性。</w:t>
      </w:r>
    </w:p>
    <w:p w14:paraId="270D6547">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7.2.9  工程性能指标抽检的取样时间可与完整性评估工作同步进行，各分项工作施工结束后1 d内钻孔取样，进行相关试验。</w:t>
      </w:r>
    </w:p>
    <w:p w14:paraId="5909291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7.2.10  工程效果评估的钻孔取样方法应符合下列规定：</w:t>
      </w:r>
    </w:p>
    <w:p w14:paraId="1B86F35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钻孔宜采用金刚石钻头或硬质合金钻头的回转钻井；取样可采用单动双管、双动三重管取样器，采取率不宜小于80%，保持取样连续完整。</w:t>
      </w:r>
    </w:p>
    <w:p w14:paraId="5993111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单层</w:t>
      </w:r>
      <w:bookmarkStart w:id="86" w:name="OLE_LINK17"/>
      <w:r>
        <w:rPr>
          <w:rFonts w:hint="eastAsia" w:ascii="黑体" w:hAnsi="黑体" w:eastAsia="黑体" w:cs="黑体"/>
          <w:szCs w:val="21"/>
          <w:highlight w:val="none"/>
        </w:rPr>
        <w:t>压实黏土层</w:t>
      </w:r>
      <w:bookmarkEnd w:id="86"/>
      <w:r>
        <w:rPr>
          <w:rFonts w:hint="eastAsia" w:ascii="黑体" w:hAnsi="黑体" w:eastAsia="黑体" w:cs="黑体"/>
          <w:szCs w:val="21"/>
          <w:highlight w:val="none"/>
        </w:rPr>
        <w:t>的钻孔孔位应位于压实黏土层中部。</w:t>
      </w:r>
    </w:p>
    <w:p w14:paraId="70F0D560">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钻孔垂直偏差不应大于1/300。</w:t>
      </w:r>
    </w:p>
    <w:p w14:paraId="30BE694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钻孔宜与双环法试验等原位渗透测试相结合。</w:t>
      </w:r>
    </w:p>
    <w:p w14:paraId="0222ACD8">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钻孔取样后应对试样及时密封保存，并进行取样信息记录。</w:t>
      </w:r>
    </w:p>
    <w:p w14:paraId="415F1FA0">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钻孔取样后应及时封孔，可采用水泥-膨润土浆液、水泥砂浆等止水材料注浆回灌。</w:t>
      </w:r>
    </w:p>
    <w:p w14:paraId="5CA3A4D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7.2.11  抽检防渗阻气层的水力渗透系数、气体有效渗透率、气体扩散系数，可综合钻孔取样室内试验及原位测试，应符合下列规定：</w:t>
      </w:r>
    </w:p>
    <w:p w14:paraId="09E4652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钻孔取样的室内渗透系数测试可按本规范5.4.4和5.4.5的相关规定执行；</w:t>
      </w:r>
    </w:p>
    <w:p w14:paraId="29E5D8C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压实黏土、土工膜、膨润土防水毯的气体有效渗透率测试和气体扩散系数测试可按本规范附录B执行。</w:t>
      </w:r>
    </w:p>
    <w:p w14:paraId="58ECC7E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7.2.12  满足工程效果评估标准的风险管控目标时，</w:t>
      </w:r>
      <w:bookmarkStart w:id="87" w:name="OLE_LINK53"/>
      <w:r>
        <w:rPr>
          <w:rFonts w:hint="eastAsia" w:ascii="黑体" w:hAnsi="黑体" w:eastAsia="黑体" w:cs="黑体"/>
          <w:szCs w:val="21"/>
          <w:highlight w:val="none"/>
          <w:lang w:val="en-US" w:eastAsia="zh-CN"/>
        </w:rPr>
        <w:t>可基于土壤气体监测井，</w:t>
      </w:r>
      <w:bookmarkEnd w:id="87"/>
      <w:r>
        <w:rPr>
          <w:rFonts w:hint="eastAsia" w:ascii="黑体" w:hAnsi="黑体" w:eastAsia="黑体" w:cs="黑体"/>
          <w:szCs w:val="21"/>
          <w:highlight w:val="none"/>
        </w:rPr>
        <w:t>抽检防渗阻气层上方土壤气体的目标污染物浓度</w:t>
      </w:r>
      <w:bookmarkStart w:id="88" w:name="OLE_LINK18"/>
      <w:r>
        <w:rPr>
          <w:rFonts w:hint="eastAsia" w:ascii="黑体" w:hAnsi="黑体" w:eastAsia="黑体" w:cs="黑体"/>
          <w:szCs w:val="21"/>
          <w:highlight w:val="none"/>
        </w:rPr>
        <w:t>，防渗阻气层上方</w:t>
      </w:r>
      <w:bookmarkEnd w:id="88"/>
      <w:r>
        <w:rPr>
          <w:rFonts w:hint="eastAsia" w:ascii="黑体" w:hAnsi="黑体" w:eastAsia="黑体" w:cs="黑体"/>
          <w:szCs w:val="21"/>
          <w:highlight w:val="none"/>
        </w:rPr>
        <w:t>各批次目标污染物浓度均值的95%置信上限不应大于风险控制值，目标污染物的最大值不应超过风险控制值的2倍。</w:t>
      </w:r>
    </w:p>
    <w:p w14:paraId="4C19DF3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7.2.13  工程效果评估的</w:t>
      </w:r>
      <w:bookmarkStart w:id="89" w:name="OLE_LINK19"/>
      <w:r>
        <w:rPr>
          <w:rFonts w:hint="eastAsia" w:ascii="黑体" w:hAnsi="黑体" w:eastAsia="黑体" w:cs="黑体"/>
          <w:szCs w:val="21"/>
          <w:highlight w:val="none"/>
        </w:rPr>
        <w:t>防渗阻气层</w:t>
      </w:r>
      <w:bookmarkEnd w:id="89"/>
      <w:r>
        <w:rPr>
          <w:rFonts w:hint="eastAsia" w:ascii="黑体" w:hAnsi="黑体" w:eastAsia="黑体" w:cs="黑体"/>
          <w:szCs w:val="21"/>
          <w:highlight w:val="none"/>
        </w:rPr>
        <w:t>上方土壤气体质量抽检时,目标污染物应获取不少于4个批次的数据，宜每个季度取样1次，2个批次之间间隔不得少于1个月。</w:t>
      </w:r>
    </w:p>
    <w:p w14:paraId="6D89D3F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7.2.14  工程效果评估的防渗阻气层上方土壤气体质量抽检点位布置和数量应符合下列规定：</w:t>
      </w:r>
    </w:p>
    <w:p w14:paraId="02AB983D">
      <w:pPr>
        <w:snapToGrid w:val="0"/>
        <w:spacing w:line="360" w:lineRule="auto"/>
        <w:ind w:firstLine="420" w:firstLineChars="200"/>
        <w:rPr>
          <w:rFonts w:ascii="黑体" w:hAnsi="黑体" w:eastAsia="黑体" w:cs="黑体"/>
          <w:szCs w:val="21"/>
          <w:highlight w:val="none"/>
        </w:rPr>
      </w:pPr>
      <w:bookmarkStart w:id="90" w:name="_Toc30643"/>
      <w:r>
        <w:rPr>
          <w:rFonts w:hint="eastAsia" w:ascii="黑体" w:hAnsi="黑体" w:eastAsia="黑体" w:cs="黑体"/>
          <w:szCs w:val="21"/>
          <w:highlight w:val="none"/>
        </w:rPr>
        <w:t>1  应在尽可能靠近防渗阻气层的上方、下方处布置，并应充分考虑防渗阻气层引起的土壤气体流向改变；</w:t>
      </w:r>
    </w:p>
    <w:p w14:paraId="2CA87919">
      <w:pPr>
        <w:snapToGrid w:val="0"/>
        <w:spacing w:line="360" w:lineRule="auto"/>
        <w:ind w:firstLine="420" w:firstLineChars="200"/>
        <w:rPr>
          <w:rFonts w:hint="eastAsia" w:ascii="黑体" w:hAnsi="黑体" w:eastAsia="黑体" w:cs="黑体"/>
          <w:szCs w:val="21"/>
          <w:highlight w:val="none"/>
        </w:rPr>
      </w:pPr>
      <w:r>
        <w:rPr>
          <w:rFonts w:hint="eastAsia" w:ascii="黑体" w:hAnsi="黑体" w:eastAsia="黑体" w:cs="黑体"/>
          <w:szCs w:val="21"/>
          <w:highlight w:val="none"/>
        </w:rPr>
        <w:t>2  宜充分利用场地勘察与污染状况调查阶段的地下水监测井</w:t>
      </w:r>
      <w:bookmarkEnd w:id="90"/>
      <w:r>
        <w:rPr>
          <w:rFonts w:hint="eastAsia" w:ascii="黑体" w:hAnsi="黑体" w:eastAsia="黑体" w:cs="黑体"/>
          <w:szCs w:val="21"/>
          <w:highlight w:val="none"/>
        </w:rPr>
        <w:t>进行周期性采样和检测，也可设置土壤气体监测井进行土壤气体样品采集和检测，监测井位置应优先考虑污染物浓度高的区域、敏感点所处位置等。</w:t>
      </w:r>
    </w:p>
    <w:p w14:paraId="17650B1F">
      <w:pPr>
        <w:snapToGrid w:val="0"/>
        <w:spacing w:line="360" w:lineRule="auto"/>
        <w:ind w:firstLine="0" w:firstLineChars="0"/>
        <w:rPr>
          <w:rFonts w:hint="eastAsia" w:ascii="黑体" w:hAnsi="黑体" w:eastAsia="黑体" w:cs="黑体"/>
          <w:szCs w:val="21"/>
          <w:highlight w:val="none"/>
          <w:lang w:val="en-US" w:eastAsia="zh-CN"/>
        </w:rPr>
      </w:pPr>
      <w:r>
        <w:rPr>
          <w:rFonts w:hint="eastAsia" w:ascii="黑体" w:hAnsi="黑体" w:eastAsia="黑体" w:cs="黑体"/>
          <w:szCs w:val="21"/>
          <w:highlight w:val="none"/>
        </w:rPr>
        <w:t>7.2.1</w:t>
      </w:r>
      <w:r>
        <w:rPr>
          <w:rFonts w:hint="eastAsia" w:ascii="黑体" w:hAnsi="黑体" w:eastAsia="黑体" w:cs="黑体"/>
          <w:szCs w:val="21"/>
          <w:highlight w:val="none"/>
          <w:lang w:val="en-US" w:eastAsia="zh-CN"/>
        </w:rPr>
        <w:t>5</w:t>
      </w:r>
      <w:r>
        <w:rPr>
          <w:rFonts w:hint="eastAsia" w:ascii="黑体" w:hAnsi="黑体" w:eastAsia="黑体" w:cs="黑体"/>
          <w:szCs w:val="21"/>
          <w:highlight w:val="none"/>
        </w:rPr>
        <w:t xml:space="preserve">  通过在覆盖阻隔</w:t>
      </w:r>
      <w:r>
        <w:rPr>
          <w:rFonts w:hint="eastAsia" w:ascii="黑体" w:hAnsi="黑体" w:eastAsia="黑体" w:cs="黑体"/>
          <w:szCs w:val="21"/>
          <w:highlight w:val="none"/>
          <w:lang w:val="en-US" w:eastAsia="zh-CN"/>
        </w:rPr>
        <w:t>屏障</w:t>
      </w:r>
      <w:r>
        <w:rPr>
          <w:rFonts w:hint="eastAsia" w:ascii="黑体" w:hAnsi="黑体" w:eastAsia="黑体" w:cs="黑体"/>
          <w:szCs w:val="21"/>
          <w:highlight w:val="none"/>
        </w:rPr>
        <w:t>表面</w:t>
      </w:r>
      <w:r>
        <w:rPr>
          <w:rFonts w:hint="eastAsia" w:ascii="黑体" w:hAnsi="黑体" w:eastAsia="黑体" w:cs="黑体"/>
          <w:szCs w:val="21"/>
          <w:highlight w:val="none"/>
          <w:lang w:val="en-US" w:eastAsia="zh-CN"/>
        </w:rPr>
        <w:t>监测点</w:t>
      </w:r>
      <w:r>
        <w:rPr>
          <w:rFonts w:hint="eastAsia" w:ascii="黑体" w:hAnsi="黑体" w:eastAsia="黑体" w:cs="黑体"/>
          <w:szCs w:val="21"/>
          <w:highlight w:val="none"/>
        </w:rPr>
        <w:t>布置静态箱</w:t>
      </w:r>
      <w:r>
        <w:rPr>
          <w:rFonts w:hint="eastAsia" w:ascii="黑体" w:hAnsi="黑体" w:eastAsia="黑体" w:cs="黑体"/>
          <w:szCs w:val="21"/>
          <w:highlight w:val="none"/>
          <w:lang w:eastAsia="zh-CN"/>
        </w:rPr>
        <w:t>，</w:t>
      </w:r>
      <w:r>
        <w:rPr>
          <w:rFonts w:hint="eastAsia" w:ascii="黑体" w:hAnsi="黑体" w:eastAsia="黑体" w:cs="黑体"/>
          <w:szCs w:val="21"/>
          <w:highlight w:val="none"/>
          <w:lang w:val="en-US" w:eastAsia="zh-CN"/>
        </w:rPr>
        <w:t>获取屏障表面</w:t>
      </w:r>
      <w:r>
        <w:rPr>
          <w:rFonts w:hint="eastAsia" w:ascii="黑体" w:hAnsi="黑体" w:eastAsia="黑体" w:cs="黑体"/>
          <w:szCs w:val="21"/>
          <w:highlight w:val="none"/>
        </w:rPr>
        <w:t>目标污染物</w:t>
      </w:r>
      <w:r>
        <w:rPr>
          <w:rFonts w:hint="eastAsia" w:ascii="黑体" w:hAnsi="黑体" w:eastAsia="黑体" w:cs="黑体"/>
          <w:szCs w:val="21"/>
          <w:highlight w:val="none"/>
          <w:lang w:val="en-US" w:eastAsia="zh-CN"/>
        </w:rPr>
        <w:t>的</w:t>
      </w:r>
      <w:r>
        <w:rPr>
          <w:rFonts w:hint="eastAsia" w:ascii="黑体" w:hAnsi="黑体" w:eastAsia="黑体" w:cs="黑体"/>
          <w:szCs w:val="21"/>
          <w:highlight w:val="none"/>
        </w:rPr>
        <w:t>气体通量。</w:t>
      </w:r>
    </w:p>
    <w:p w14:paraId="4329DD8B">
      <w:pPr>
        <w:snapToGrid w:val="0"/>
        <w:spacing w:before="156" w:beforeLines="50" w:after="156" w:afterLines="50" w:line="360" w:lineRule="auto"/>
        <w:jc w:val="center"/>
        <w:outlineLvl w:val="1"/>
        <w:rPr>
          <w:rFonts w:ascii="黑体" w:hAnsi="黑体" w:eastAsia="黑体" w:cs="黑体"/>
          <w:szCs w:val="21"/>
          <w:highlight w:val="none"/>
        </w:rPr>
      </w:pPr>
      <w:bookmarkStart w:id="91" w:name="_Toc21539"/>
      <w:r>
        <w:rPr>
          <w:rFonts w:hint="eastAsia" w:ascii="黑体" w:hAnsi="黑体" w:eastAsia="黑体" w:cs="黑体"/>
          <w:szCs w:val="21"/>
          <w:highlight w:val="none"/>
        </w:rPr>
        <w:t>7.3  工 后 监 测</w:t>
      </w:r>
      <w:bookmarkEnd w:id="91"/>
    </w:p>
    <w:p w14:paraId="026F21C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7.3.1  应综合原位测试、取样分析、物理测量、视觉与嗅觉感官评价等方法开展工后监测，包括以下工作：</w:t>
      </w:r>
    </w:p>
    <w:p w14:paraId="5DB69E8C">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应进行环境监测，包括土壤气体环境质量，监测项目应根据场地污染状况调查、场地修复情况综合确定。</w:t>
      </w:r>
    </w:p>
    <w:p w14:paraId="1A9BC7B6">
      <w:pPr>
        <w:snapToGrid w:val="0"/>
        <w:spacing w:line="360" w:lineRule="auto"/>
        <w:ind w:firstLine="420" w:firstLineChars="200"/>
        <w:rPr>
          <w:rFonts w:ascii="黑体" w:hAnsi="黑体" w:eastAsia="黑体" w:cs="黑体"/>
          <w:szCs w:val="21"/>
          <w:highlight w:val="none"/>
        </w:rPr>
      </w:pPr>
      <w:bookmarkStart w:id="92" w:name="_Toc17635"/>
      <w:r>
        <w:rPr>
          <w:rFonts w:hint="eastAsia" w:ascii="黑体" w:hAnsi="黑体" w:eastAsia="黑体" w:cs="黑体"/>
          <w:szCs w:val="21"/>
          <w:highlight w:val="none"/>
        </w:rPr>
        <w:t>2  宜监测地下水水文情况，可包括地下水位变动情况等；</w:t>
      </w:r>
      <w:bookmarkEnd w:id="92"/>
    </w:p>
    <w:p w14:paraId="3F66819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宜监测覆盖阻隔屏障变形，包括屏障表面沉降量及屏障侧向变形量。</w:t>
      </w:r>
    </w:p>
    <w:p w14:paraId="5ADF860C">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7.3.2  环境与工程监测期限不宜少于2年，并宜与设计使用年限一致。</w:t>
      </w:r>
    </w:p>
    <w:p w14:paraId="5D07E44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7.3.3  环境监测点位布置除应符合现行行业标准</w:t>
      </w:r>
      <w:bookmarkStart w:id="93" w:name="_Hlk172031298"/>
      <w:r>
        <w:rPr>
          <w:rFonts w:hint="eastAsia" w:ascii="黑体" w:hAnsi="黑体" w:eastAsia="黑体" w:cs="黑体"/>
          <w:szCs w:val="21"/>
          <w:highlight w:val="none"/>
        </w:rPr>
        <w:t>《建设用地土壤污染风险管控和修复 监测技术导则》HJ 25.2</w:t>
      </w:r>
      <w:bookmarkEnd w:id="93"/>
      <w:r>
        <w:rPr>
          <w:rFonts w:hint="eastAsia" w:ascii="黑体" w:hAnsi="黑体" w:eastAsia="黑体" w:cs="黑体"/>
          <w:szCs w:val="21"/>
          <w:highlight w:val="none"/>
        </w:rPr>
        <w:t>的相关规定外，尚应符合下列规定：</w:t>
      </w:r>
    </w:p>
    <w:p w14:paraId="37D0FB6B">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用于土壤气体质量监测的土壤气体监测井应结合阻隔范围进行布置，并应充分考虑防渗阻气层引起的土壤气体流向变化情况，防渗阻气层下方应至少设置1个监测点位，防渗阻气层上方应至少设置2个监测点位；</w:t>
      </w:r>
    </w:p>
    <w:p w14:paraId="492478D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用于取样的监测点布设应尽可能靠近防渗阻气层上方，并宜在未污染区域设置对照监测点；</w:t>
      </w:r>
    </w:p>
    <w:p w14:paraId="75DF9CB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挥发性/半挥发性有机污染物浓度高区域宜加密设置监测点；</w:t>
      </w:r>
    </w:p>
    <w:p w14:paraId="4E1E960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监测深度不应小于场地勘察与污染状况调查阶段的工作深度，并应根据污染深度分布、场地地质条件、场地修复情况综合确定。</w:t>
      </w:r>
    </w:p>
    <w:p w14:paraId="181348B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7.3.4</w:t>
      </w:r>
      <w:r>
        <w:rPr>
          <w:rFonts w:ascii="黑体" w:hAnsi="黑体" w:eastAsia="黑体" w:cs="黑体"/>
          <w:szCs w:val="21"/>
          <w:highlight w:val="none"/>
        </w:rPr>
        <w:t xml:space="preserve">  </w:t>
      </w:r>
      <w:r>
        <w:rPr>
          <w:rFonts w:hint="eastAsia" w:ascii="黑体" w:hAnsi="黑体" w:eastAsia="黑体" w:cs="黑体"/>
          <w:szCs w:val="21"/>
          <w:highlight w:val="none"/>
        </w:rPr>
        <w:t>土壤气体监测井如本规范附录E所示。</w:t>
      </w:r>
    </w:p>
    <w:p w14:paraId="5A187DDA">
      <w:pPr>
        <w:snapToGrid w:val="0"/>
        <w:spacing w:line="360" w:lineRule="auto"/>
        <w:rPr>
          <w:rFonts w:hint="eastAsia" w:ascii="黑体" w:hAnsi="黑体" w:eastAsia="黑体" w:cs="黑体"/>
          <w:szCs w:val="21"/>
          <w:highlight w:val="none"/>
        </w:rPr>
      </w:pPr>
      <w:r>
        <w:rPr>
          <w:rFonts w:hint="eastAsia" w:ascii="黑体" w:hAnsi="黑体" w:eastAsia="黑体" w:cs="黑体"/>
          <w:szCs w:val="21"/>
          <w:highlight w:val="none"/>
        </w:rPr>
        <w:t>7.3.</w:t>
      </w:r>
      <w:r>
        <w:rPr>
          <w:rFonts w:ascii="黑体" w:hAnsi="黑体" w:eastAsia="黑体" w:cs="黑体"/>
          <w:szCs w:val="21"/>
          <w:highlight w:val="none"/>
        </w:rPr>
        <w:t>5</w:t>
      </w:r>
      <w:r>
        <w:rPr>
          <w:rFonts w:hint="eastAsia" w:ascii="黑体" w:hAnsi="黑体" w:eastAsia="黑体" w:cs="黑体"/>
          <w:szCs w:val="21"/>
          <w:highlight w:val="none"/>
        </w:rPr>
        <w:t xml:space="preserve">  土壤质量环境的监测点位的平面布置宜采用分区布点法，监测取样的工作量可参考现行行业标准《污染场地岩土工程勘察标准》HG/T 20717的相关规定。</w:t>
      </w:r>
    </w:p>
    <w:p w14:paraId="7347BA7F">
      <w:pPr>
        <w:snapToGrid w:val="0"/>
        <w:spacing w:line="360" w:lineRule="auto"/>
        <w:rPr>
          <w:rFonts w:hint="eastAsia" w:ascii="黑体" w:hAnsi="黑体" w:eastAsia="黑体" w:cs="黑体"/>
          <w:szCs w:val="21"/>
          <w:highlight w:val="none"/>
        </w:rPr>
      </w:pPr>
      <w:r>
        <w:rPr>
          <w:rFonts w:hint="eastAsia" w:ascii="黑体" w:hAnsi="黑体" w:eastAsia="黑体" w:cs="黑体"/>
          <w:szCs w:val="21"/>
          <w:highlight w:val="none"/>
        </w:rPr>
        <w:t>7.3.</w:t>
      </w:r>
      <w:r>
        <w:rPr>
          <w:rFonts w:ascii="黑体" w:hAnsi="黑体" w:eastAsia="黑体" w:cs="黑体"/>
          <w:szCs w:val="21"/>
          <w:highlight w:val="none"/>
        </w:rPr>
        <w:t>6</w:t>
      </w:r>
      <w:r>
        <w:rPr>
          <w:rFonts w:hint="eastAsia" w:ascii="黑体" w:hAnsi="黑体" w:eastAsia="黑体" w:cs="黑体"/>
          <w:szCs w:val="21"/>
          <w:highlight w:val="none"/>
        </w:rPr>
        <w:t xml:space="preserve">  覆盖阻隔</w:t>
      </w:r>
      <w:r>
        <w:rPr>
          <w:rFonts w:hint="eastAsia" w:ascii="黑体" w:hAnsi="黑体" w:eastAsia="黑体" w:cs="黑体"/>
          <w:szCs w:val="21"/>
          <w:highlight w:val="none"/>
          <w:lang w:val="en-US" w:eastAsia="zh-CN"/>
        </w:rPr>
        <w:t>屏障</w:t>
      </w:r>
      <w:r>
        <w:rPr>
          <w:rFonts w:hint="eastAsia" w:ascii="黑体" w:hAnsi="黑体" w:eastAsia="黑体" w:cs="黑体"/>
          <w:szCs w:val="21"/>
          <w:highlight w:val="none"/>
        </w:rPr>
        <w:t>表面</w:t>
      </w:r>
      <w:r>
        <w:rPr>
          <w:rFonts w:hint="eastAsia" w:ascii="黑体" w:hAnsi="黑体" w:eastAsia="黑体" w:cs="黑体"/>
          <w:szCs w:val="21"/>
          <w:highlight w:val="none"/>
          <w:lang w:val="en-US" w:eastAsia="zh-CN"/>
        </w:rPr>
        <w:t>气体通量</w:t>
      </w:r>
      <w:r>
        <w:rPr>
          <w:rFonts w:hint="eastAsia" w:ascii="黑体" w:hAnsi="黑体" w:eastAsia="黑体" w:cs="黑体"/>
          <w:szCs w:val="21"/>
          <w:highlight w:val="none"/>
        </w:rPr>
        <w:t>监测以随机布点方式为主，覆盖阻隔</w:t>
      </w:r>
      <w:r>
        <w:rPr>
          <w:rFonts w:hint="eastAsia" w:ascii="黑体" w:hAnsi="黑体" w:eastAsia="黑体" w:cs="黑体"/>
          <w:szCs w:val="21"/>
          <w:highlight w:val="none"/>
          <w:lang w:val="en-US" w:eastAsia="zh-CN"/>
        </w:rPr>
        <w:t>屏障水平</w:t>
      </w:r>
      <w:r>
        <w:rPr>
          <w:rFonts w:hint="eastAsia" w:ascii="黑体" w:hAnsi="黑体" w:eastAsia="黑体" w:cs="黑体"/>
          <w:szCs w:val="21"/>
          <w:highlight w:val="none"/>
        </w:rPr>
        <w:t>面积小于5000m</w:t>
      </w:r>
      <w:r>
        <w:rPr>
          <w:rFonts w:hint="eastAsia" w:ascii="黑体" w:hAnsi="黑体" w:eastAsia="黑体" w:cs="黑体"/>
          <w:szCs w:val="21"/>
          <w:highlight w:val="none"/>
          <w:vertAlign w:val="superscript"/>
        </w:rPr>
        <w:t>2</w:t>
      </w:r>
      <w:r>
        <w:rPr>
          <w:rFonts w:hint="eastAsia" w:ascii="黑体" w:hAnsi="黑体" w:eastAsia="黑体" w:cs="黑体"/>
          <w:szCs w:val="21"/>
          <w:highlight w:val="none"/>
          <w:lang w:val="en-US" w:eastAsia="zh-CN"/>
        </w:rPr>
        <w:t>时</w:t>
      </w:r>
      <w:r>
        <w:rPr>
          <w:rFonts w:hint="eastAsia" w:ascii="黑体" w:hAnsi="黑体" w:eastAsia="黑体" w:cs="黑体"/>
          <w:szCs w:val="21"/>
          <w:highlight w:val="none"/>
        </w:rPr>
        <w:t>，根据公式</w:t>
      </w:r>
      <w:r>
        <w:rPr>
          <w:rFonts w:hint="eastAsia" w:ascii="黑体" w:hAnsi="黑体" w:eastAsia="黑体" w:cs="黑体"/>
          <w:color w:val="000000"/>
          <w:position w:val="-24"/>
          <w:szCs w:val="21"/>
          <w:highlight w:val="none"/>
        </w:rPr>
        <w:object>
          <v:shape id="_x0000_i1028" o:spt="75" type="#_x0000_t75" style="height:31.05pt;width:46.85pt;" o:ole="t" filled="f" o:preferrelative="t" stroked="f" coordsize="21600,21600">
            <v:path/>
            <v:fill on="f" focussize="0,0"/>
            <v:stroke on="f" joinstyle="miter"/>
            <v:imagedata r:id="rId18" o:title=""/>
            <o:lock v:ext="edit" aspectratio="t"/>
            <w10:wrap type="none"/>
            <w10:anchorlock/>
          </v:shape>
          <o:OLEObject Type="Embed" ProgID="Equation.DSMT4" ShapeID="_x0000_i1028" DrawAspect="Content" ObjectID="_1468075728" r:id="rId17">
            <o:LockedField>false</o:LockedField>
          </o:OLEObject>
        </w:object>
      </w:r>
      <w:r>
        <w:rPr>
          <w:rFonts w:hint="eastAsia" w:ascii="黑体" w:hAnsi="黑体" w:eastAsia="黑体" w:cs="黑体"/>
          <w:szCs w:val="21"/>
          <w:highlight w:val="none"/>
        </w:rPr>
        <w:t>确定</w:t>
      </w:r>
      <w:r>
        <w:rPr>
          <w:rFonts w:hint="eastAsia" w:ascii="黑体" w:hAnsi="黑体" w:eastAsia="黑体" w:cs="黑体"/>
          <w:szCs w:val="21"/>
          <w:highlight w:val="none"/>
          <w:lang w:val="en-US" w:eastAsia="zh-CN"/>
        </w:rPr>
        <w:t>监测</w:t>
      </w:r>
      <w:r>
        <w:rPr>
          <w:rFonts w:hint="eastAsia" w:ascii="黑体" w:hAnsi="黑体" w:eastAsia="黑体" w:cs="黑体"/>
          <w:szCs w:val="21"/>
          <w:highlight w:val="none"/>
        </w:rPr>
        <w:t>点的数目</w:t>
      </w:r>
      <w:r>
        <w:rPr>
          <w:rFonts w:hint="eastAsia" w:ascii="黑体" w:hAnsi="黑体" w:eastAsia="黑体" w:cs="黑体"/>
          <w:szCs w:val="21"/>
          <w:highlight w:val="none"/>
          <w:lang w:eastAsia="zh-CN"/>
        </w:rPr>
        <w:t>；</w:t>
      </w:r>
      <w:r>
        <w:rPr>
          <w:rFonts w:hint="eastAsia" w:ascii="黑体" w:hAnsi="黑体" w:eastAsia="黑体" w:cs="黑体"/>
          <w:szCs w:val="21"/>
          <w:highlight w:val="none"/>
          <w:lang w:val="en-US" w:eastAsia="zh-CN"/>
        </w:rPr>
        <w:t>监测点不宜小于</w:t>
      </w:r>
      <w:r>
        <w:rPr>
          <w:rFonts w:hint="eastAsia" w:ascii="黑体" w:hAnsi="黑体" w:eastAsia="黑体" w:cs="黑体"/>
          <w:szCs w:val="21"/>
          <w:highlight w:val="none"/>
        </w:rPr>
        <w:t>6个点。</w:t>
      </w:r>
    </w:p>
    <w:p w14:paraId="26EC4C3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7</w:t>
      </w:r>
      <w:r>
        <w:rPr>
          <w:rFonts w:hint="eastAsia" w:ascii="黑体" w:hAnsi="黑体" w:eastAsia="黑体" w:cs="黑体"/>
          <w:szCs w:val="21"/>
          <w:highlight w:val="none"/>
        </w:rPr>
        <w:t xml:space="preserve">  环境监测应充分利用场地勘察与污染状况调查、工程效果评估阶段设置的地下水监测井及取样点位。地下水监测井应符合现行行业标准《污染场地岩土工程勘察标准》HG/T 20717的相关规定。</w:t>
      </w:r>
    </w:p>
    <w:p w14:paraId="734FEF0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8</w:t>
      </w:r>
      <w:r>
        <w:rPr>
          <w:rFonts w:hint="eastAsia" w:ascii="黑体" w:hAnsi="黑体" w:eastAsia="黑体" w:cs="黑体"/>
          <w:szCs w:val="21"/>
          <w:highlight w:val="none"/>
        </w:rPr>
        <w:t xml:space="preserve">  覆盖阻隔屏障工后变形与表面沉降、邻近建（构）筑物和地下管线变形监测的点位布置应最大限度地反映监测对象的实际状态及其变化趋势，并宜参照现行国家标准</w:t>
      </w:r>
      <w:bookmarkStart w:id="94" w:name="_Hlk172031576"/>
      <w:r>
        <w:rPr>
          <w:rFonts w:hint="eastAsia" w:ascii="黑体" w:hAnsi="黑体" w:eastAsia="黑体" w:cs="黑体"/>
          <w:szCs w:val="21"/>
          <w:highlight w:val="none"/>
        </w:rPr>
        <w:t>《建筑基坑工程监测技术标准》GB 50497</w:t>
      </w:r>
      <w:bookmarkEnd w:id="94"/>
      <w:r>
        <w:rPr>
          <w:rFonts w:hint="eastAsia" w:ascii="黑体" w:hAnsi="黑体" w:eastAsia="黑体" w:cs="黑体"/>
          <w:szCs w:val="21"/>
          <w:highlight w:val="none"/>
        </w:rPr>
        <w:t>的相关规定。</w:t>
      </w:r>
    </w:p>
    <w:p w14:paraId="0520A3C2">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 xml:space="preserve">  监测结果出现异常，应立即实施安全预案，提高监测频率，采取相应的安全防护措施。如遇突发事件应进行非常规检查以核实工程效果。</w:t>
      </w:r>
    </w:p>
    <w:p w14:paraId="3E994F26">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10</w:t>
      </w:r>
      <w:r>
        <w:rPr>
          <w:rFonts w:hint="eastAsia" w:ascii="黑体" w:hAnsi="黑体" w:eastAsia="黑体" w:cs="黑体"/>
          <w:szCs w:val="21"/>
          <w:highlight w:val="none"/>
        </w:rPr>
        <w:t xml:space="preserve">  应根据具体监测项目明确监测方法、监测频次，可按表7.3.8执行。</w:t>
      </w:r>
    </w:p>
    <w:p w14:paraId="5AC38D65">
      <w:pPr>
        <w:snapToGrid w:val="0"/>
        <w:spacing w:line="360" w:lineRule="auto"/>
        <w:jc w:val="center"/>
        <w:rPr>
          <w:rFonts w:ascii="黑体" w:hAnsi="黑体" w:eastAsia="黑体" w:cs="黑体"/>
          <w:szCs w:val="21"/>
          <w:highlight w:val="none"/>
        </w:rPr>
      </w:pPr>
      <w:r>
        <w:rPr>
          <w:rFonts w:hint="eastAsia" w:ascii="黑体" w:hAnsi="黑体" w:eastAsia="黑体" w:cs="黑体"/>
          <w:szCs w:val="21"/>
          <w:highlight w:val="none"/>
        </w:rPr>
        <w:t>表7.3.8  覆盖阻隔工程工后监测方法及监测频次</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
        <w:gridCol w:w="2220"/>
        <w:gridCol w:w="2915"/>
        <w:gridCol w:w="2806"/>
      </w:tblGrid>
      <w:tr w14:paraId="0C249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3BCAC6E4">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序号</w:t>
            </w:r>
          </w:p>
        </w:tc>
        <w:tc>
          <w:tcPr>
            <w:tcW w:w="1302" w:type="pct"/>
            <w:vAlign w:val="center"/>
          </w:tcPr>
          <w:p w14:paraId="0EDD34E0">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监测项目</w:t>
            </w:r>
          </w:p>
        </w:tc>
        <w:tc>
          <w:tcPr>
            <w:tcW w:w="1710" w:type="pct"/>
            <w:vAlign w:val="center"/>
          </w:tcPr>
          <w:p w14:paraId="1943E2EE">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监测方法</w:t>
            </w:r>
          </w:p>
        </w:tc>
        <w:tc>
          <w:tcPr>
            <w:tcW w:w="1646" w:type="pct"/>
            <w:vAlign w:val="center"/>
          </w:tcPr>
          <w:p w14:paraId="55754AA6">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监测频次</w:t>
            </w:r>
          </w:p>
        </w:tc>
      </w:tr>
      <w:tr w14:paraId="1EEA6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6F9EE72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1</w:t>
            </w:r>
          </w:p>
        </w:tc>
        <w:tc>
          <w:tcPr>
            <w:tcW w:w="1302" w:type="pct"/>
            <w:vAlign w:val="center"/>
          </w:tcPr>
          <w:p w14:paraId="7758FD68">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地下水位</w:t>
            </w:r>
          </w:p>
        </w:tc>
        <w:tc>
          <w:tcPr>
            <w:tcW w:w="1710" w:type="pct"/>
            <w:vAlign w:val="center"/>
          </w:tcPr>
          <w:p w14:paraId="4EEBB386">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监测井内直接测量</w:t>
            </w:r>
          </w:p>
        </w:tc>
        <w:tc>
          <w:tcPr>
            <w:tcW w:w="1646" w:type="pct"/>
            <w:vAlign w:val="center"/>
          </w:tcPr>
          <w:p w14:paraId="09647F66">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连续监测3个月，每月1次，此后宜每半年1次</w:t>
            </w:r>
          </w:p>
        </w:tc>
      </w:tr>
      <w:tr w14:paraId="4D14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38738B8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2</w:t>
            </w:r>
          </w:p>
        </w:tc>
        <w:tc>
          <w:tcPr>
            <w:tcW w:w="1302" w:type="pct"/>
            <w:vAlign w:val="center"/>
          </w:tcPr>
          <w:p w14:paraId="4E96F7A4">
            <w:pPr>
              <w:snapToGrid w:val="0"/>
              <w:jc w:val="center"/>
              <w:rPr>
                <w:rFonts w:ascii="黑体" w:hAnsi="黑体" w:eastAsia="黑体" w:cs="黑体"/>
                <w:sz w:val="18"/>
                <w:szCs w:val="18"/>
                <w:highlight w:val="none"/>
              </w:rPr>
            </w:pPr>
            <w:bookmarkStart w:id="95" w:name="OLE_LINK55"/>
            <w:r>
              <w:rPr>
                <w:rFonts w:hint="eastAsia" w:ascii="黑体" w:hAnsi="黑体" w:eastAsia="黑体" w:cs="黑体"/>
                <w:sz w:val="18"/>
                <w:szCs w:val="18"/>
                <w:highlight w:val="none"/>
              </w:rPr>
              <w:t>土壤气体质量</w:t>
            </w:r>
            <w:bookmarkEnd w:id="95"/>
          </w:p>
        </w:tc>
        <w:tc>
          <w:tcPr>
            <w:tcW w:w="1710" w:type="pct"/>
            <w:vAlign w:val="center"/>
          </w:tcPr>
          <w:p w14:paraId="1332338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监测井内取样测量</w:t>
            </w:r>
          </w:p>
        </w:tc>
        <w:tc>
          <w:tcPr>
            <w:tcW w:w="1646" w:type="pct"/>
            <w:vAlign w:val="center"/>
          </w:tcPr>
          <w:p w14:paraId="62E8DA6D">
            <w:pPr>
              <w:snapToGrid w:val="0"/>
              <w:jc w:val="center"/>
              <w:rPr>
                <w:rFonts w:ascii="黑体" w:hAnsi="黑体" w:eastAsia="黑体" w:cs="黑体"/>
                <w:sz w:val="18"/>
                <w:szCs w:val="18"/>
                <w:highlight w:val="none"/>
              </w:rPr>
            </w:pPr>
            <w:bookmarkStart w:id="96" w:name="OLE_LINK56"/>
            <w:r>
              <w:rPr>
                <w:rFonts w:hint="eastAsia" w:ascii="黑体" w:hAnsi="黑体" w:eastAsia="黑体" w:cs="黑体"/>
                <w:sz w:val="18"/>
                <w:szCs w:val="18"/>
                <w:highlight w:val="none"/>
              </w:rPr>
              <w:t>连续监测3个月，每月1次，此后宜1年~2年1次</w:t>
            </w:r>
            <w:bookmarkEnd w:id="96"/>
          </w:p>
        </w:tc>
      </w:tr>
      <w:tr w14:paraId="2F51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shd w:val="clear" w:color="auto" w:fill="auto"/>
            <w:vAlign w:val="center"/>
          </w:tcPr>
          <w:p w14:paraId="24709F3C">
            <w:pPr>
              <w:snapToGrid w:val="0"/>
              <w:jc w:val="center"/>
              <w:rPr>
                <w:rFonts w:hint="eastAsia" w:ascii="黑体" w:hAnsi="黑体" w:eastAsia="黑体" w:cs="黑体"/>
                <w:kern w:val="2"/>
                <w:sz w:val="18"/>
                <w:szCs w:val="18"/>
                <w:highlight w:val="none"/>
                <w:lang w:val="en-US" w:eastAsia="zh-CN" w:bidi="ar-SA"/>
              </w:rPr>
            </w:pPr>
            <w:r>
              <w:rPr>
                <w:rFonts w:hint="eastAsia" w:ascii="黑体" w:hAnsi="黑体" w:eastAsia="黑体" w:cs="黑体"/>
                <w:sz w:val="18"/>
                <w:szCs w:val="18"/>
                <w:highlight w:val="none"/>
              </w:rPr>
              <w:t>3</w:t>
            </w:r>
          </w:p>
        </w:tc>
        <w:tc>
          <w:tcPr>
            <w:tcW w:w="1302" w:type="pct"/>
            <w:vAlign w:val="center"/>
          </w:tcPr>
          <w:p w14:paraId="36EFFDC7">
            <w:pPr>
              <w:snapToGrid w:val="0"/>
              <w:jc w:val="center"/>
              <w:rPr>
                <w:rFonts w:hint="eastAsia" w:ascii="黑体" w:hAnsi="黑体" w:eastAsia="黑体" w:cs="黑体"/>
                <w:sz w:val="18"/>
                <w:szCs w:val="18"/>
                <w:highlight w:val="none"/>
                <w:lang w:eastAsia="zh-CN"/>
              </w:rPr>
            </w:pPr>
            <w:r>
              <w:rPr>
                <w:rFonts w:hint="eastAsia" w:ascii="黑体" w:hAnsi="黑体" w:eastAsia="黑体" w:cs="黑体"/>
                <w:sz w:val="18"/>
                <w:szCs w:val="18"/>
                <w:highlight w:val="none"/>
                <w:lang w:val="en-US" w:eastAsia="zh-CN"/>
              </w:rPr>
              <w:t>屏障表面</w:t>
            </w:r>
            <w:r>
              <w:rPr>
                <w:rFonts w:hint="eastAsia" w:ascii="黑体" w:hAnsi="黑体" w:eastAsia="黑体" w:cs="黑体"/>
                <w:sz w:val="18"/>
                <w:szCs w:val="18"/>
                <w:highlight w:val="none"/>
              </w:rPr>
              <w:t>气体</w:t>
            </w:r>
            <w:r>
              <w:rPr>
                <w:rFonts w:hint="eastAsia" w:ascii="黑体" w:hAnsi="黑体" w:eastAsia="黑体" w:cs="黑体"/>
                <w:sz w:val="18"/>
                <w:szCs w:val="18"/>
                <w:highlight w:val="none"/>
                <w:lang w:val="en-US" w:eastAsia="zh-CN"/>
              </w:rPr>
              <w:t>通量</w:t>
            </w:r>
          </w:p>
        </w:tc>
        <w:tc>
          <w:tcPr>
            <w:tcW w:w="1710" w:type="pct"/>
            <w:vAlign w:val="center"/>
          </w:tcPr>
          <w:p w14:paraId="4ACCBC89">
            <w:pPr>
              <w:snapToGrid w:val="0"/>
              <w:jc w:val="center"/>
              <w:rPr>
                <w:rFonts w:hint="default" w:ascii="黑体" w:hAnsi="黑体" w:eastAsia="黑体" w:cs="黑体"/>
                <w:sz w:val="18"/>
                <w:szCs w:val="18"/>
                <w:highlight w:val="none"/>
                <w:lang w:val="en-US" w:eastAsia="zh-CN"/>
              </w:rPr>
            </w:pPr>
            <w:r>
              <w:rPr>
                <w:rFonts w:hint="eastAsia" w:ascii="黑体" w:hAnsi="黑体" w:eastAsia="黑体" w:cs="黑体"/>
                <w:sz w:val="18"/>
                <w:szCs w:val="18"/>
                <w:highlight w:val="none"/>
                <w:lang w:val="en-US" w:eastAsia="zh-CN"/>
              </w:rPr>
              <w:t>静态箱法</w:t>
            </w:r>
          </w:p>
        </w:tc>
        <w:tc>
          <w:tcPr>
            <w:tcW w:w="1646" w:type="pct"/>
            <w:vAlign w:val="center"/>
          </w:tcPr>
          <w:p w14:paraId="6BACDFA8">
            <w:pPr>
              <w:snapToGrid w:val="0"/>
              <w:jc w:val="center"/>
              <w:rPr>
                <w:rFonts w:hint="eastAsia" w:ascii="黑体" w:hAnsi="黑体" w:eastAsia="黑体" w:cs="黑体"/>
                <w:sz w:val="18"/>
                <w:szCs w:val="18"/>
                <w:highlight w:val="none"/>
              </w:rPr>
            </w:pPr>
            <w:bookmarkStart w:id="97" w:name="OLE_LINK57"/>
            <w:r>
              <w:rPr>
                <w:rFonts w:hint="eastAsia" w:ascii="黑体" w:hAnsi="黑体" w:eastAsia="黑体" w:cs="黑体"/>
                <w:sz w:val="18"/>
                <w:szCs w:val="18"/>
                <w:highlight w:val="none"/>
              </w:rPr>
              <w:t>连续监测3个月，每月1次，此后宜1年~2年1次</w:t>
            </w:r>
            <w:bookmarkEnd w:id="97"/>
          </w:p>
        </w:tc>
      </w:tr>
      <w:tr w14:paraId="35E64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shd w:val="clear" w:color="auto" w:fill="auto"/>
            <w:vAlign w:val="center"/>
          </w:tcPr>
          <w:p w14:paraId="09DA8137">
            <w:pPr>
              <w:snapToGrid w:val="0"/>
              <w:jc w:val="center"/>
              <w:rPr>
                <w:rFonts w:ascii="黑体" w:hAnsi="黑体" w:eastAsia="黑体" w:cs="黑体"/>
                <w:kern w:val="2"/>
                <w:sz w:val="18"/>
                <w:szCs w:val="18"/>
                <w:highlight w:val="none"/>
                <w:lang w:val="en-US" w:eastAsia="zh-CN" w:bidi="ar-SA"/>
              </w:rPr>
            </w:pPr>
            <w:r>
              <w:rPr>
                <w:rFonts w:hint="eastAsia" w:ascii="黑体" w:hAnsi="黑体" w:eastAsia="黑体" w:cs="黑体"/>
                <w:sz w:val="18"/>
                <w:szCs w:val="18"/>
                <w:highlight w:val="none"/>
              </w:rPr>
              <w:t>4</w:t>
            </w:r>
          </w:p>
        </w:tc>
        <w:tc>
          <w:tcPr>
            <w:tcW w:w="1302" w:type="pct"/>
            <w:vAlign w:val="center"/>
          </w:tcPr>
          <w:p w14:paraId="3673257F">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覆盖阻隔屏障沉降量</w:t>
            </w:r>
          </w:p>
        </w:tc>
        <w:tc>
          <w:tcPr>
            <w:tcW w:w="1710" w:type="pct"/>
            <w:vAlign w:val="center"/>
          </w:tcPr>
          <w:p w14:paraId="44CD75F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沉降板测量、水准仪直接测量</w:t>
            </w:r>
          </w:p>
        </w:tc>
        <w:tc>
          <w:tcPr>
            <w:tcW w:w="1646" w:type="pct"/>
            <w:vAlign w:val="center"/>
          </w:tcPr>
          <w:p w14:paraId="638C9140">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连续监测3个月，可每10天1次</w:t>
            </w:r>
          </w:p>
        </w:tc>
      </w:tr>
      <w:tr w14:paraId="3DF3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shd w:val="clear" w:color="auto" w:fill="auto"/>
            <w:vAlign w:val="center"/>
          </w:tcPr>
          <w:p w14:paraId="5CF03091">
            <w:pPr>
              <w:snapToGrid w:val="0"/>
              <w:jc w:val="center"/>
              <w:rPr>
                <w:rFonts w:ascii="黑体" w:hAnsi="黑体" w:eastAsia="黑体" w:cs="黑体"/>
                <w:kern w:val="2"/>
                <w:sz w:val="18"/>
                <w:szCs w:val="18"/>
                <w:highlight w:val="none"/>
                <w:lang w:val="en-US" w:eastAsia="zh-CN" w:bidi="ar-SA"/>
              </w:rPr>
            </w:pPr>
            <w:r>
              <w:rPr>
                <w:rFonts w:hint="eastAsia" w:ascii="黑体" w:hAnsi="黑体" w:eastAsia="黑体" w:cs="黑体"/>
                <w:sz w:val="18"/>
                <w:szCs w:val="18"/>
                <w:highlight w:val="none"/>
              </w:rPr>
              <w:t>5</w:t>
            </w:r>
          </w:p>
        </w:tc>
        <w:tc>
          <w:tcPr>
            <w:tcW w:w="1302" w:type="pct"/>
            <w:vAlign w:val="center"/>
          </w:tcPr>
          <w:p w14:paraId="1F2836D4">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覆盖阻隔屏障侧向变形</w:t>
            </w:r>
          </w:p>
        </w:tc>
        <w:tc>
          <w:tcPr>
            <w:tcW w:w="1710" w:type="pct"/>
            <w:vAlign w:val="center"/>
          </w:tcPr>
          <w:p w14:paraId="6DDC1C0F">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测斜管测量</w:t>
            </w:r>
          </w:p>
        </w:tc>
        <w:tc>
          <w:tcPr>
            <w:tcW w:w="1646" w:type="pct"/>
            <w:vAlign w:val="center"/>
          </w:tcPr>
          <w:p w14:paraId="03418A5D">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连续监测3个月，可每10天1次</w:t>
            </w:r>
          </w:p>
        </w:tc>
      </w:tr>
      <w:tr w14:paraId="74ACC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shd w:val="clear" w:color="auto" w:fill="auto"/>
            <w:vAlign w:val="center"/>
          </w:tcPr>
          <w:p w14:paraId="46D44392">
            <w:pPr>
              <w:snapToGrid w:val="0"/>
              <w:jc w:val="center"/>
              <w:rPr>
                <w:rFonts w:ascii="黑体" w:hAnsi="黑体" w:eastAsia="黑体" w:cs="黑体"/>
                <w:kern w:val="2"/>
                <w:sz w:val="18"/>
                <w:szCs w:val="18"/>
                <w:highlight w:val="none"/>
                <w:lang w:val="en-US" w:eastAsia="zh-CN" w:bidi="ar-SA"/>
              </w:rPr>
            </w:pPr>
            <w:r>
              <w:rPr>
                <w:rFonts w:hint="eastAsia" w:ascii="黑体" w:hAnsi="黑体" w:eastAsia="黑体" w:cs="黑体"/>
                <w:sz w:val="18"/>
                <w:szCs w:val="18"/>
                <w:highlight w:val="none"/>
              </w:rPr>
              <w:t>6</w:t>
            </w:r>
          </w:p>
        </w:tc>
        <w:tc>
          <w:tcPr>
            <w:tcW w:w="1302" w:type="pct"/>
            <w:vAlign w:val="center"/>
          </w:tcPr>
          <w:p w14:paraId="2D7F4A69">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邻近建（构）筑物变形</w:t>
            </w:r>
          </w:p>
        </w:tc>
        <w:tc>
          <w:tcPr>
            <w:tcW w:w="1710" w:type="pct"/>
            <w:vAlign w:val="center"/>
          </w:tcPr>
          <w:p w14:paraId="7340B491">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水准仪、经纬仪、测斜管、裂缝直接测量，裂缝计测量，粘贴安装千分表法</w:t>
            </w:r>
          </w:p>
        </w:tc>
        <w:tc>
          <w:tcPr>
            <w:tcW w:w="1646" w:type="pct"/>
            <w:vAlign w:val="center"/>
          </w:tcPr>
          <w:p w14:paraId="4816F534">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连续监测3个月，可每10天1次</w:t>
            </w:r>
          </w:p>
        </w:tc>
      </w:tr>
      <w:tr w14:paraId="3838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9" w:type="pct"/>
            <w:vAlign w:val="center"/>
          </w:tcPr>
          <w:p w14:paraId="7A1F5015">
            <w:pPr>
              <w:snapToGrid w:val="0"/>
              <w:jc w:val="center"/>
              <w:rPr>
                <w:rFonts w:hint="eastAsia" w:ascii="黑体" w:hAnsi="黑体" w:eastAsia="黑体" w:cs="黑体"/>
                <w:sz w:val="18"/>
                <w:szCs w:val="18"/>
                <w:highlight w:val="none"/>
                <w:lang w:eastAsia="zh-CN"/>
              </w:rPr>
            </w:pPr>
            <w:r>
              <w:rPr>
                <w:rFonts w:hint="eastAsia" w:ascii="黑体" w:hAnsi="黑体" w:eastAsia="黑体" w:cs="黑体"/>
                <w:sz w:val="18"/>
                <w:szCs w:val="18"/>
                <w:highlight w:val="none"/>
                <w:lang w:val="en-US" w:eastAsia="zh-CN"/>
              </w:rPr>
              <w:t>7</w:t>
            </w:r>
          </w:p>
        </w:tc>
        <w:tc>
          <w:tcPr>
            <w:tcW w:w="1302" w:type="pct"/>
            <w:vAlign w:val="center"/>
          </w:tcPr>
          <w:p w14:paraId="1FE9E7AB">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地下管线及管廊变形</w:t>
            </w:r>
          </w:p>
        </w:tc>
        <w:tc>
          <w:tcPr>
            <w:tcW w:w="1710" w:type="pct"/>
            <w:vAlign w:val="center"/>
          </w:tcPr>
          <w:p w14:paraId="031D56B8">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位移杆法，柔性管线可采用间接监测</w:t>
            </w:r>
          </w:p>
        </w:tc>
        <w:tc>
          <w:tcPr>
            <w:tcW w:w="1646" w:type="pct"/>
            <w:vAlign w:val="center"/>
          </w:tcPr>
          <w:p w14:paraId="2D839F98">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连续监测3个月，可每10天1次</w:t>
            </w:r>
          </w:p>
        </w:tc>
      </w:tr>
    </w:tbl>
    <w:p w14:paraId="4C31FD45">
      <w:pPr>
        <w:snapToGrid w:val="0"/>
        <w:spacing w:before="156" w:beforeLines="50" w:line="360" w:lineRule="auto"/>
        <w:jc w:val="left"/>
        <w:rPr>
          <w:rFonts w:ascii="黑体" w:hAnsi="黑体" w:eastAsia="黑体" w:cs="黑体"/>
          <w:szCs w:val="21"/>
          <w:highlight w:val="none"/>
        </w:rPr>
      </w:pPr>
      <w:r>
        <w:rPr>
          <w:rFonts w:hint="eastAsia" w:ascii="黑体" w:hAnsi="黑体" w:eastAsia="黑体" w:cs="黑体"/>
          <w:szCs w:val="21"/>
          <w:highlight w:val="none"/>
        </w:rPr>
        <w:t>7.3.1</w:t>
      </w:r>
      <w:r>
        <w:rPr>
          <w:rFonts w:hint="eastAsia" w:ascii="黑体" w:hAnsi="黑体" w:eastAsia="黑体" w:cs="黑体"/>
          <w:szCs w:val="21"/>
          <w:highlight w:val="none"/>
          <w:lang w:val="en-US" w:eastAsia="zh-CN"/>
        </w:rPr>
        <w:t>1</w:t>
      </w:r>
      <w:r>
        <w:rPr>
          <w:rFonts w:hint="eastAsia" w:ascii="黑体" w:hAnsi="黑体" w:eastAsia="黑体" w:cs="黑体"/>
          <w:szCs w:val="21"/>
          <w:highlight w:val="none"/>
        </w:rPr>
        <w:t xml:space="preserve">  工后监测记录要求，可按本规范附录</w:t>
      </w:r>
      <w:r>
        <w:rPr>
          <w:rFonts w:ascii="黑体" w:hAnsi="黑体" w:eastAsia="黑体" w:cs="黑体"/>
          <w:szCs w:val="21"/>
          <w:highlight w:val="none"/>
        </w:rPr>
        <w:t>F</w:t>
      </w:r>
      <w:r>
        <w:rPr>
          <w:rFonts w:hint="eastAsia" w:ascii="黑体" w:hAnsi="黑体" w:eastAsia="黑体" w:cs="黑体"/>
          <w:szCs w:val="21"/>
          <w:highlight w:val="none"/>
        </w:rPr>
        <w:t>执行。</w:t>
      </w:r>
    </w:p>
    <w:p w14:paraId="58E65519">
      <w:pPr>
        <w:snapToGrid w:val="0"/>
        <w:spacing w:line="360" w:lineRule="auto"/>
        <w:ind w:firstLine="480" w:firstLineChars="200"/>
        <w:jc w:val="left"/>
        <w:rPr>
          <w:rFonts w:ascii="黑体" w:hAnsi="黑体" w:eastAsia="黑体" w:cs="黑体"/>
          <w:sz w:val="24"/>
          <w:szCs w:val="24"/>
          <w:highlight w:val="none"/>
        </w:rPr>
      </w:pPr>
    </w:p>
    <w:p w14:paraId="625353FA">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3F0EDCCD">
      <w:pPr>
        <w:snapToGrid w:val="0"/>
        <w:spacing w:line="360" w:lineRule="auto"/>
        <w:jc w:val="center"/>
        <w:outlineLvl w:val="0"/>
        <w:rPr>
          <w:rFonts w:ascii="黑体" w:hAnsi="黑体" w:eastAsia="黑体" w:cs="黑体"/>
          <w:sz w:val="28"/>
          <w:szCs w:val="28"/>
          <w:highlight w:val="none"/>
        </w:rPr>
      </w:pPr>
      <w:bookmarkStart w:id="98" w:name="_Toc19170"/>
      <w:r>
        <w:rPr>
          <w:rFonts w:hint="eastAsia" w:ascii="黑体" w:hAnsi="黑体" w:eastAsia="黑体" w:cs="黑体"/>
          <w:sz w:val="28"/>
          <w:szCs w:val="28"/>
          <w:highlight w:val="none"/>
        </w:rPr>
        <w:t>附录A  覆盖阻隔设计方案</w:t>
      </w:r>
      <w:bookmarkEnd w:id="98"/>
    </w:p>
    <w:p w14:paraId="424F0866">
      <w:pPr>
        <w:rPr>
          <w:rFonts w:hint="eastAsia" w:ascii="黑体" w:hAnsi="黑体" w:eastAsia="黑体" w:cs="黑体"/>
          <w:highlight w:val="none"/>
        </w:rPr>
      </w:pPr>
    </w:p>
    <w:p w14:paraId="7A204041">
      <w:pPr>
        <w:snapToGrid w:val="0"/>
        <w:spacing w:line="360" w:lineRule="auto"/>
        <w:rPr>
          <w:rFonts w:ascii="黑体" w:hAnsi="黑体" w:eastAsia="黑体" w:cs="黑体"/>
          <w:sz w:val="24"/>
          <w:szCs w:val="24"/>
          <w:highlight w:val="none"/>
        </w:rPr>
      </w:pPr>
      <w:r>
        <w:rPr>
          <w:rFonts w:hint="eastAsia" w:ascii="黑体" w:hAnsi="黑体" w:eastAsia="黑体" w:cs="黑体"/>
          <w:szCs w:val="21"/>
          <w:highlight w:val="none"/>
        </w:rPr>
        <w:t>A.0.1  覆盖阻隔屏障设计方案应包括如下内容：</w:t>
      </w:r>
    </w:p>
    <w:p w14:paraId="44D4CD38">
      <w:pPr>
        <w:snapToGrid w:val="0"/>
        <w:spacing w:line="360" w:lineRule="auto"/>
        <w:ind w:firstLine="420" w:firstLineChars="200"/>
        <w:rPr>
          <w:rFonts w:ascii="黑体" w:hAnsi="黑体" w:eastAsia="黑体" w:cs="黑体"/>
          <w:szCs w:val="21"/>
          <w:highlight w:val="none"/>
        </w:rPr>
      </w:pPr>
      <w:bookmarkStart w:id="99" w:name="_Toc15371"/>
      <w:r>
        <w:rPr>
          <w:rFonts w:hint="eastAsia" w:ascii="黑体" w:hAnsi="黑体" w:eastAsia="黑体" w:cs="黑体"/>
          <w:szCs w:val="21"/>
          <w:highlight w:val="none"/>
        </w:rPr>
        <w:t>1  工程概况；</w:t>
      </w:r>
      <w:bookmarkEnd w:id="99"/>
    </w:p>
    <w:p w14:paraId="3231D0A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2  设计依据，宜包括场地勘察与污染状况调查成果、场地用途、工程建设目的；</w:t>
      </w:r>
    </w:p>
    <w:p w14:paraId="417E1F30">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工程目标，宜包括风险管控目标、目标污染物的种类、目标污染物的风险控制值、风险管控范围、覆盖阻隔屏障的工程性能、设计使用年限；</w:t>
      </w:r>
    </w:p>
    <w:p w14:paraId="53E1EB69">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总体设计，宜包括覆盖阻隔屏障平面布置、屏障厚度；</w:t>
      </w:r>
    </w:p>
    <w:p w14:paraId="16BDA4D2">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屏障材料，宜包括原材料筛选、屏障材料设计、屏障材料性能测试结果、击穿判别验算，可包括工程量估算、费用估算、施工周期估算、屏障材料技术经济比选分析；</w:t>
      </w:r>
    </w:p>
    <w:p w14:paraId="3F81019E">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施工建议；</w:t>
      </w:r>
    </w:p>
    <w:p w14:paraId="1BDFB64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7  设计结论。</w:t>
      </w:r>
    </w:p>
    <w:p w14:paraId="026C82C3">
      <w:pPr>
        <w:snapToGrid w:val="0"/>
        <w:spacing w:line="360" w:lineRule="auto"/>
        <w:rPr>
          <w:rFonts w:ascii="黑体" w:hAnsi="黑体" w:eastAsia="黑体" w:cs="黑体"/>
          <w:sz w:val="24"/>
          <w:szCs w:val="24"/>
          <w:highlight w:val="none"/>
        </w:rPr>
      </w:pPr>
      <w:r>
        <w:rPr>
          <w:rFonts w:hint="eastAsia" w:ascii="黑体" w:hAnsi="黑体" w:eastAsia="黑体" w:cs="黑体"/>
          <w:szCs w:val="21"/>
          <w:highlight w:val="none"/>
        </w:rPr>
        <w:t>A.0.2  覆盖阻隔屏障设计方案应经审查批准。</w:t>
      </w:r>
    </w:p>
    <w:p w14:paraId="16B5A921">
      <w:pPr>
        <w:snapToGrid w:val="0"/>
        <w:spacing w:line="360" w:lineRule="auto"/>
        <w:ind w:firstLine="420" w:firstLineChars="200"/>
        <w:jc w:val="left"/>
        <w:rPr>
          <w:rFonts w:ascii="黑体" w:hAnsi="黑体" w:eastAsia="黑体" w:cs="黑体"/>
          <w:szCs w:val="21"/>
          <w:highlight w:val="none"/>
        </w:rPr>
      </w:pPr>
    </w:p>
    <w:p w14:paraId="53CDCB41">
      <w:pPr>
        <w:snapToGrid w:val="0"/>
        <w:spacing w:line="360" w:lineRule="auto"/>
        <w:ind w:firstLine="480" w:firstLineChars="200"/>
        <w:jc w:val="left"/>
        <w:rPr>
          <w:rFonts w:ascii="黑体" w:hAnsi="黑体" w:eastAsia="黑体" w:cs="黑体"/>
          <w:sz w:val="24"/>
          <w:szCs w:val="24"/>
          <w:highlight w:val="none"/>
        </w:rPr>
      </w:pPr>
    </w:p>
    <w:p w14:paraId="1E675BD4">
      <w:pPr>
        <w:snapToGrid w:val="0"/>
        <w:spacing w:line="360" w:lineRule="auto"/>
        <w:ind w:firstLine="480" w:firstLineChars="200"/>
        <w:jc w:val="left"/>
        <w:rPr>
          <w:rFonts w:ascii="黑体" w:hAnsi="黑体" w:eastAsia="黑体" w:cs="黑体"/>
          <w:sz w:val="24"/>
          <w:szCs w:val="24"/>
          <w:highlight w:val="none"/>
        </w:rPr>
      </w:pPr>
    </w:p>
    <w:p w14:paraId="7157F1D8">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03639AC2">
      <w:pPr>
        <w:snapToGrid w:val="0"/>
        <w:spacing w:line="360" w:lineRule="auto"/>
        <w:jc w:val="center"/>
        <w:outlineLvl w:val="0"/>
        <w:rPr>
          <w:rFonts w:ascii="黑体" w:hAnsi="黑体" w:eastAsia="黑体" w:cs="黑体"/>
          <w:sz w:val="28"/>
          <w:szCs w:val="28"/>
          <w:highlight w:val="none"/>
        </w:rPr>
      </w:pPr>
      <w:bookmarkStart w:id="100" w:name="_Toc18179"/>
      <w:r>
        <w:rPr>
          <w:rFonts w:hint="eastAsia" w:ascii="黑体" w:hAnsi="黑体" w:eastAsia="黑体" w:cs="黑体"/>
          <w:sz w:val="28"/>
          <w:szCs w:val="28"/>
          <w:highlight w:val="none"/>
        </w:rPr>
        <w:t>附录B  覆盖阻隔材料性能测试方法</w:t>
      </w:r>
      <w:bookmarkEnd w:id="100"/>
    </w:p>
    <w:p w14:paraId="5427E240">
      <w:pPr>
        <w:rPr>
          <w:rFonts w:hint="eastAsia" w:ascii="黑体" w:hAnsi="黑体" w:eastAsia="黑体" w:cs="黑体"/>
          <w:highlight w:val="none"/>
        </w:rPr>
      </w:pPr>
    </w:p>
    <w:p w14:paraId="71F79313">
      <w:pPr>
        <w:snapToGrid w:val="0"/>
        <w:spacing w:line="360" w:lineRule="auto"/>
        <w:rPr>
          <w:rFonts w:ascii="黑体" w:hAnsi="黑体" w:eastAsia="黑体" w:cs="黑体"/>
          <w:sz w:val="24"/>
          <w:szCs w:val="24"/>
          <w:highlight w:val="none"/>
        </w:rPr>
      </w:pPr>
      <w:r>
        <w:rPr>
          <w:rFonts w:hint="eastAsia" w:ascii="黑体" w:hAnsi="黑体" w:eastAsia="黑体" w:cs="黑体"/>
          <w:szCs w:val="21"/>
          <w:highlight w:val="none"/>
        </w:rPr>
        <w:t>B.0.1  该测试方法适用于实验室测定压实黏土、膨润土防水毯、土工膜等覆盖阻隔屏障材料的气体有效渗透率、气体扩散系数。</w:t>
      </w:r>
    </w:p>
    <w:p w14:paraId="37BA190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B.0.2  气体有效渗透率试验符合现行国家标准</w:t>
      </w:r>
      <w:bookmarkStart w:id="101" w:name="_Hlk172031559"/>
      <w:r>
        <w:rPr>
          <w:rFonts w:hint="eastAsia" w:ascii="黑体" w:hAnsi="黑体" w:eastAsia="黑体" w:cs="黑体"/>
          <w:szCs w:val="21"/>
          <w:highlight w:val="none"/>
        </w:rPr>
        <w:t xml:space="preserve">《岩石中两相流体相对渗透率测定方法》GB/T </w:t>
      </w:r>
      <w:r>
        <w:rPr>
          <w:rFonts w:ascii="黑体" w:hAnsi="黑体" w:eastAsia="黑体" w:cs="黑体"/>
          <w:szCs w:val="21"/>
          <w:highlight w:val="none"/>
        </w:rPr>
        <w:t>28912</w:t>
      </w:r>
      <w:bookmarkEnd w:id="101"/>
      <w:r>
        <w:rPr>
          <w:rFonts w:hint="eastAsia" w:ascii="黑体" w:hAnsi="黑体" w:eastAsia="黑体" w:cs="黑体"/>
          <w:szCs w:val="21"/>
          <w:highlight w:val="none"/>
        </w:rPr>
        <w:t>的相关规定，根据达西定律，覆盖阻隔材料的气体有效渗透率可按下式计算：</w:t>
      </w:r>
    </w:p>
    <w:p w14:paraId="265ADAFA">
      <w:pPr>
        <w:snapToGrid w:val="0"/>
        <w:spacing w:line="360" w:lineRule="auto"/>
        <w:jc w:val="right"/>
        <w:rPr>
          <w:rFonts w:hint="eastAsia" w:ascii="黑体" w:hAnsi="黑体" w:eastAsia="黑体" w:cs="黑体"/>
          <w:b w:val="0"/>
          <w:i w:val="0"/>
          <w:sz w:val="28"/>
          <w:szCs w:val="21"/>
          <w:highlight w:val="none"/>
          <w:lang w:eastAsia="zh-CN"/>
        </w:rPr>
      </w:pPr>
      <w:r>
        <w:rPr>
          <w:rFonts w:hint="eastAsia" w:ascii="黑体" w:hAnsi="黑体" w:eastAsia="黑体" w:cs="黑体"/>
          <w:b w:val="0"/>
          <w:i w:val="0"/>
          <w:position w:val="-30"/>
          <w:sz w:val="28"/>
          <w:szCs w:val="21"/>
          <w:highlight w:val="none"/>
          <w:lang w:eastAsia="zh-CN"/>
        </w:rPr>
        <w:object>
          <v:shape id="_x0000_i1029" o:spt="75" type="#_x0000_t75" style="height:36pt;width:112pt;" o:ole="t" filled="f" o:preferrelative="t" stroked="f" coordsize="21600,21600">
            <v:path/>
            <v:fill on="f" focussize="0,0"/>
            <v:stroke on="f"/>
            <v:imagedata r:id="rId20" o:title=""/>
            <o:lock v:ext="edit" aspectratio="t"/>
            <w10:wrap type="none"/>
            <w10:anchorlock/>
          </v:shape>
          <o:OLEObject Type="Embed" ProgID="Equation.KSEE3" ShapeID="_x0000_i1029" DrawAspect="Content" ObjectID="_1468075729" r:id="rId19">
            <o:LockedField>false</o:LockedField>
          </o:OLEObject>
        </w:object>
      </w:r>
      <w:r>
        <w:rPr>
          <w:rFonts w:hint="eastAsia" w:ascii="黑体" w:hAnsi="黑体" w:eastAsia="黑体" w:cs="黑体"/>
          <w:sz w:val="20"/>
          <w:szCs w:val="20"/>
          <w:highlight w:val="none"/>
        </w:rPr>
        <w:t xml:space="preserve">                    </w:t>
      </w:r>
      <w:r>
        <w:rPr>
          <w:rFonts w:hint="eastAsia" w:ascii="黑体" w:hAnsi="黑体" w:eastAsia="黑体" w:cs="黑体"/>
          <w:szCs w:val="21"/>
          <w:highlight w:val="none"/>
        </w:rPr>
        <w:t>（B.0.2）</w:t>
      </w:r>
    </w:p>
    <w:p w14:paraId="777E16BB">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szCs w:val="21"/>
          <w:highlight w:val="none"/>
        </w:rPr>
        <w:t>式中：</w:t>
      </w:r>
    </w:p>
    <w:p w14:paraId="45C3D681">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K</w:t>
      </w:r>
      <w:r>
        <w:rPr>
          <w:rFonts w:ascii="黑体" w:hAnsi="黑体" w:eastAsia="黑体" w:cs="黑体"/>
          <w:szCs w:val="21"/>
          <w:highlight w:val="none"/>
          <w:vertAlign w:val="subscript"/>
        </w:rPr>
        <w:t>ge</w:t>
      </w:r>
      <w:r>
        <w:rPr>
          <w:rFonts w:hint="eastAsia" w:ascii="黑体" w:hAnsi="黑体" w:eastAsia="黑体" w:cs="黑体"/>
          <w:szCs w:val="21"/>
          <w:highlight w:val="none"/>
        </w:rPr>
        <w:t>——气相有效渗透率，单位为m</w:t>
      </w:r>
      <w:r>
        <w:rPr>
          <w:rFonts w:ascii="黑体" w:hAnsi="黑体" w:eastAsia="黑体" w:cs="黑体"/>
          <w:szCs w:val="21"/>
          <w:highlight w:val="none"/>
          <w:vertAlign w:val="superscript"/>
        </w:rPr>
        <w:t>2</w:t>
      </w:r>
      <w:r>
        <w:rPr>
          <w:rFonts w:hint="eastAsia" w:ascii="黑体" w:hAnsi="黑体" w:eastAsia="黑体" w:cs="黑体"/>
          <w:szCs w:val="21"/>
          <w:highlight w:val="none"/>
        </w:rPr>
        <w:t>；</w:t>
      </w:r>
    </w:p>
    <w:p w14:paraId="0B3D7A34">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P</w:t>
      </w:r>
      <w:r>
        <w:rPr>
          <w:rFonts w:ascii="黑体" w:hAnsi="黑体" w:eastAsia="黑体" w:cs="黑体"/>
          <w:szCs w:val="21"/>
          <w:highlight w:val="none"/>
          <w:vertAlign w:val="subscript"/>
        </w:rPr>
        <w:t>a</w:t>
      </w:r>
      <w:r>
        <w:rPr>
          <w:rFonts w:hint="eastAsia" w:ascii="黑体" w:hAnsi="黑体" w:eastAsia="黑体" w:cs="黑体"/>
          <w:szCs w:val="21"/>
          <w:highlight w:val="none"/>
        </w:rPr>
        <w:t>——进气压力，单位为kPa；</w:t>
      </w:r>
    </w:p>
    <w:p w14:paraId="4F6B8E52">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P</w:t>
      </w:r>
      <w:r>
        <w:rPr>
          <w:rFonts w:ascii="黑体" w:hAnsi="黑体" w:eastAsia="黑体" w:cs="黑体"/>
          <w:szCs w:val="21"/>
          <w:highlight w:val="none"/>
          <w:vertAlign w:val="subscript"/>
        </w:rPr>
        <w:t>a</w:t>
      </w:r>
      <w:r>
        <w:rPr>
          <w:rFonts w:hint="eastAsia" w:ascii="黑体" w:hAnsi="黑体" w:eastAsia="黑体" w:cs="黑体"/>
          <w:szCs w:val="21"/>
          <w:highlight w:val="none"/>
        </w:rPr>
        <w:t>——大气压力，单位为kPa；</w:t>
      </w:r>
    </w:p>
    <w:p w14:paraId="77268391">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q</w:t>
      </w:r>
      <w:r>
        <w:rPr>
          <w:rFonts w:ascii="黑体" w:hAnsi="黑体" w:eastAsia="黑体" w:cs="黑体"/>
          <w:szCs w:val="21"/>
          <w:highlight w:val="none"/>
          <w:vertAlign w:val="subscript"/>
        </w:rPr>
        <w:t>g</w:t>
      </w:r>
      <w:r>
        <w:rPr>
          <w:rFonts w:hint="eastAsia" w:ascii="黑体" w:hAnsi="黑体" w:eastAsia="黑体" w:cs="黑体"/>
          <w:szCs w:val="21"/>
          <w:highlight w:val="none"/>
        </w:rPr>
        <w:t>——气体流量，单位为m</w:t>
      </w:r>
      <w:r>
        <w:rPr>
          <w:rFonts w:ascii="黑体" w:hAnsi="黑体" w:eastAsia="黑体" w:cs="黑体"/>
          <w:szCs w:val="21"/>
          <w:highlight w:val="none"/>
          <w:vertAlign w:val="superscript"/>
        </w:rPr>
        <w:t>3</w:t>
      </w:r>
      <w:r>
        <w:rPr>
          <w:rFonts w:hint="eastAsia" w:ascii="黑体" w:hAnsi="黑体" w:eastAsia="黑体" w:cs="黑体"/>
          <w:szCs w:val="21"/>
          <w:highlight w:val="none"/>
        </w:rPr>
        <w:t>/</w:t>
      </w:r>
      <w:r>
        <w:rPr>
          <w:rFonts w:ascii="黑体" w:hAnsi="黑体" w:eastAsia="黑体" w:cs="黑体"/>
          <w:szCs w:val="21"/>
          <w:highlight w:val="none"/>
        </w:rPr>
        <w:t>s</w:t>
      </w:r>
      <w:r>
        <w:rPr>
          <w:rFonts w:hint="eastAsia" w:ascii="黑体" w:hAnsi="黑体" w:eastAsia="黑体" w:cs="黑体"/>
          <w:szCs w:val="21"/>
          <w:highlight w:val="none"/>
        </w:rPr>
        <w:t>；</w:t>
      </w:r>
    </w:p>
    <w:p w14:paraId="1AD9AFF0">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μ</w:t>
      </w:r>
      <w:r>
        <w:rPr>
          <w:rFonts w:ascii="黑体" w:hAnsi="黑体" w:eastAsia="黑体" w:cs="黑体"/>
          <w:szCs w:val="21"/>
          <w:highlight w:val="none"/>
          <w:vertAlign w:val="subscript"/>
        </w:rPr>
        <w:t>g</w:t>
      </w:r>
      <w:r>
        <w:rPr>
          <w:rFonts w:hint="eastAsia" w:ascii="黑体" w:hAnsi="黑体" w:eastAsia="黑体" w:cs="黑体"/>
          <w:szCs w:val="21"/>
          <w:highlight w:val="none"/>
        </w:rPr>
        <w:t>——气体黏度，单位为mPa·</w:t>
      </w:r>
      <w:r>
        <w:rPr>
          <w:rFonts w:ascii="黑体" w:hAnsi="黑体" w:eastAsia="黑体" w:cs="黑体"/>
          <w:szCs w:val="21"/>
          <w:highlight w:val="none"/>
        </w:rPr>
        <w:t>s</w:t>
      </w:r>
      <w:r>
        <w:rPr>
          <w:rFonts w:hint="eastAsia" w:ascii="黑体" w:hAnsi="黑体" w:eastAsia="黑体" w:cs="黑体"/>
          <w:szCs w:val="21"/>
          <w:highlight w:val="none"/>
        </w:rPr>
        <w:t>；</w:t>
      </w:r>
    </w:p>
    <w:p w14:paraId="264ABD8C">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A</w:t>
      </w:r>
      <w:r>
        <w:rPr>
          <w:rFonts w:hint="eastAsia" w:ascii="黑体" w:hAnsi="黑体" w:eastAsia="黑体" w:cs="黑体"/>
          <w:szCs w:val="21"/>
          <w:highlight w:val="none"/>
        </w:rPr>
        <w:t>——覆盖阻隔材料的横截面积，单位为m</w:t>
      </w:r>
      <w:r>
        <w:rPr>
          <w:rFonts w:ascii="黑体" w:hAnsi="黑体" w:eastAsia="黑体" w:cs="黑体"/>
          <w:szCs w:val="21"/>
          <w:highlight w:val="none"/>
          <w:vertAlign w:val="superscript"/>
        </w:rPr>
        <w:t>2</w:t>
      </w:r>
      <w:r>
        <w:rPr>
          <w:rFonts w:hint="eastAsia" w:ascii="黑体" w:hAnsi="黑体" w:eastAsia="黑体" w:cs="黑体"/>
          <w:szCs w:val="21"/>
          <w:highlight w:val="none"/>
        </w:rPr>
        <w:t>；</w:t>
      </w:r>
    </w:p>
    <w:p w14:paraId="39B8B856">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L</w:t>
      </w:r>
      <w:r>
        <w:rPr>
          <w:rFonts w:hint="eastAsia" w:ascii="黑体" w:hAnsi="黑体" w:eastAsia="黑体" w:cs="黑体"/>
          <w:szCs w:val="21"/>
          <w:highlight w:val="none"/>
        </w:rPr>
        <w:t>——覆盖阻隔材料的长度，单位为m。</w:t>
      </w:r>
    </w:p>
    <w:p w14:paraId="29F7F81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B.0.3  气体扩散试验符合现行行业标准</w:t>
      </w:r>
      <w:bookmarkStart w:id="102" w:name="_Hlk172031629"/>
      <w:r>
        <w:rPr>
          <w:rFonts w:hint="eastAsia" w:ascii="黑体" w:hAnsi="黑体" w:eastAsia="黑体" w:cs="黑体"/>
          <w:szCs w:val="21"/>
          <w:highlight w:val="none"/>
        </w:rPr>
        <w:t>《岩石中烃类气体扩散系数测定方法》SY/T 6129</w:t>
      </w:r>
      <w:bookmarkEnd w:id="102"/>
      <w:r>
        <w:rPr>
          <w:rFonts w:hint="eastAsia" w:ascii="黑体" w:hAnsi="黑体" w:eastAsia="黑体" w:cs="黑体"/>
          <w:szCs w:val="21"/>
          <w:highlight w:val="none"/>
        </w:rPr>
        <w:t>的相关规定，根据费克第二定律，覆盖阻隔材料的气体扩散系数可按下式计算：</w:t>
      </w:r>
    </w:p>
    <w:p w14:paraId="5F83A309">
      <w:pPr>
        <w:snapToGrid w:val="0"/>
        <w:spacing w:line="360" w:lineRule="auto"/>
        <w:jc w:val="right"/>
        <w:rPr>
          <w:rFonts w:hint="eastAsia" w:ascii="黑体" w:hAnsi="黑体" w:eastAsia="黑体" w:cs="黑体"/>
          <w:szCs w:val="21"/>
          <w:highlight w:val="none"/>
          <w:lang w:eastAsia="zh-CN"/>
        </w:rPr>
      </w:pPr>
      <w:r>
        <w:rPr>
          <w:rFonts w:hint="eastAsia" w:ascii="黑体" w:hAnsi="黑体" w:eastAsia="黑体" w:cs="黑体"/>
          <w:i/>
          <w:position w:val="-30"/>
          <w:sz w:val="28"/>
          <w:szCs w:val="21"/>
          <w:highlight w:val="none"/>
        </w:rPr>
        <w:object>
          <v:shape id="_x0000_i1030" o:spt="75" type="#_x0000_t75" style="height:34pt;width:142pt;" o:ole="t" filled="f" o:preferrelative="t" stroked="f" coordsize="21600,21600">
            <v:path/>
            <v:fill on="f" focussize="0,0"/>
            <v:stroke on="f"/>
            <v:imagedata r:id="rId22" o:title=""/>
            <o:lock v:ext="edit" aspectratio="t"/>
            <w10:wrap type="none"/>
            <w10:anchorlock/>
          </v:shape>
          <o:OLEObject Type="Embed" ProgID="Equation.KSEE3" ShapeID="_x0000_i1030" DrawAspect="Content" ObjectID="_1468075730" r:id="rId21">
            <o:LockedField>false</o:LockedField>
          </o:OLEObject>
        </w:object>
      </w:r>
      <w:r>
        <w:rPr>
          <w:rFonts w:hint="eastAsia" w:ascii="黑体" w:hAnsi="黑体" w:eastAsia="黑体" w:cs="黑体"/>
          <w:sz w:val="20"/>
          <w:szCs w:val="20"/>
          <w:highlight w:val="none"/>
        </w:rPr>
        <w:t xml:space="preserve">                   </w:t>
      </w:r>
      <w:r>
        <w:rPr>
          <w:rFonts w:hint="eastAsia" w:ascii="黑体" w:hAnsi="黑体" w:eastAsia="黑体" w:cs="黑体"/>
          <w:szCs w:val="21"/>
          <w:highlight w:val="none"/>
        </w:rPr>
        <w:t>（B.0.</w:t>
      </w:r>
      <w:r>
        <w:rPr>
          <w:rFonts w:hint="eastAsia" w:ascii="黑体" w:hAnsi="黑体" w:eastAsia="黑体" w:cs="黑体"/>
          <w:szCs w:val="21"/>
          <w:highlight w:val="none"/>
          <w:lang w:val="en-US" w:eastAsia="zh-CN"/>
        </w:rPr>
        <w:t>3</w:t>
      </w:r>
      <w:r>
        <w:rPr>
          <w:rFonts w:hint="eastAsia" w:ascii="黑体" w:hAnsi="黑体" w:eastAsia="黑体" w:cs="黑体"/>
          <w:szCs w:val="21"/>
          <w:highlight w:val="none"/>
        </w:rPr>
        <w:t>）</w:t>
      </w:r>
    </w:p>
    <w:p w14:paraId="3AA508D8">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szCs w:val="21"/>
          <w:highlight w:val="none"/>
        </w:rPr>
        <w:t>式中：</w:t>
      </w:r>
    </w:p>
    <w:p w14:paraId="56FB1E15">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D</w:t>
      </w:r>
      <w:r>
        <w:rPr>
          <w:rFonts w:hint="eastAsia" w:ascii="黑体" w:hAnsi="黑体" w:eastAsia="黑体" w:cs="黑体"/>
          <w:szCs w:val="21"/>
          <w:highlight w:val="none"/>
        </w:rPr>
        <w:t>——气体在覆盖阻隔材料中的扩散系数，单位为m</w:t>
      </w:r>
      <w:r>
        <w:rPr>
          <w:rFonts w:ascii="黑体" w:hAnsi="黑体" w:eastAsia="黑体" w:cs="黑体"/>
          <w:szCs w:val="21"/>
          <w:highlight w:val="none"/>
          <w:vertAlign w:val="superscript"/>
        </w:rPr>
        <w:t>2</w:t>
      </w:r>
      <w:r>
        <w:rPr>
          <w:rFonts w:ascii="黑体" w:hAnsi="黑体" w:eastAsia="黑体" w:cs="黑体"/>
          <w:szCs w:val="21"/>
          <w:highlight w:val="none"/>
        </w:rPr>
        <w:t>/s</w:t>
      </w:r>
      <w:r>
        <w:rPr>
          <w:rFonts w:hint="eastAsia" w:ascii="黑体" w:hAnsi="黑体" w:eastAsia="黑体" w:cs="黑体"/>
          <w:szCs w:val="21"/>
          <w:highlight w:val="none"/>
        </w:rPr>
        <w:t>；</w:t>
      </w:r>
    </w:p>
    <w:p w14:paraId="44C0D918">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C</w:t>
      </w:r>
      <w:r>
        <w:rPr>
          <w:rFonts w:ascii="黑体" w:hAnsi="黑体" w:eastAsia="黑体" w:cs="黑体"/>
          <w:szCs w:val="21"/>
          <w:highlight w:val="none"/>
          <w:vertAlign w:val="subscript"/>
        </w:rPr>
        <w:t>1</w:t>
      </w:r>
      <w:r>
        <w:rPr>
          <w:rFonts w:hint="eastAsia" w:ascii="黑体" w:hAnsi="黑体" w:eastAsia="黑体" w:cs="黑体"/>
          <w:szCs w:val="21"/>
          <w:highlight w:val="none"/>
        </w:rPr>
        <w:t>——初始时刻气体在气体扩散室中的体积浓度，用百分数表示；</w:t>
      </w:r>
    </w:p>
    <w:p w14:paraId="2922C64E">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C</w:t>
      </w:r>
      <w:r>
        <w:rPr>
          <w:rFonts w:ascii="黑体" w:hAnsi="黑体" w:eastAsia="黑体" w:cs="黑体"/>
          <w:szCs w:val="21"/>
          <w:highlight w:val="none"/>
          <w:vertAlign w:val="subscript"/>
        </w:rPr>
        <w:t>2</w:t>
      </w:r>
      <w:r>
        <w:rPr>
          <w:rFonts w:hint="eastAsia" w:ascii="黑体" w:hAnsi="黑体" w:eastAsia="黑体" w:cs="黑体"/>
          <w:szCs w:val="21"/>
          <w:highlight w:val="none"/>
        </w:rPr>
        <w:t>——初始时刻气体在氮气扩散室中的体积浓度，用百分数表示；</w:t>
      </w:r>
    </w:p>
    <w:p w14:paraId="48985872">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C</w:t>
      </w:r>
      <w:r>
        <w:rPr>
          <w:rFonts w:ascii="黑体" w:hAnsi="黑体" w:eastAsia="黑体" w:cs="黑体"/>
          <w:szCs w:val="21"/>
          <w:highlight w:val="none"/>
          <w:vertAlign w:val="subscript"/>
        </w:rPr>
        <w:t>1t</w:t>
      </w:r>
      <w:r>
        <w:rPr>
          <w:rFonts w:hint="eastAsia" w:ascii="黑体" w:hAnsi="黑体" w:eastAsia="黑体" w:cs="黑体"/>
          <w:szCs w:val="21"/>
          <w:highlight w:val="none"/>
        </w:rPr>
        <w:t>——</w:t>
      </w:r>
      <w:r>
        <w:rPr>
          <w:rFonts w:hint="eastAsia" w:ascii="黑体" w:hAnsi="黑体" w:eastAsia="黑体" w:cs="黑体"/>
          <w:i/>
          <w:szCs w:val="21"/>
          <w:highlight w:val="none"/>
        </w:rPr>
        <w:t>t</w:t>
      </w:r>
      <w:r>
        <w:rPr>
          <w:rFonts w:hint="eastAsia" w:ascii="黑体" w:hAnsi="黑体" w:eastAsia="黑体" w:cs="黑体"/>
          <w:szCs w:val="21"/>
          <w:highlight w:val="none"/>
        </w:rPr>
        <w:t>时刻气体在气体扩散室中的体积浓度，用百分数表示；</w:t>
      </w:r>
    </w:p>
    <w:p w14:paraId="27AD70CF">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C</w:t>
      </w:r>
      <w:r>
        <w:rPr>
          <w:rFonts w:ascii="黑体" w:hAnsi="黑体" w:eastAsia="黑体" w:cs="黑体"/>
          <w:szCs w:val="21"/>
          <w:highlight w:val="none"/>
          <w:vertAlign w:val="subscript"/>
        </w:rPr>
        <w:t>2t</w:t>
      </w:r>
      <w:r>
        <w:rPr>
          <w:rFonts w:hint="eastAsia" w:ascii="黑体" w:hAnsi="黑体" w:eastAsia="黑体" w:cs="黑体"/>
          <w:szCs w:val="21"/>
          <w:highlight w:val="none"/>
        </w:rPr>
        <w:t>——</w:t>
      </w:r>
      <w:r>
        <w:rPr>
          <w:rFonts w:hint="eastAsia" w:ascii="黑体" w:hAnsi="黑体" w:eastAsia="黑体" w:cs="黑体"/>
          <w:i/>
          <w:szCs w:val="21"/>
          <w:highlight w:val="none"/>
        </w:rPr>
        <w:t>t</w:t>
      </w:r>
      <w:r>
        <w:rPr>
          <w:rFonts w:hint="eastAsia" w:ascii="黑体" w:hAnsi="黑体" w:eastAsia="黑体" w:cs="黑体"/>
          <w:szCs w:val="21"/>
          <w:highlight w:val="none"/>
        </w:rPr>
        <w:t>时刻气体在氮气扩散室中的体积浓度，用百分数表示；</w:t>
      </w:r>
    </w:p>
    <w:p w14:paraId="6BA2112B">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A</w:t>
      </w:r>
      <w:r>
        <w:rPr>
          <w:rFonts w:hint="eastAsia" w:ascii="黑体" w:hAnsi="黑体" w:eastAsia="黑体" w:cs="黑体"/>
          <w:szCs w:val="21"/>
          <w:highlight w:val="none"/>
        </w:rPr>
        <w:t>——覆盖阻隔材料的横截面积，单位为m</w:t>
      </w:r>
      <w:r>
        <w:rPr>
          <w:rFonts w:ascii="黑体" w:hAnsi="黑体" w:eastAsia="黑体" w:cs="黑体"/>
          <w:szCs w:val="21"/>
          <w:highlight w:val="none"/>
          <w:vertAlign w:val="superscript"/>
        </w:rPr>
        <w:t>2</w:t>
      </w:r>
      <w:r>
        <w:rPr>
          <w:rFonts w:hint="eastAsia" w:ascii="黑体" w:hAnsi="黑体" w:eastAsia="黑体" w:cs="黑体"/>
          <w:szCs w:val="21"/>
          <w:highlight w:val="none"/>
        </w:rPr>
        <w:t>；</w:t>
      </w:r>
    </w:p>
    <w:p w14:paraId="15D6C67E">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V</w:t>
      </w:r>
      <w:r>
        <w:rPr>
          <w:rFonts w:ascii="黑体" w:hAnsi="黑体" w:eastAsia="黑体" w:cs="黑体"/>
          <w:szCs w:val="21"/>
          <w:highlight w:val="none"/>
          <w:vertAlign w:val="subscript"/>
        </w:rPr>
        <w:t>1</w:t>
      </w:r>
      <w:r>
        <w:rPr>
          <w:rFonts w:hint="eastAsia" w:ascii="黑体" w:hAnsi="黑体" w:eastAsia="黑体" w:cs="黑体"/>
          <w:szCs w:val="21"/>
          <w:highlight w:val="none"/>
        </w:rPr>
        <w:t>——气体扩散室的容积，单位为m</w:t>
      </w:r>
      <w:r>
        <w:rPr>
          <w:rFonts w:ascii="黑体" w:hAnsi="黑体" w:eastAsia="黑体" w:cs="黑体"/>
          <w:szCs w:val="21"/>
          <w:highlight w:val="none"/>
          <w:vertAlign w:val="superscript"/>
        </w:rPr>
        <w:t>3</w:t>
      </w:r>
      <w:r>
        <w:rPr>
          <w:rFonts w:hint="eastAsia" w:ascii="黑体" w:hAnsi="黑体" w:eastAsia="黑体" w:cs="黑体"/>
          <w:szCs w:val="21"/>
          <w:highlight w:val="none"/>
        </w:rPr>
        <w:t>；</w:t>
      </w:r>
    </w:p>
    <w:p w14:paraId="4019AD71">
      <w:pPr>
        <w:snapToGrid w:val="0"/>
        <w:spacing w:line="360" w:lineRule="auto"/>
        <w:ind w:firstLine="420" w:firstLineChars="200"/>
        <w:jc w:val="left"/>
        <w:rPr>
          <w:rFonts w:ascii="黑体" w:hAnsi="黑体" w:eastAsia="黑体" w:cs="黑体"/>
          <w:szCs w:val="21"/>
          <w:highlight w:val="none"/>
        </w:rPr>
      </w:pPr>
      <w:r>
        <w:rPr>
          <w:rFonts w:hint="eastAsia" w:ascii="黑体" w:hAnsi="黑体" w:eastAsia="黑体" w:cs="黑体"/>
          <w:i/>
          <w:szCs w:val="21"/>
          <w:highlight w:val="none"/>
        </w:rPr>
        <w:t>V</w:t>
      </w:r>
      <w:r>
        <w:rPr>
          <w:rFonts w:ascii="黑体" w:hAnsi="黑体" w:eastAsia="黑体" w:cs="黑体"/>
          <w:szCs w:val="21"/>
          <w:highlight w:val="none"/>
          <w:vertAlign w:val="subscript"/>
        </w:rPr>
        <w:t>2</w:t>
      </w:r>
      <w:r>
        <w:rPr>
          <w:rFonts w:hint="eastAsia" w:ascii="黑体" w:hAnsi="黑体" w:eastAsia="黑体" w:cs="黑体"/>
          <w:szCs w:val="21"/>
          <w:highlight w:val="none"/>
        </w:rPr>
        <w:t>——氮气扩散室的容积，单位为m</w:t>
      </w:r>
      <w:r>
        <w:rPr>
          <w:rFonts w:ascii="黑体" w:hAnsi="黑体" w:eastAsia="黑体" w:cs="黑体"/>
          <w:szCs w:val="21"/>
          <w:highlight w:val="none"/>
          <w:vertAlign w:val="superscript"/>
        </w:rPr>
        <w:t>3</w:t>
      </w:r>
      <w:r>
        <w:rPr>
          <w:rFonts w:hint="eastAsia" w:ascii="黑体" w:hAnsi="黑体" w:eastAsia="黑体" w:cs="黑体"/>
          <w:szCs w:val="21"/>
          <w:highlight w:val="none"/>
        </w:rPr>
        <w:t>；</w:t>
      </w:r>
    </w:p>
    <w:p w14:paraId="49C60016">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t</w:t>
      </w:r>
      <w:r>
        <w:rPr>
          <w:rFonts w:ascii="黑体" w:hAnsi="黑体" w:eastAsia="黑体" w:cs="黑体"/>
          <w:szCs w:val="21"/>
          <w:highlight w:val="none"/>
          <w:vertAlign w:val="subscript"/>
        </w:rPr>
        <w:t>0</w:t>
      </w:r>
      <w:r>
        <w:rPr>
          <w:rFonts w:hint="eastAsia" w:ascii="黑体" w:hAnsi="黑体" w:eastAsia="黑体" w:cs="黑体"/>
          <w:szCs w:val="21"/>
          <w:highlight w:val="none"/>
        </w:rPr>
        <w:t>——初始时刻，单位为</w:t>
      </w:r>
      <w:r>
        <w:rPr>
          <w:rFonts w:ascii="黑体" w:hAnsi="黑体" w:eastAsia="黑体" w:cs="黑体"/>
          <w:szCs w:val="21"/>
          <w:highlight w:val="none"/>
        </w:rPr>
        <w:t>s</w:t>
      </w:r>
      <w:r>
        <w:rPr>
          <w:rFonts w:hint="eastAsia" w:ascii="黑体" w:hAnsi="黑体" w:eastAsia="黑体" w:cs="黑体"/>
          <w:szCs w:val="21"/>
          <w:highlight w:val="none"/>
        </w:rPr>
        <w:t>；</w:t>
      </w:r>
    </w:p>
    <w:p w14:paraId="0A396BA1">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t</w:t>
      </w:r>
      <w:r>
        <w:rPr>
          <w:rFonts w:hint="eastAsia" w:ascii="黑体" w:hAnsi="黑体" w:eastAsia="黑体" w:cs="黑体"/>
          <w:szCs w:val="21"/>
          <w:highlight w:val="none"/>
        </w:rPr>
        <w:t>——</w:t>
      </w:r>
      <w:r>
        <w:rPr>
          <w:rFonts w:hint="eastAsia" w:ascii="黑体" w:hAnsi="黑体" w:eastAsia="黑体" w:cs="黑体"/>
          <w:i/>
          <w:szCs w:val="21"/>
          <w:highlight w:val="none"/>
        </w:rPr>
        <w:t>t</w:t>
      </w:r>
      <w:r>
        <w:rPr>
          <w:rFonts w:hint="eastAsia" w:ascii="黑体" w:hAnsi="黑体" w:eastAsia="黑体" w:cs="黑体"/>
          <w:szCs w:val="21"/>
          <w:highlight w:val="none"/>
        </w:rPr>
        <w:t>时刻，单位为</w:t>
      </w:r>
      <w:r>
        <w:rPr>
          <w:rFonts w:ascii="黑体" w:hAnsi="黑体" w:eastAsia="黑体" w:cs="黑体"/>
          <w:szCs w:val="21"/>
          <w:highlight w:val="none"/>
        </w:rPr>
        <w:t>s</w:t>
      </w:r>
      <w:r>
        <w:rPr>
          <w:rFonts w:hint="eastAsia" w:ascii="黑体" w:hAnsi="黑体" w:eastAsia="黑体" w:cs="黑体"/>
          <w:szCs w:val="21"/>
          <w:highlight w:val="none"/>
        </w:rPr>
        <w:t>；</w:t>
      </w:r>
    </w:p>
    <w:p w14:paraId="65F2510B">
      <w:pPr>
        <w:snapToGrid w:val="0"/>
        <w:spacing w:line="360" w:lineRule="auto"/>
        <w:ind w:firstLine="420" w:firstLineChars="200"/>
        <w:jc w:val="left"/>
        <w:rPr>
          <w:rFonts w:ascii="黑体" w:hAnsi="黑体" w:eastAsia="黑体" w:cs="黑体"/>
          <w:szCs w:val="21"/>
          <w:highlight w:val="none"/>
        </w:rPr>
      </w:pPr>
      <w:r>
        <w:rPr>
          <w:rFonts w:ascii="黑体" w:hAnsi="黑体" w:eastAsia="黑体" w:cs="黑体"/>
          <w:i/>
          <w:szCs w:val="21"/>
          <w:highlight w:val="none"/>
        </w:rPr>
        <w:t>L</w:t>
      </w:r>
      <w:r>
        <w:rPr>
          <w:rFonts w:hint="eastAsia" w:ascii="黑体" w:hAnsi="黑体" w:eastAsia="黑体" w:cs="黑体"/>
          <w:szCs w:val="21"/>
          <w:highlight w:val="none"/>
        </w:rPr>
        <w:t>——覆盖阻隔材料的长度</w:t>
      </w:r>
      <w:r>
        <w:rPr>
          <w:rFonts w:ascii="黑体" w:hAnsi="黑体" w:eastAsia="黑体" w:cs="黑体"/>
          <w:szCs w:val="21"/>
          <w:highlight w:val="none"/>
        </w:rPr>
        <w:t xml:space="preserve"> </w:t>
      </w:r>
      <w:r>
        <w:rPr>
          <w:rFonts w:hint="eastAsia" w:ascii="黑体" w:hAnsi="黑体" w:eastAsia="黑体" w:cs="黑体"/>
          <w:szCs w:val="21"/>
          <w:highlight w:val="none"/>
        </w:rPr>
        <w:t>，单位为m。</w:t>
      </w:r>
    </w:p>
    <w:p w14:paraId="17A90F16">
      <w:pPr>
        <w:widowControl/>
        <w:jc w:val="left"/>
        <w:rPr>
          <w:rFonts w:ascii="黑体" w:hAnsi="黑体" w:eastAsia="黑体" w:cs="黑体"/>
          <w:szCs w:val="21"/>
          <w:highlight w:val="none"/>
        </w:rPr>
      </w:pPr>
      <w:r>
        <w:rPr>
          <w:rFonts w:ascii="黑体" w:hAnsi="黑体" w:eastAsia="黑体" w:cs="黑体"/>
          <w:szCs w:val="21"/>
          <w:highlight w:val="none"/>
        </w:rPr>
        <w:br w:type="page"/>
      </w:r>
    </w:p>
    <w:p w14:paraId="623BAD18">
      <w:pPr>
        <w:snapToGrid w:val="0"/>
        <w:spacing w:line="360" w:lineRule="auto"/>
        <w:jc w:val="center"/>
        <w:outlineLvl w:val="0"/>
        <w:rPr>
          <w:rFonts w:ascii="黑体" w:hAnsi="黑体" w:eastAsia="黑体" w:cs="黑体"/>
          <w:sz w:val="28"/>
          <w:szCs w:val="28"/>
          <w:highlight w:val="none"/>
        </w:rPr>
      </w:pPr>
      <w:bookmarkStart w:id="103" w:name="_Toc8629"/>
      <w:r>
        <w:rPr>
          <w:rFonts w:hint="eastAsia" w:ascii="黑体" w:hAnsi="黑体" w:eastAsia="黑体" w:cs="黑体"/>
          <w:sz w:val="28"/>
          <w:szCs w:val="28"/>
          <w:highlight w:val="none"/>
        </w:rPr>
        <w:t>附录C  工程效果评估工作记录</w:t>
      </w:r>
      <w:bookmarkEnd w:id="103"/>
    </w:p>
    <w:p w14:paraId="1BD7CD64">
      <w:pPr>
        <w:jc w:val="left"/>
        <w:rPr>
          <w:rFonts w:hint="eastAsia" w:ascii="黑体" w:hAnsi="黑体" w:eastAsia="黑体" w:cs="黑体"/>
          <w:highlight w:val="none"/>
          <w:lang w:val="en-US" w:eastAsia="zh-CN"/>
        </w:rPr>
      </w:pPr>
    </w:p>
    <w:p w14:paraId="6AA2A7C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C.0.1  工程效果评估工作可按表C.0.1进行记录。</w:t>
      </w:r>
    </w:p>
    <w:p w14:paraId="6FDFB5C7">
      <w:pPr>
        <w:snapToGrid w:val="0"/>
        <w:spacing w:line="360" w:lineRule="auto"/>
        <w:jc w:val="center"/>
        <w:rPr>
          <w:rFonts w:ascii="黑体" w:hAnsi="黑体" w:eastAsia="黑体" w:cs="黑体"/>
          <w:b/>
          <w:bCs/>
          <w:szCs w:val="21"/>
          <w:highlight w:val="none"/>
        </w:rPr>
      </w:pPr>
      <w:r>
        <w:rPr>
          <w:rFonts w:hint="eastAsia" w:ascii="黑体" w:hAnsi="黑体" w:eastAsia="黑体" w:cs="黑体"/>
          <w:b/>
          <w:bCs/>
          <w:szCs w:val="21"/>
          <w:highlight w:val="none"/>
        </w:rPr>
        <w:t>表C.0.1</w:t>
      </w:r>
      <w:r>
        <w:rPr>
          <w:rFonts w:ascii="黑体" w:hAnsi="黑体" w:eastAsia="黑体" w:cs="黑体"/>
          <w:b/>
          <w:bCs/>
          <w:szCs w:val="21"/>
          <w:highlight w:val="none"/>
        </w:rPr>
        <w:t xml:space="preserve"> </w:t>
      </w:r>
      <w:r>
        <w:rPr>
          <w:rFonts w:hint="eastAsia" w:ascii="黑体" w:hAnsi="黑体" w:eastAsia="黑体" w:cs="黑体"/>
          <w:b/>
          <w:bCs/>
          <w:szCs w:val="21"/>
          <w:highlight w:val="none"/>
        </w:rPr>
        <w:t>工程效果评估工作记录表</w:t>
      </w:r>
    </w:p>
    <w:tbl>
      <w:tblPr>
        <w:tblStyle w:val="13"/>
        <w:tblW w:w="85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4"/>
        <w:gridCol w:w="1273"/>
        <w:gridCol w:w="428"/>
        <w:gridCol w:w="708"/>
        <w:gridCol w:w="1418"/>
        <w:gridCol w:w="1430"/>
        <w:gridCol w:w="838"/>
        <w:gridCol w:w="523"/>
        <w:gridCol w:w="469"/>
        <w:gridCol w:w="905"/>
      </w:tblGrid>
      <w:tr w14:paraId="7BC882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52" w:type="dxa"/>
            <w:gridSpan w:val="8"/>
            <w:vAlign w:val="center"/>
          </w:tcPr>
          <w:p w14:paraId="7426EB69">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覆盖阻隔工程效果评估工作记录</w:t>
            </w:r>
          </w:p>
        </w:tc>
        <w:tc>
          <w:tcPr>
            <w:tcW w:w="1374" w:type="dxa"/>
            <w:gridSpan w:val="2"/>
          </w:tcPr>
          <w:p w14:paraId="651CFFDE">
            <w:pPr>
              <w:snapToGrid w:val="0"/>
              <w:rPr>
                <w:rFonts w:ascii="黑体" w:hAnsi="黑体" w:eastAsia="黑体" w:cs="黑体"/>
                <w:bCs/>
                <w:sz w:val="18"/>
                <w:szCs w:val="18"/>
                <w:highlight w:val="none"/>
              </w:rPr>
            </w:pPr>
            <w:r>
              <w:rPr>
                <w:rFonts w:hint="eastAsia" w:ascii="黑体" w:hAnsi="黑体" w:eastAsia="黑体" w:cs="黑体"/>
                <w:bCs/>
                <w:sz w:val="18"/>
                <w:szCs w:val="18"/>
                <w:highlight w:val="none"/>
              </w:rPr>
              <w:t>编号：</w:t>
            </w:r>
          </w:p>
        </w:tc>
      </w:tr>
      <w:tr w14:paraId="244B3B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7" w:type="dxa"/>
            <w:gridSpan w:val="2"/>
          </w:tcPr>
          <w:p w14:paraId="7E1D3F4E">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单位（子单位）</w:t>
            </w:r>
          </w:p>
          <w:p w14:paraId="405100D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工程名称</w:t>
            </w:r>
          </w:p>
        </w:tc>
        <w:tc>
          <w:tcPr>
            <w:tcW w:w="1136" w:type="dxa"/>
            <w:gridSpan w:val="2"/>
          </w:tcPr>
          <w:p w14:paraId="5CC4F811">
            <w:pPr>
              <w:snapToGrid w:val="0"/>
              <w:rPr>
                <w:rFonts w:ascii="黑体" w:hAnsi="黑体" w:eastAsia="黑体" w:cs="黑体"/>
                <w:bCs/>
                <w:sz w:val="18"/>
                <w:szCs w:val="18"/>
                <w:highlight w:val="none"/>
              </w:rPr>
            </w:pPr>
          </w:p>
        </w:tc>
        <w:tc>
          <w:tcPr>
            <w:tcW w:w="1418" w:type="dxa"/>
            <w:vAlign w:val="center"/>
          </w:tcPr>
          <w:p w14:paraId="4C7131CB">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分布（子分布）工程名称</w:t>
            </w:r>
          </w:p>
        </w:tc>
        <w:tc>
          <w:tcPr>
            <w:tcW w:w="1430" w:type="dxa"/>
          </w:tcPr>
          <w:p w14:paraId="7C243375">
            <w:pPr>
              <w:snapToGrid w:val="0"/>
              <w:rPr>
                <w:rFonts w:ascii="黑体" w:hAnsi="黑体" w:eastAsia="黑体" w:cs="黑体"/>
                <w:bCs/>
                <w:sz w:val="18"/>
                <w:szCs w:val="18"/>
                <w:highlight w:val="none"/>
              </w:rPr>
            </w:pPr>
          </w:p>
        </w:tc>
        <w:tc>
          <w:tcPr>
            <w:tcW w:w="1361" w:type="dxa"/>
            <w:gridSpan w:val="2"/>
            <w:vAlign w:val="center"/>
          </w:tcPr>
          <w:p w14:paraId="3451FD5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分项</w:t>
            </w:r>
          </w:p>
          <w:p w14:paraId="39D8AE20">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工程名称</w:t>
            </w:r>
          </w:p>
        </w:tc>
        <w:tc>
          <w:tcPr>
            <w:tcW w:w="1374" w:type="dxa"/>
            <w:gridSpan w:val="2"/>
          </w:tcPr>
          <w:p w14:paraId="01773B5C">
            <w:pPr>
              <w:snapToGrid w:val="0"/>
              <w:rPr>
                <w:rFonts w:ascii="黑体" w:hAnsi="黑体" w:eastAsia="黑体" w:cs="黑体"/>
                <w:bCs/>
                <w:sz w:val="18"/>
                <w:szCs w:val="18"/>
                <w:highlight w:val="none"/>
              </w:rPr>
            </w:pPr>
          </w:p>
        </w:tc>
      </w:tr>
      <w:tr w14:paraId="5F5C8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7" w:type="dxa"/>
            <w:gridSpan w:val="2"/>
            <w:vAlign w:val="center"/>
          </w:tcPr>
          <w:p w14:paraId="4D6D0AA1">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施工单位</w:t>
            </w:r>
          </w:p>
        </w:tc>
        <w:tc>
          <w:tcPr>
            <w:tcW w:w="2554" w:type="dxa"/>
            <w:gridSpan w:val="3"/>
          </w:tcPr>
          <w:p w14:paraId="2E935165">
            <w:pPr>
              <w:snapToGrid w:val="0"/>
              <w:rPr>
                <w:rFonts w:ascii="黑体" w:hAnsi="黑体" w:eastAsia="黑体" w:cs="黑体"/>
                <w:bCs/>
                <w:sz w:val="18"/>
                <w:szCs w:val="18"/>
                <w:highlight w:val="none"/>
              </w:rPr>
            </w:pPr>
          </w:p>
        </w:tc>
        <w:tc>
          <w:tcPr>
            <w:tcW w:w="1430" w:type="dxa"/>
          </w:tcPr>
          <w:p w14:paraId="025A0110">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项目负责人</w:t>
            </w:r>
          </w:p>
        </w:tc>
        <w:tc>
          <w:tcPr>
            <w:tcW w:w="2735" w:type="dxa"/>
            <w:gridSpan w:val="4"/>
            <w:vAlign w:val="center"/>
          </w:tcPr>
          <w:p w14:paraId="5C839477">
            <w:pPr>
              <w:snapToGrid w:val="0"/>
              <w:rPr>
                <w:rFonts w:ascii="黑体" w:hAnsi="黑体" w:eastAsia="黑体" w:cs="黑体"/>
                <w:bCs/>
                <w:sz w:val="18"/>
                <w:szCs w:val="18"/>
                <w:highlight w:val="none"/>
              </w:rPr>
            </w:pPr>
          </w:p>
        </w:tc>
      </w:tr>
      <w:tr w14:paraId="76FCC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7" w:type="dxa"/>
            <w:gridSpan w:val="2"/>
            <w:vAlign w:val="center"/>
          </w:tcPr>
          <w:p w14:paraId="4F6C660A">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抽检点位</w:t>
            </w:r>
          </w:p>
        </w:tc>
        <w:tc>
          <w:tcPr>
            <w:tcW w:w="2554" w:type="dxa"/>
            <w:gridSpan w:val="3"/>
          </w:tcPr>
          <w:p w14:paraId="6BC59F65">
            <w:pPr>
              <w:snapToGrid w:val="0"/>
              <w:rPr>
                <w:rFonts w:ascii="黑体" w:hAnsi="黑体" w:eastAsia="黑体" w:cs="黑体"/>
                <w:bCs/>
                <w:sz w:val="18"/>
                <w:szCs w:val="18"/>
                <w:highlight w:val="none"/>
              </w:rPr>
            </w:pPr>
          </w:p>
        </w:tc>
        <w:tc>
          <w:tcPr>
            <w:tcW w:w="1430" w:type="dxa"/>
          </w:tcPr>
          <w:p w14:paraId="61B3692D">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抽检批容量</w:t>
            </w:r>
          </w:p>
        </w:tc>
        <w:tc>
          <w:tcPr>
            <w:tcW w:w="2735" w:type="dxa"/>
            <w:gridSpan w:val="4"/>
            <w:vAlign w:val="center"/>
          </w:tcPr>
          <w:p w14:paraId="51CE9875">
            <w:pPr>
              <w:snapToGrid w:val="0"/>
              <w:rPr>
                <w:rFonts w:ascii="黑体" w:hAnsi="黑体" w:eastAsia="黑体" w:cs="黑体"/>
                <w:bCs/>
                <w:sz w:val="18"/>
                <w:szCs w:val="18"/>
                <w:highlight w:val="none"/>
              </w:rPr>
            </w:pPr>
          </w:p>
        </w:tc>
      </w:tr>
      <w:tr w14:paraId="6D70D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7" w:type="dxa"/>
            <w:gridSpan w:val="2"/>
          </w:tcPr>
          <w:p w14:paraId="23C4BCFA">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施工依据</w:t>
            </w:r>
          </w:p>
        </w:tc>
        <w:tc>
          <w:tcPr>
            <w:tcW w:w="2554" w:type="dxa"/>
            <w:gridSpan w:val="3"/>
          </w:tcPr>
          <w:p w14:paraId="3FEC4AFE">
            <w:pPr>
              <w:snapToGrid w:val="0"/>
              <w:jc w:val="center"/>
              <w:rPr>
                <w:rFonts w:ascii="黑体" w:hAnsi="黑体" w:eastAsia="黑体" w:cs="黑体"/>
                <w:bCs/>
                <w:sz w:val="18"/>
                <w:szCs w:val="18"/>
                <w:highlight w:val="none"/>
              </w:rPr>
            </w:pPr>
          </w:p>
        </w:tc>
        <w:tc>
          <w:tcPr>
            <w:tcW w:w="1430" w:type="dxa"/>
          </w:tcPr>
          <w:p w14:paraId="384C03BC">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评估依据</w:t>
            </w:r>
          </w:p>
        </w:tc>
        <w:tc>
          <w:tcPr>
            <w:tcW w:w="2735" w:type="dxa"/>
            <w:gridSpan w:val="4"/>
          </w:tcPr>
          <w:p w14:paraId="4BAEE2FA">
            <w:pPr>
              <w:snapToGrid w:val="0"/>
              <w:rPr>
                <w:rFonts w:ascii="黑体" w:hAnsi="黑体" w:eastAsia="黑体" w:cs="黑体"/>
                <w:bCs/>
                <w:sz w:val="18"/>
                <w:szCs w:val="18"/>
                <w:highlight w:val="none"/>
              </w:rPr>
            </w:pPr>
          </w:p>
        </w:tc>
      </w:tr>
      <w:tr w14:paraId="19C53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7" w:type="dxa"/>
            <w:gridSpan w:val="2"/>
          </w:tcPr>
          <w:p w14:paraId="193C410C">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取样方法</w:t>
            </w:r>
          </w:p>
        </w:tc>
        <w:tc>
          <w:tcPr>
            <w:tcW w:w="6719" w:type="dxa"/>
            <w:gridSpan w:val="8"/>
          </w:tcPr>
          <w:p w14:paraId="4F5F7266">
            <w:pPr>
              <w:snapToGrid w:val="0"/>
              <w:rPr>
                <w:rFonts w:ascii="黑体" w:hAnsi="黑体" w:eastAsia="黑体" w:cs="黑体"/>
                <w:bCs/>
                <w:sz w:val="18"/>
                <w:szCs w:val="18"/>
                <w:highlight w:val="none"/>
              </w:rPr>
            </w:pPr>
          </w:p>
        </w:tc>
      </w:tr>
      <w:tr w14:paraId="2D4D2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gridSpan w:val="3"/>
            <w:vAlign w:val="center"/>
          </w:tcPr>
          <w:p w14:paraId="4E63C32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项目</w:t>
            </w:r>
          </w:p>
        </w:tc>
        <w:tc>
          <w:tcPr>
            <w:tcW w:w="2126" w:type="dxa"/>
            <w:gridSpan w:val="2"/>
          </w:tcPr>
          <w:p w14:paraId="44ADAE78">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允许偏差及</w:t>
            </w:r>
          </w:p>
          <w:p w14:paraId="38728284">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控制要求</w:t>
            </w:r>
          </w:p>
        </w:tc>
        <w:tc>
          <w:tcPr>
            <w:tcW w:w="1430" w:type="dxa"/>
          </w:tcPr>
          <w:p w14:paraId="1609BB43">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最小/实际抽检数量</w:t>
            </w:r>
          </w:p>
        </w:tc>
        <w:tc>
          <w:tcPr>
            <w:tcW w:w="838" w:type="dxa"/>
          </w:tcPr>
          <w:p w14:paraId="4FB4B240">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评估</w:t>
            </w:r>
          </w:p>
          <w:p w14:paraId="7A898CF6">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方法</w:t>
            </w:r>
          </w:p>
        </w:tc>
        <w:tc>
          <w:tcPr>
            <w:tcW w:w="992" w:type="dxa"/>
            <w:gridSpan w:val="2"/>
          </w:tcPr>
          <w:p w14:paraId="76716952">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检测</w:t>
            </w:r>
          </w:p>
          <w:p w14:paraId="2B51C4B2">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记录</w:t>
            </w:r>
          </w:p>
        </w:tc>
        <w:tc>
          <w:tcPr>
            <w:tcW w:w="905" w:type="dxa"/>
          </w:tcPr>
          <w:p w14:paraId="4709201F">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检测</w:t>
            </w:r>
          </w:p>
          <w:p w14:paraId="2259B51E">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评估</w:t>
            </w:r>
          </w:p>
        </w:tc>
      </w:tr>
      <w:tr w14:paraId="6541A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534" w:type="dxa"/>
            <w:vAlign w:val="center"/>
          </w:tcPr>
          <w:p w14:paraId="291D8057">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1</w:t>
            </w:r>
          </w:p>
        </w:tc>
        <w:tc>
          <w:tcPr>
            <w:tcW w:w="1701" w:type="dxa"/>
            <w:gridSpan w:val="2"/>
            <w:vAlign w:val="center"/>
          </w:tcPr>
          <w:p w14:paraId="0BB951F9">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屏障厚度</w:t>
            </w:r>
          </w:p>
        </w:tc>
        <w:tc>
          <w:tcPr>
            <w:tcW w:w="2126" w:type="dxa"/>
            <w:gridSpan w:val="2"/>
          </w:tcPr>
          <w:p w14:paraId="47D57545">
            <w:pPr>
              <w:snapToGrid w:val="0"/>
              <w:jc w:val="center"/>
              <w:rPr>
                <w:rFonts w:ascii="黑体" w:hAnsi="黑体" w:eastAsia="黑体" w:cs="黑体"/>
                <w:bCs/>
                <w:sz w:val="18"/>
                <w:szCs w:val="18"/>
                <w:highlight w:val="none"/>
              </w:rPr>
            </w:pPr>
          </w:p>
        </w:tc>
        <w:tc>
          <w:tcPr>
            <w:tcW w:w="1430" w:type="dxa"/>
          </w:tcPr>
          <w:p w14:paraId="4747B50F">
            <w:pPr>
              <w:snapToGrid w:val="0"/>
              <w:jc w:val="center"/>
              <w:rPr>
                <w:rFonts w:ascii="黑体" w:hAnsi="黑体" w:eastAsia="黑体" w:cs="黑体"/>
                <w:bCs/>
                <w:sz w:val="18"/>
                <w:szCs w:val="18"/>
                <w:highlight w:val="none"/>
              </w:rPr>
            </w:pPr>
          </w:p>
        </w:tc>
        <w:tc>
          <w:tcPr>
            <w:tcW w:w="838" w:type="dxa"/>
          </w:tcPr>
          <w:p w14:paraId="445EF78F">
            <w:pPr>
              <w:snapToGrid w:val="0"/>
              <w:jc w:val="center"/>
              <w:rPr>
                <w:rFonts w:ascii="黑体" w:hAnsi="黑体" w:eastAsia="黑体" w:cs="黑体"/>
                <w:bCs/>
                <w:sz w:val="18"/>
                <w:szCs w:val="18"/>
                <w:highlight w:val="none"/>
              </w:rPr>
            </w:pPr>
          </w:p>
        </w:tc>
        <w:tc>
          <w:tcPr>
            <w:tcW w:w="992" w:type="dxa"/>
            <w:gridSpan w:val="2"/>
          </w:tcPr>
          <w:p w14:paraId="2AD4281B">
            <w:pPr>
              <w:snapToGrid w:val="0"/>
              <w:jc w:val="center"/>
              <w:rPr>
                <w:rFonts w:ascii="黑体" w:hAnsi="黑体" w:eastAsia="黑体" w:cs="黑体"/>
                <w:bCs/>
                <w:sz w:val="18"/>
                <w:szCs w:val="18"/>
                <w:highlight w:val="none"/>
              </w:rPr>
            </w:pPr>
          </w:p>
        </w:tc>
        <w:tc>
          <w:tcPr>
            <w:tcW w:w="905" w:type="dxa"/>
          </w:tcPr>
          <w:p w14:paraId="6EE02494">
            <w:pPr>
              <w:snapToGrid w:val="0"/>
              <w:jc w:val="center"/>
              <w:rPr>
                <w:rFonts w:ascii="黑体" w:hAnsi="黑体" w:eastAsia="黑体" w:cs="黑体"/>
                <w:bCs/>
                <w:sz w:val="18"/>
                <w:szCs w:val="18"/>
                <w:highlight w:val="none"/>
              </w:rPr>
            </w:pPr>
          </w:p>
        </w:tc>
      </w:tr>
      <w:tr w14:paraId="49192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trPr>
        <w:tc>
          <w:tcPr>
            <w:tcW w:w="534" w:type="dxa"/>
            <w:vAlign w:val="center"/>
          </w:tcPr>
          <w:p w14:paraId="603EC51C">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2</w:t>
            </w:r>
          </w:p>
        </w:tc>
        <w:tc>
          <w:tcPr>
            <w:tcW w:w="1701" w:type="dxa"/>
            <w:gridSpan w:val="2"/>
            <w:vAlign w:val="center"/>
          </w:tcPr>
          <w:p w14:paraId="75437C99">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压实黏土压实度</w:t>
            </w:r>
          </w:p>
        </w:tc>
        <w:tc>
          <w:tcPr>
            <w:tcW w:w="2126" w:type="dxa"/>
            <w:gridSpan w:val="2"/>
          </w:tcPr>
          <w:p w14:paraId="4C81CAF1">
            <w:pPr>
              <w:snapToGrid w:val="0"/>
              <w:jc w:val="center"/>
              <w:rPr>
                <w:rFonts w:ascii="黑体" w:hAnsi="黑体" w:eastAsia="黑体" w:cs="黑体"/>
                <w:bCs/>
                <w:sz w:val="18"/>
                <w:szCs w:val="18"/>
                <w:highlight w:val="none"/>
              </w:rPr>
            </w:pPr>
          </w:p>
        </w:tc>
        <w:tc>
          <w:tcPr>
            <w:tcW w:w="1430" w:type="dxa"/>
          </w:tcPr>
          <w:p w14:paraId="01330A31">
            <w:pPr>
              <w:snapToGrid w:val="0"/>
              <w:jc w:val="center"/>
              <w:rPr>
                <w:rFonts w:ascii="黑体" w:hAnsi="黑体" w:eastAsia="黑体" w:cs="黑体"/>
                <w:bCs/>
                <w:sz w:val="18"/>
                <w:szCs w:val="18"/>
                <w:highlight w:val="none"/>
              </w:rPr>
            </w:pPr>
          </w:p>
        </w:tc>
        <w:tc>
          <w:tcPr>
            <w:tcW w:w="838" w:type="dxa"/>
          </w:tcPr>
          <w:p w14:paraId="48029298">
            <w:pPr>
              <w:snapToGrid w:val="0"/>
              <w:jc w:val="center"/>
              <w:rPr>
                <w:rFonts w:ascii="黑体" w:hAnsi="黑体" w:eastAsia="黑体" w:cs="黑体"/>
                <w:bCs/>
                <w:sz w:val="18"/>
                <w:szCs w:val="18"/>
                <w:highlight w:val="none"/>
              </w:rPr>
            </w:pPr>
          </w:p>
        </w:tc>
        <w:tc>
          <w:tcPr>
            <w:tcW w:w="992" w:type="dxa"/>
            <w:gridSpan w:val="2"/>
          </w:tcPr>
          <w:p w14:paraId="53B7DB42">
            <w:pPr>
              <w:snapToGrid w:val="0"/>
              <w:jc w:val="center"/>
              <w:rPr>
                <w:rFonts w:ascii="黑体" w:hAnsi="黑体" w:eastAsia="黑体" w:cs="黑体"/>
                <w:bCs/>
                <w:sz w:val="18"/>
                <w:szCs w:val="18"/>
                <w:highlight w:val="none"/>
              </w:rPr>
            </w:pPr>
          </w:p>
        </w:tc>
        <w:tc>
          <w:tcPr>
            <w:tcW w:w="905" w:type="dxa"/>
          </w:tcPr>
          <w:p w14:paraId="393381BB">
            <w:pPr>
              <w:snapToGrid w:val="0"/>
              <w:jc w:val="center"/>
              <w:rPr>
                <w:rFonts w:ascii="黑体" w:hAnsi="黑体" w:eastAsia="黑体" w:cs="黑体"/>
                <w:bCs/>
                <w:sz w:val="18"/>
                <w:szCs w:val="18"/>
                <w:highlight w:val="none"/>
              </w:rPr>
            </w:pPr>
          </w:p>
        </w:tc>
      </w:tr>
      <w:tr w14:paraId="24A456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center"/>
          </w:tcPr>
          <w:p w14:paraId="0D750A56">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3</w:t>
            </w:r>
          </w:p>
        </w:tc>
        <w:tc>
          <w:tcPr>
            <w:tcW w:w="1701" w:type="dxa"/>
            <w:gridSpan w:val="2"/>
            <w:vAlign w:val="center"/>
          </w:tcPr>
          <w:p w14:paraId="11E2C2BC">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压实黏土</w:t>
            </w:r>
          </w:p>
          <w:p w14:paraId="1EB583A4">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无侧限抗压强度</w:t>
            </w:r>
          </w:p>
        </w:tc>
        <w:tc>
          <w:tcPr>
            <w:tcW w:w="2126" w:type="dxa"/>
            <w:gridSpan w:val="2"/>
          </w:tcPr>
          <w:p w14:paraId="07C14E93">
            <w:pPr>
              <w:snapToGrid w:val="0"/>
              <w:jc w:val="center"/>
              <w:rPr>
                <w:rFonts w:ascii="黑体" w:hAnsi="黑体" w:eastAsia="黑体" w:cs="黑体"/>
                <w:bCs/>
                <w:sz w:val="18"/>
                <w:szCs w:val="18"/>
                <w:highlight w:val="none"/>
              </w:rPr>
            </w:pPr>
          </w:p>
        </w:tc>
        <w:tc>
          <w:tcPr>
            <w:tcW w:w="1430" w:type="dxa"/>
          </w:tcPr>
          <w:p w14:paraId="509D0D18">
            <w:pPr>
              <w:snapToGrid w:val="0"/>
              <w:jc w:val="center"/>
              <w:rPr>
                <w:rFonts w:ascii="黑体" w:hAnsi="黑体" w:eastAsia="黑体" w:cs="黑体"/>
                <w:bCs/>
                <w:sz w:val="18"/>
                <w:szCs w:val="18"/>
                <w:highlight w:val="none"/>
              </w:rPr>
            </w:pPr>
          </w:p>
        </w:tc>
        <w:tc>
          <w:tcPr>
            <w:tcW w:w="838" w:type="dxa"/>
          </w:tcPr>
          <w:p w14:paraId="5B2F5E84">
            <w:pPr>
              <w:snapToGrid w:val="0"/>
              <w:jc w:val="center"/>
              <w:rPr>
                <w:rFonts w:ascii="黑体" w:hAnsi="黑体" w:eastAsia="黑体" w:cs="黑体"/>
                <w:bCs/>
                <w:sz w:val="18"/>
                <w:szCs w:val="18"/>
                <w:highlight w:val="none"/>
              </w:rPr>
            </w:pPr>
          </w:p>
        </w:tc>
        <w:tc>
          <w:tcPr>
            <w:tcW w:w="992" w:type="dxa"/>
            <w:gridSpan w:val="2"/>
          </w:tcPr>
          <w:p w14:paraId="69297F0C">
            <w:pPr>
              <w:snapToGrid w:val="0"/>
              <w:jc w:val="center"/>
              <w:rPr>
                <w:rFonts w:ascii="黑体" w:hAnsi="黑体" w:eastAsia="黑体" w:cs="黑体"/>
                <w:bCs/>
                <w:sz w:val="18"/>
                <w:szCs w:val="18"/>
                <w:highlight w:val="none"/>
              </w:rPr>
            </w:pPr>
          </w:p>
        </w:tc>
        <w:tc>
          <w:tcPr>
            <w:tcW w:w="905" w:type="dxa"/>
          </w:tcPr>
          <w:p w14:paraId="08D215BB">
            <w:pPr>
              <w:snapToGrid w:val="0"/>
              <w:jc w:val="center"/>
              <w:rPr>
                <w:rFonts w:ascii="黑体" w:hAnsi="黑体" w:eastAsia="黑体" w:cs="黑体"/>
                <w:bCs/>
                <w:sz w:val="18"/>
                <w:szCs w:val="18"/>
                <w:highlight w:val="none"/>
              </w:rPr>
            </w:pPr>
          </w:p>
        </w:tc>
      </w:tr>
      <w:tr w14:paraId="53BF5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center"/>
          </w:tcPr>
          <w:p w14:paraId="0F92F639">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4</w:t>
            </w:r>
          </w:p>
        </w:tc>
        <w:tc>
          <w:tcPr>
            <w:tcW w:w="1701" w:type="dxa"/>
            <w:gridSpan w:val="2"/>
            <w:vAlign w:val="center"/>
          </w:tcPr>
          <w:p w14:paraId="517BEBFA">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土工膜及搭接处</w:t>
            </w:r>
          </w:p>
          <w:p w14:paraId="367FC68B">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完整性</w:t>
            </w:r>
          </w:p>
        </w:tc>
        <w:tc>
          <w:tcPr>
            <w:tcW w:w="2126" w:type="dxa"/>
            <w:gridSpan w:val="2"/>
          </w:tcPr>
          <w:p w14:paraId="051C422E">
            <w:pPr>
              <w:snapToGrid w:val="0"/>
              <w:jc w:val="center"/>
              <w:rPr>
                <w:rFonts w:ascii="黑体" w:hAnsi="黑体" w:eastAsia="黑体" w:cs="黑体"/>
                <w:bCs/>
                <w:sz w:val="18"/>
                <w:szCs w:val="18"/>
                <w:highlight w:val="none"/>
              </w:rPr>
            </w:pPr>
          </w:p>
        </w:tc>
        <w:tc>
          <w:tcPr>
            <w:tcW w:w="1430" w:type="dxa"/>
          </w:tcPr>
          <w:p w14:paraId="2C7BE415">
            <w:pPr>
              <w:snapToGrid w:val="0"/>
              <w:jc w:val="center"/>
              <w:rPr>
                <w:rFonts w:ascii="黑体" w:hAnsi="黑体" w:eastAsia="黑体" w:cs="黑体"/>
                <w:bCs/>
                <w:sz w:val="18"/>
                <w:szCs w:val="18"/>
                <w:highlight w:val="none"/>
              </w:rPr>
            </w:pPr>
          </w:p>
        </w:tc>
        <w:tc>
          <w:tcPr>
            <w:tcW w:w="838" w:type="dxa"/>
          </w:tcPr>
          <w:p w14:paraId="405F7530">
            <w:pPr>
              <w:snapToGrid w:val="0"/>
              <w:jc w:val="center"/>
              <w:rPr>
                <w:rFonts w:ascii="黑体" w:hAnsi="黑体" w:eastAsia="黑体" w:cs="黑体"/>
                <w:bCs/>
                <w:sz w:val="18"/>
                <w:szCs w:val="18"/>
                <w:highlight w:val="none"/>
              </w:rPr>
            </w:pPr>
          </w:p>
        </w:tc>
        <w:tc>
          <w:tcPr>
            <w:tcW w:w="992" w:type="dxa"/>
            <w:gridSpan w:val="2"/>
          </w:tcPr>
          <w:p w14:paraId="7537FC2B">
            <w:pPr>
              <w:snapToGrid w:val="0"/>
              <w:jc w:val="center"/>
              <w:rPr>
                <w:rFonts w:ascii="黑体" w:hAnsi="黑体" w:eastAsia="黑体" w:cs="黑体"/>
                <w:bCs/>
                <w:sz w:val="18"/>
                <w:szCs w:val="18"/>
                <w:highlight w:val="none"/>
              </w:rPr>
            </w:pPr>
          </w:p>
        </w:tc>
        <w:tc>
          <w:tcPr>
            <w:tcW w:w="905" w:type="dxa"/>
          </w:tcPr>
          <w:p w14:paraId="2DCF1713">
            <w:pPr>
              <w:snapToGrid w:val="0"/>
              <w:jc w:val="center"/>
              <w:rPr>
                <w:rFonts w:ascii="黑体" w:hAnsi="黑体" w:eastAsia="黑体" w:cs="黑体"/>
                <w:bCs/>
                <w:sz w:val="18"/>
                <w:szCs w:val="18"/>
                <w:highlight w:val="none"/>
              </w:rPr>
            </w:pPr>
          </w:p>
        </w:tc>
      </w:tr>
      <w:tr w14:paraId="0224A3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Align w:val="center"/>
          </w:tcPr>
          <w:p w14:paraId="2802007F">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5</w:t>
            </w:r>
          </w:p>
        </w:tc>
        <w:tc>
          <w:tcPr>
            <w:tcW w:w="1701" w:type="dxa"/>
            <w:gridSpan w:val="2"/>
            <w:vAlign w:val="center"/>
          </w:tcPr>
          <w:p w14:paraId="05D82837">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膨润土防水毯</w:t>
            </w:r>
          </w:p>
          <w:p w14:paraId="22E52B7F">
            <w:pPr>
              <w:snapToGrid w:val="0"/>
              <w:jc w:val="center"/>
              <w:rPr>
                <w:rFonts w:ascii="黑体" w:hAnsi="黑体" w:eastAsia="黑体" w:cs="黑体"/>
                <w:sz w:val="18"/>
                <w:szCs w:val="18"/>
                <w:highlight w:val="none"/>
              </w:rPr>
            </w:pPr>
            <w:r>
              <w:rPr>
                <w:rFonts w:hint="eastAsia" w:ascii="黑体" w:hAnsi="黑体" w:eastAsia="黑体" w:cs="黑体"/>
                <w:sz w:val="18"/>
                <w:szCs w:val="18"/>
                <w:highlight w:val="none"/>
              </w:rPr>
              <w:t>搭接处完整性</w:t>
            </w:r>
          </w:p>
        </w:tc>
        <w:tc>
          <w:tcPr>
            <w:tcW w:w="2126" w:type="dxa"/>
            <w:gridSpan w:val="2"/>
          </w:tcPr>
          <w:p w14:paraId="55F3B8CE">
            <w:pPr>
              <w:snapToGrid w:val="0"/>
              <w:jc w:val="center"/>
              <w:rPr>
                <w:rFonts w:ascii="黑体" w:hAnsi="黑体" w:eastAsia="黑体" w:cs="黑体"/>
                <w:bCs/>
                <w:sz w:val="18"/>
                <w:szCs w:val="18"/>
                <w:highlight w:val="none"/>
              </w:rPr>
            </w:pPr>
          </w:p>
        </w:tc>
        <w:tc>
          <w:tcPr>
            <w:tcW w:w="1430" w:type="dxa"/>
          </w:tcPr>
          <w:p w14:paraId="7BA9D1FE">
            <w:pPr>
              <w:snapToGrid w:val="0"/>
              <w:jc w:val="center"/>
              <w:rPr>
                <w:rFonts w:ascii="黑体" w:hAnsi="黑体" w:eastAsia="黑体" w:cs="黑体"/>
                <w:bCs/>
                <w:sz w:val="18"/>
                <w:szCs w:val="18"/>
                <w:highlight w:val="none"/>
              </w:rPr>
            </w:pPr>
          </w:p>
        </w:tc>
        <w:tc>
          <w:tcPr>
            <w:tcW w:w="838" w:type="dxa"/>
          </w:tcPr>
          <w:p w14:paraId="1048E8FD">
            <w:pPr>
              <w:snapToGrid w:val="0"/>
              <w:jc w:val="center"/>
              <w:rPr>
                <w:rFonts w:ascii="黑体" w:hAnsi="黑体" w:eastAsia="黑体" w:cs="黑体"/>
                <w:bCs/>
                <w:sz w:val="18"/>
                <w:szCs w:val="18"/>
                <w:highlight w:val="none"/>
              </w:rPr>
            </w:pPr>
          </w:p>
        </w:tc>
        <w:tc>
          <w:tcPr>
            <w:tcW w:w="992" w:type="dxa"/>
            <w:gridSpan w:val="2"/>
          </w:tcPr>
          <w:p w14:paraId="0386C73B">
            <w:pPr>
              <w:snapToGrid w:val="0"/>
              <w:jc w:val="center"/>
              <w:rPr>
                <w:rFonts w:ascii="黑体" w:hAnsi="黑体" w:eastAsia="黑体" w:cs="黑体"/>
                <w:bCs/>
                <w:sz w:val="18"/>
                <w:szCs w:val="18"/>
                <w:highlight w:val="none"/>
              </w:rPr>
            </w:pPr>
          </w:p>
        </w:tc>
        <w:tc>
          <w:tcPr>
            <w:tcW w:w="905" w:type="dxa"/>
          </w:tcPr>
          <w:p w14:paraId="6324D05E">
            <w:pPr>
              <w:snapToGrid w:val="0"/>
              <w:jc w:val="center"/>
              <w:rPr>
                <w:rFonts w:ascii="黑体" w:hAnsi="黑体" w:eastAsia="黑体" w:cs="黑体"/>
                <w:bCs/>
                <w:sz w:val="18"/>
                <w:szCs w:val="18"/>
                <w:highlight w:val="none"/>
              </w:rPr>
            </w:pPr>
          </w:p>
        </w:tc>
      </w:tr>
    </w:tbl>
    <w:p w14:paraId="75DF2952">
      <w:pPr>
        <w:snapToGrid w:val="0"/>
        <w:spacing w:before="156" w:beforeLines="50" w:line="360" w:lineRule="auto"/>
        <w:rPr>
          <w:rFonts w:ascii="黑体" w:hAnsi="黑体" w:eastAsia="黑体" w:cs="黑体"/>
          <w:sz w:val="24"/>
          <w:szCs w:val="24"/>
          <w:highlight w:val="none"/>
        </w:rPr>
      </w:pPr>
      <w:r>
        <w:rPr>
          <w:rFonts w:hint="eastAsia" w:ascii="黑体" w:hAnsi="黑体" w:eastAsia="黑体" w:cs="黑体"/>
          <w:szCs w:val="21"/>
          <w:highlight w:val="none"/>
        </w:rPr>
        <w:t>C.0.2  表C.0.1可适用于施工单位自行检验工作的记录。</w:t>
      </w:r>
    </w:p>
    <w:p w14:paraId="138F47F5">
      <w:pPr>
        <w:snapToGrid w:val="0"/>
        <w:spacing w:line="360" w:lineRule="auto"/>
        <w:ind w:firstLine="480" w:firstLineChars="200"/>
        <w:jc w:val="left"/>
        <w:rPr>
          <w:rFonts w:ascii="黑体" w:hAnsi="黑体" w:eastAsia="黑体" w:cs="黑体"/>
          <w:sz w:val="24"/>
          <w:szCs w:val="24"/>
          <w:highlight w:val="none"/>
        </w:rPr>
      </w:pPr>
    </w:p>
    <w:p w14:paraId="5AAAE27F">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3866B3DC">
      <w:pPr>
        <w:snapToGrid w:val="0"/>
        <w:spacing w:line="360" w:lineRule="auto"/>
        <w:jc w:val="center"/>
        <w:outlineLvl w:val="0"/>
        <w:rPr>
          <w:rFonts w:ascii="黑体" w:hAnsi="黑体" w:eastAsia="黑体" w:cs="黑体"/>
          <w:sz w:val="28"/>
          <w:szCs w:val="28"/>
          <w:highlight w:val="none"/>
        </w:rPr>
      </w:pPr>
      <w:bookmarkStart w:id="104" w:name="_Toc5072"/>
      <w:r>
        <w:rPr>
          <w:rFonts w:hint="eastAsia" w:ascii="黑体" w:hAnsi="黑体" w:eastAsia="黑体" w:cs="黑体"/>
          <w:sz w:val="28"/>
          <w:szCs w:val="28"/>
          <w:highlight w:val="none"/>
        </w:rPr>
        <w:t>附录D  工程效果评估报告</w:t>
      </w:r>
      <w:bookmarkEnd w:id="104"/>
    </w:p>
    <w:p w14:paraId="55659B7B">
      <w:pPr>
        <w:jc w:val="left"/>
        <w:rPr>
          <w:rFonts w:hint="eastAsia" w:ascii="黑体" w:hAnsi="黑体" w:eastAsia="黑体" w:cs="黑体"/>
          <w:highlight w:val="none"/>
          <w:lang w:val="en-US" w:eastAsia="zh-CN"/>
        </w:rPr>
      </w:pPr>
    </w:p>
    <w:p w14:paraId="7AA5AB7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D.0.1  覆盖阻隔工程的工程效果评估报告可包括下列内容：</w:t>
      </w:r>
    </w:p>
    <w:p w14:paraId="7EEC3A3F">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1  项目背景，可简要描述工业有机污染场地基本信息，工业有机污染场地岩土工程勘察及覆盖阻隔工程的时间节点与概况、相关批复情况等。简明列出以下信息：项目名称、项目地址、业主单位、工业有机污染场地岩土工程勘察单位、覆盖阻隔工程设计单位、施工单位、监理单位、监测单位、工程效果评估单位。</w:t>
      </w:r>
    </w:p>
    <w:p w14:paraId="53A05543">
      <w:pPr>
        <w:snapToGrid w:val="0"/>
        <w:spacing w:line="360" w:lineRule="auto"/>
        <w:ind w:firstLine="420" w:firstLineChars="200"/>
        <w:rPr>
          <w:rFonts w:ascii="黑体" w:hAnsi="黑体" w:eastAsia="黑体" w:cs="黑体"/>
          <w:szCs w:val="21"/>
          <w:highlight w:val="none"/>
        </w:rPr>
      </w:pPr>
      <w:bookmarkStart w:id="105" w:name="_Toc21823"/>
      <w:r>
        <w:rPr>
          <w:rFonts w:hint="eastAsia" w:ascii="黑体" w:hAnsi="黑体" w:eastAsia="黑体" w:cs="黑体"/>
          <w:szCs w:val="21"/>
          <w:highlight w:val="none"/>
        </w:rPr>
        <w:t>2  工作依据，可包括法律法规、标准规范、项目文件。</w:t>
      </w:r>
      <w:bookmarkEnd w:id="105"/>
    </w:p>
    <w:p w14:paraId="00813BB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3  场地概况及概念模型，可包括工业有机污染场地岩土工程勘察结论、覆盖阻隔工程设计与施工方案、覆盖阻隔工程施工情况、环境保护措施落实情况等。</w:t>
      </w:r>
    </w:p>
    <w:p w14:paraId="1834BA20">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4  施工质量控制及监测方案，可包括施工质量控制及监测时间、监测周期及频次、布点数量及位置。</w:t>
      </w:r>
    </w:p>
    <w:p w14:paraId="43B693F4">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5  工程效果评估抽检方案，可包括抽检项目、布点数量及位置、抽检数量。</w:t>
      </w:r>
    </w:p>
    <w:p w14:paraId="0DB2D3C6">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6  取样与测试方法，可包括施工质量控制、工程效果评估抽检中所涉及的现场取样、原位测试、室内测试与分析方法。</w:t>
      </w:r>
    </w:p>
    <w:p w14:paraId="7B3D65AA">
      <w:pPr>
        <w:snapToGrid w:val="0"/>
        <w:spacing w:line="360" w:lineRule="auto"/>
        <w:ind w:firstLine="420" w:firstLineChars="200"/>
        <w:rPr>
          <w:rFonts w:ascii="黑体" w:hAnsi="黑体" w:eastAsia="黑体" w:cs="黑体"/>
          <w:szCs w:val="21"/>
          <w:highlight w:val="none"/>
        </w:rPr>
      </w:pPr>
      <w:bookmarkStart w:id="106" w:name="_Toc8830"/>
      <w:r>
        <w:rPr>
          <w:rFonts w:hint="eastAsia" w:ascii="黑体" w:hAnsi="黑体" w:eastAsia="黑体" w:cs="黑体"/>
          <w:szCs w:val="21"/>
          <w:highlight w:val="none"/>
        </w:rPr>
        <w:t>7  工程效果评估，可包括工程效果评估标准、抽检分析结论。</w:t>
      </w:r>
      <w:bookmarkEnd w:id="106"/>
    </w:p>
    <w:p w14:paraId="5BCCDAD9">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8  结论与建议，可包括工程效果评估结论、后期环境与工程管理建议。</w:t>
      </w:r>
    </w:p>
    <w:p w14:paraId="1ABD832D">
      <w:pPr>
        <w:snapToGrid w:val="0"/>
        <w:spacing w:line="360" w:lineRule="auto"/>
        <w:ind w:firstLine="420" w:firstLineChars="200"/>
        <w:rPr>
          <w:rFonts w:ascii="黑体" w:hAnsi="黑体" w:eastAsia="黑体" w:cs="黑体"/>
          <w:szCs w:val="21"/>
          <w:highlight w:val="none"/>
        </w:rPr>
      </w:pPr>
      <w:bookmarkStart w:id="107" w:name="_Toc2458"/>
      <w:r>
        <w:rPr>
          <w:rFonts w:hint="eastAsia" w:ascii="黑体" w:hAnsi="黑体" w:eastAsia="黑体" w:cs="黑体"/>
          <w:szCs w:val="21"/>
          <w:highlight w:val="none"/>
        </w:rPr>
        <w:t>9  附件，可包括以下内容:</w:t>
      </w:r>
      <w:bookmarkEnd w:id="107"/>
    </w:p>
    <w:p w14:paraId="665B6238">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1）场地规划图;</w:t>
      </w:r>
    </w:p>
    <w:p w14:paraId="50807840">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2）覆盖阻隔工程施工图;</w:t>
      </w:r>
    </w:p>
    <w:p w14:paraId="5B05539B">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3）工程地质与水文地质剖面图;</w:t>
      </w:r>
    </w:p>
    <w:p w14:paraId="40BD7B92">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4）钻孔结构图;</w:t>
      </w:r>
    </w:p>
    <w:p w14:paraId="3B2F4126">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5）覆盖阻隔屏障取样记录及照片;</w:t>
      </w:r>
    </w:p>
    <w:p w14:paraId="1C3C6BA7">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6）地下水监测井结构图;</w:t>
      </w:r>
    </w:p>
    <w:p w14:paraId="564A6A91">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7）地下水监测井洗井记录;</w:t>
      </w:r>
    </w:p>
    <w:p w14:paraId="2BAD6074">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8）施工质量控制记录资料:</w:t>
      </w:r>
    </w:p>
    <w:p w14:paraId="7E98E0E2">
      <w:pPr>
        <w:snapToGrid w:val="0"/>
        <w:spacing w:line="360" w:lineRule="auto"/>
        <w:ind w:firstLine="840" w:firstLineChars="400"/>
        <w:rPr>
          <w:rFonts w:ascii="黑体" w:hAnsi="黑体" w:eastAsia="黑体" w:cs="黑体"/>
          <w:szCs w:val="21"/>
          <w:highlight w:val="none"/>
        </w:rPr>
      </w:pPr>
      <w:r>
        <w:rPr>
          <w:rFonts w:hint="eastAsia" w:ascii="黑体" w:hAnsi="黑体" w:eastAsia="黑体" w:cs="黑体"/>
          <w:szCs w:val="21"/>
          <w:highlight w:val="none"/>
        </w:rPr>
        <w:t>9）工程效果评估工作记录资料。</w:t>
      </w:r>
    </w:p>
    <w:p w14:paraId="70A90DFC">
      <w:pPr>
        <w:snapToGrid w:val="0"/>
        <w:spacing w:line="360" w:lineRule="auto"/>
        <w:rPr>
          <w:rFonts w:ascii="黑体" w:hAnsi="黑体" w:eastAsia="黑体" w:cs="黑体"/>
          <w:sz w:val="24"/>
          <w:szCs w:val="24"/>
          <w:highlight w:val="none"/>
        </w:rPr>
      </w:pPr>
      <w:r>
        <w:rPr>
          <w:rFonts w:hint="eastAsia" w:ascii="黑体" w:hAnsi="黑体" w:eastAsia="黑体" w:cs="黑体"/>
          <w:szCs w:val="21"/>
          <w:highlight w:val="none"/>
        </w:rPr>
        <w:t>D.0.2  覆盖阻隔工程的工程效果评估报告应经审查批准。</w:t>
      </w:r>
    </w:p>
    <w:p w14:paraId="652A41AD">
      <w:pPr>
        <w:widowControl/>
        <w:jc w:val="left"/>
        <w:rPr>
          <w:rFonts w:ascii="黑体" w:hAnsi="黑体" w:eastAsia="黑体" w:cs="黑体"/>
          <w:sz w:val="24"/>
          <w:szCs w:val="24"/>
          <w:highlight w:val="none"/>
        </w:rPr>
      </w:pPr>
      <w:r>
        <w:rPr>
          <w:rFonts w:ascii="黑体" w:hAnsi="黑体" w:eastAsia="黑体" w:cs="黑体"/>
          <w:sz w:val="24"/>
          <w:szCs w:val="24"/>
          <w:highlight w:val="none"/>
        </w:rPr>
        <w:br w:type="page"/>
      </w:r>
    </w:p>
    <w:p w14:paraId="745BC1A0">
      <w:pPr>
        <w:snapToGrid w:val="0"/>
        <w:spacing w:line="360" w:lineRule="auto"/>
        <w:jc w:val="center"/>
        <w:outlineLvl w:val="0"/>
        <w:rPr>
          <w:rFonts w:ascii="黑体" w:hAnsi="黑体" w:eastAsia="黑体" w:cs="黑体"/>
          <w:sz w:val="28"/>
          <w:szCs w:val="28"/>
          <w:highlight w:val="none"/>
        </w:rPr>
      </w:pPr>
      <w:bookmarkStart w:id="108" w:name="_Toc10395"/>
      <w:r>
        <w:rPr>
          <w:rFonts w:hint="eastAsia" w:ascii="黑体" w:hAnsi="黑体" w:eastAsia="黑体" w:cs="黑体"/>
          <w:sz w:val="28"/>
          <w:szCs w:val="28"/>
          <w:highlight w:val="none"/>
        </w:rPr>
        <w:t>附录</w:t>
      </w:r>
      <w:r>
        <w:rPr>
          <w:rFonts w:ascii="黑体" w:hAnsi="黑体" w:eastAsia="黑体" w:cs="黑体"/>
          <w:sz w:val="28"/>
          <w:szCs w:val="28"/>
          <w:highlight w:val="none"/>
        </w:rPr>
        <w:t>E</w:t>
      </w:r>
      <w:r>
        <w:rPr>
          <w:rFonts w:hint="eastAsia" w:ascii="黑体" w:hAnsi="黑体" w:eastAsia="黑体" w:cs="黑体"/>
          <w:sz w:val="28"/>
          <w:szCs w:val="28"/>
          <w:highlight w:val="none"/>
        </w:rPr>
        <w:t xml:space="preserve"> </w:t>
      </w:r>
      <w:bookmarkStart w:id="109" w:name="_Hlk171958904"/>
      <w:r>
        <w:rPr>
          <w:rFonts w:hint="eastAsia" w:ascii="黑体" w:hAnsi="黑体" w:eastAsia="黑体" w:cs="黑体"/>
          <w:sz w:val="28"/>
          <w:szCs w:val="28"/>
          <w:highlight w:val="none"/>
        </w:rPr>
        <w:t xml:space="preserve"> 土壤气体监测井</w:t>
      </w:r>
      <w:bookmarkEnd w:id="108"/>
    </w:p>
    <w:bookmarkEnd w:id="109"/>
    <w:p w14:paraId="71026596">
      <w:pPr>
        <w:jc w:val="left"/>
        <w:rPr>
          <w:rFonts w:hint="eastAsia" w:ascii="黑体" w:hAnsi="黑体" w:eastAsia="黑体" w:cs="黑体"/>
          <w:highlight w:val="none"/>
          <w:lang w:val="en-US" w:eastAsia="zh-CN"/>
        </w:rPr>
      </w:pPr>
    </w:p>
    <w:p w14:paraId="56494D70">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E.0.1  土壤气体采样操作流程应符合现行国家标准</w:t>
      </w:r>
      <w:bookmarkStart w:id="110" w:name="OLE_LINK38"/>
      <w:r>
        <w:rPr>
          <w:rFonts w:hint="eastAsia" w:ascii="黑体" w:hAnsi="黑体" w:eastAsia="黑体" w:cs="黑体"/>
          <w:szCs w:val="21"/>
          <w:highlight w:val="none"/>
        </w:rPr>
        <w:t>《土壤质量 土壤气体采样指南》GB/T 36198</w:t>
      </w:r>
      <w:bookmarkEnd w:id="110"/>
      <w:r>
        <w:rPr>
          <w:rFonts w:hint="eastAsia" w:ascii="黑体" w:hAnsi="黑体" w:eastAsia="黑体" w:cs="黑体"/>
          <w:szCs w:val="21"/>
          <w:highlight w:val="none"/>
        </w:rPr>
        <w:t>和现行地方标准《污染场地挥发性有机物调查与风险评估技术导则》</w:t>
      </w:r>
      <w:r>
        <w:rPr>
          <w:rFonts w:ascii="黑体" w:hAnsi="黑体" w:eastAsia="黑体" w:cs="黑体"/>
          <w:szCs w:val="21"/>
          <w:highlight w:val="none"/>
        </w:rPr>
        <w:t>DB11/T 1278</w:t>
      </w:r>
      <w:r>
        <w:rPr>
          <w:rFonts w:hint="eastAsia" w:ascii="黑体" w:hAnsi="黑体" w:eastAsia="黑体" w:cs="黑体"/>
          <w:szCs w:val="21"/>
          <w:highlight w:val="none"/>
        </w:rPr>
        <w:t>的相关规定。</w:t>
      </w:r>
    </w:p>
    <w:p w14:paraId="2BA456B5">
      <w:pPr>
        <w:snapToGrid w:val="0"/>
        <w:spacing w:line="360" w:lineRule="auto"/>
        <w:rPr>
          <w:rFonts w:ascii="黑体" w:hAnsi="黑体" w:eastAsia="黑体" w:cs="黑体"/>
          <w:sz w:val="24"/>
          <w:szCs w:val="24"/>
          <w:highlight w:val="none"/>
        </w:rPr>
      </w:pPr>
      <w:r>
        <w:rPr>
          <w:rFonts w:hint="eastAsia" w:ascii="黑体" w:hAnsi="黑体" w:eastAsia="黑体" w:cs="黑体"/>
          <w:szCs w:val="21"/>
          <w:highlight w:val="none"/>
        </w:rPr>
        <w:t>E.0.</w:t>
      </w:r>
      <w:r>
        <w:rPr>
          <w:rFonts w:ascii="黑体" w:hAnsi="黑体" w:eastAsia="黑体" w:cs="黑体"/>
          <w:szCs w:val="21"/>
          <w:highlight w:val="none"/>
        </w:rPr>
        <w:t>2</w:t>
      </w:r>
      <w:r>
        <w:rPr>
          <w:rFonts w:hint="eastAsia" w:ascii="黑体" w:hAnsi="黑体" w:eastAsia="黑体" w:cs="黑体"/>
          <w:szCs w:val="21"/>
          <w:highlight w:val="none"/>
        </w:rPr>
        <w:t xml:space="preserve">  土壤气体监测井结构如下图所示。</w:t>
      </w:r>
    </w:p>
    <w:p w14:paraId="64F271F4">
      <w:pPr>
        <w:snapToGrid w:val="0"/>
        <w:spacing w:line="360" w:lineRule="auto"/>
        <w:jc w:val="left"/>
        <w:rPr>
          <w:rFonts w:hint="eastAsia" w:ascii="黑体" w:hAnsi="黑体" w:eastAsia="黑体" w:cs="黑体"/>
          <w:highlight w:val="none"/>
        </w:rPr>
      </w:pPr>
      <w:r>
        <w:rPr>
          <w:rFonts w:hint="eastAsia" w:ascii="黑体" w:hAnsi="黑体" w:eastAsia="黑体" w:cs="黑体"/>
          <w:highlight w:val="none"/>
        </w:rPr>
        <w:drawing>
          <wp:inline distT="0" distB="0" distL="114300" distR="114300">
            <wp:extent cx="5272405" cy="3026410"/>
            <wp:effectExtent l="0" t="0" r="4445" b="2540"/>
            <wp:docPr id="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0"/>
                    <pic:cNvPicPr>
                      <a:picLocks noChangeAspect="1"/>
                    </pic:cNvPicPr>
                  </pic:nvPicPr>
                  <pic:blipFill>
                    <a:blip r:embed="rId23"/>
                    <a:stretch>
                      <a:fillRect/>
                    </a:stretch>
                  </pic:blipFill>
                  <pic:spPr>
                    <a:xfrm>
                      <a:off x="0" y="0"/>
                      <a:ext cx="5272405" cy="3026410"/>
                    </a:xfrm>
                    <a:prstGeom prst="rect">
                      <a:avLst/>
                    </a:prstGeom>
                    <a:noFill/>
                    <a:ln>
                      <a:noFill/>
                    </a:ln>
                  </pic:spPr>
                </pic:pic>
              </a:graphicData>
            </a:graphic>
          </wp:inline>
        </w:drawing>
      </w:r>
    </w:p>
    <w:p w14:paraId="3E74F2D2">
      <w:pPr>
        <w:snapToGrid w:val="0"/>
        <w:spacing w:line="360" w:lineRule="auto"/>
        <w:jc w:val="center"/>
        <w:rPr>
          <w:rFonts w:hint="eastAsia" w:ascii="黑体" w:hAnsi="黑体" w:eastAsia="黑体" w:cs="黑体"/>
          <w:b/>
          <w:bCs/>
          <w:sz w:val="18"/>
          <w:szCs w:val="18"/>
          <w:highlight w:val="none"/>
          <w:lang w:val="en-US" w:eastAsia="zh-CN"/>
        </w:rPr>
      </w:pPr>
      <w:r>
        <w:rPr>
          <w:rFonts w:hint="eastAsia" w:ascii="黑体" w:hAnsi="黑体" w:eastAsia="黑体" w:cs="黑体"/>
          <w:b/>
          <w:bCs/>
          <w:sz w:val="18"/>
          <w:szCs w:val="18"/>
          <w:highlight w:val="none"/>
          <w:lang w:val="en-US" w:eastAsia="zh-CN"/>
        </w:rPr>
        <w:t xml:space="preserve">图E  </w:t>
      </w:r>
      <w:r>
        <w:rPr>
          <w:rFonts w:hint="eastAsia" w:ascii="黑体" w:hAnsi="黑体" w:eastAsia="黑体" w:cs="黑体"/>
          <w:b/>
          <w:bCs/>
          <w:sz w:val="18"/>
          <w:szCs w:val="18"/>
          <w:highlight w:val="none"/>
        </w:rPr>
        <w:t>土壤气体监测井结构</w:t>
      </w:r>
      <w:r>
        <w:rPr>
          <w:rFonts w:hint="eastAsia" w:ascii="黑体" w:hAnsi="黑体" w:eastAsia="黑体" w:cs="黑体"/>
          <w:b/>
          <w:bCs/>
          <w:sz w:val="18"/>
          <w:szCs w:val="18"/>
          <w:highlight w:val="none"/>
          <w:lang w:val="en-US" w:eastAsia="zh-CN"/>
        </w:rPr>
        <w:t>图</w:t>
      </w:r>
    </w:p>
    <w:p w14:paraId="4413F50B">
      <w:pPr>
        <w:snapToGrid w:val="0"/>
        <w:spacing w:line="360" w:lineRule="auto"/>
        <w:ind w:firstLine="420" w:firstLineChars="200"/>
        <w:rPr>
          <w:rFonts w:ascii="黑体" w:hAnsi="黑体" w:eastAsia="黑体" w:cs="黑体"/>
          <w:szCs w:val="21"/>
          <w:highlight w:val="none"/>
        </w:rPr>
        <w:sectPr>
          <w:pgSz w:w="11906" w:h="16838"/>
          <w:pgMar w:top="1440" w:right="1800" w:bottom="1440" w:left="1800" w:header="851" w:footer="992" w:gutter="0"/>
          <w:cols w:space="425" w:num="1"/>
          <w:docGrid w:type="lines" w:linePitch="312" w:charSpace="0"/>
        </w:sectPr>
      </w:pPr>
    </w:p>
    <w:p w14:paraId="594AD2AC">
      <w:pPr>
        <w:snapToGrid w:val="0"/>
        <w:spacing w:line="360" w:lineRule="auto"/>
        <w:jc w:val="center"/>
        <w:outlineLvl w:val="0"/>
        <w:rPr>
          <w:rFonts w:ascii="黑体" w:hAnsi="黑体" w:eastAsia="黑体" w:cs="黑体"/>
          <w:sz w:val="28"/>
          <w:szCs w:val="28"/>
          <w:highlight w:val="none"/>
        </w:rPr>
      </w:pPr>
      <w:bookmarkStart w:id="111" w:name="_Toc5074"/>
      <w:bookmarkStart w:id="112" w:name="_Toc28399"/>
      <w:r>
        <w:rPr>
          <w:rFonts w:hint="eastAsia" w:ascii="黑体" w:hAnsi="黑体" w:eastAsia="黑体" w:cs="黑体"/>
          <w:sz w:val="28"/>
          <w:szCs w:val="28"/>
          <w:highlight w:val="none"/>
        </w:rPr>
        <w:t>附录</w:t>
      </w:r>
      <w:r>
        <w:rPr>
          <w:rFonts w:ascii="黑体" w:hAnsi="黑体" w:eastAsia="黑体" w:cs="黑体"/>
          <w:sz w:val="28"/>
          <w:szCs w:val="28"/>
          <w:highlight w:val="none"/>
        </w:rPr>
        <w:t>F</w:t>
      </w:r>
      <w:r>
        <w:rPr>
          <w:rFonts w:hint="eastAsia" w:ascii="黑体" w:hAnsi="黑体" w:eastAsia="黑体" w:cs="黑体"/>
          <w:sz w:val="28"/>
          <w:szCs w:val="28"/>
          <w:highlight w:val="none"/>
        </w:rPr>
        <w:t xml:space="preserve">  工后监测记录</w:t>
      </w:r>
      <w:bookmarkEnd w:id="111"/>
      <w:bookmarkEnd w:id="112"/>
    </w:p>
    <w:p w14:paraId="67FC0102">
      <w:pPr>
        <w:jc w:val="left"/>
        <w:rPr>
          <w:rFonts w:hint="eastAsia" w:ascii="黑体" w:hAnsi="黑体" w:eastAsia="黑体" w:cs="黑体"/>
          <w:highlight w:val="none"/>
          <w:lang w:val="en-US" w:eastAsia="zh-CN"/>
        </w:rPr>
      </w:pPr>
    </w:p>
    <w:p w14:paraId="6AABE886">
      <w:pPr>
        <w:snapToGrid w:val="0"/>
        <w:spacing w:line="360" w:lineRule="auto"/>
        <w:jc w:val="center"/>
        <w:rPr>
          <w:rFonts w:ascii="黑体" w:hAnsi="黑体" w:eastAsia="黑体" w:cs="黑体"/>
          <w:b/>
          <w:bCs/>
          <w:szCs w:val="21"/>
          <w:highlight w:val="none"/>
        </w:rPr>
      </w:pPr>
      <w:r>
        <w:rPr>
          <w:rFonts w:hint="eastAsia" w:ascii="黑体" w:hAnsi="黑体" w:eastAsia="黑体" w:cs="黑体"/>
          <w:b/>
          <w:bCs/>
          <w:szCs w:val="21"/>
          <w:highlight w:val="none"/>
        </w:rPr>
        <w:t>表F 工后监测记录表</w:t>
      </w:r>
    </w:p>
    <w:tbl>
      <w:tblPr>
        <w:tblStyle w:val="13"/>
        <w:tblW w:w="85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425"/>
        <w:gridCol w:w="1314"/>
        <w:gridCol w:w="1525"/>
        <w:gridCol w:w="1319"/>
        <w:gridCol w:w="1421"/>
        <w:gridCol w:w="1421"/>
      </w:tblGrid>
      <w:tr w14:paraId="657CDA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105" w:type="dxa"/>
            <w:gridSpan w:val="6"/>
            <w:vAlign w:val="center"/>
          </w:tcPr>
          <w:p w14:paraId="1D4ED0AB">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覆盖阻隔工程工后监测记录</w:t>
            </w:r>
          </w:p>
        </w:tc>
        <w:tc>
          <w:tcPr>
            <w:tcW w:w="1421" w:type="dxa"/>
          </w:tcPr>
          <w:p w14:paraId="40138ACC">
            <w:pPr>
              <w:snapToGrid w:val="0"/>
              <w:rPr>
                <w:rFonts w:ascii="黑体" w:hAnsi="黑体" w:eastAsia="黑体" w:cs="黑体"/>
                <w:bCs/>
                <w:sz w:val="18"/>
                <w:szCs w:val="18"/>
                <w:highlight w:val="none"/>
              </w:rPr>
            </w:pPr>
            <w:r>
              <w:rPr>
                <w:rFonts w:hint="eastAsia" w:ascii="黑体" w:hAnsi="黑体" w:eastAsia="黑体" w:cs="黑体"/>
                <w:bCs/>
                <w:sz w:val="18"/>
                <w:szCs w:val="18"/>
                <w:highlight w:val="none"/>
              </w:rPr>
              <w:t>编号：</w:t>
            </w:r>
          </w:p>
        </w:tc>
      </w:tr>
      <w:tr w14:paraId="2AB42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tcPr>
          <w:p w14:paraId="4840544B">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单位（子单位）工程名称</w:t>
            </w:r>
          </w:p>
        </w:tc>
        <w:tc>
          <w:tcPr>
            <w:tcW w:w="1314" w:type="dxa"/>
          </w:tcPr>
          <w:p w14:paraId="3E8C6A3E">
            <w:pPr>
              <w:snapToGrid w:val="0"/>
              <w:rPr>
                <w:rFonts w:ascii="黑体" w:hAnsi="黑体" w:eastAsia="黑体" w:cs="黑体"/>
                <w:bCs/>
                <w:sz w:val="18"/>
                <w:szCs w:val="18"/>
                <w:highlight w:val="none"/>
              </w:rPr>
            </w:pPr>
          </w:p>
        </w:tc>
        <w:tc>
          <w:tcPr>
            <w:tcW w:w="1525" w:type="dxa"/>
            <w:vAlign w:val="center"/>
          </w:tcPr>
          <w:p w14:paraId="7C5AA8A9">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分布（子分布）工程名称</w:t>
            </w:r>
          </w:p>
        </w:tc>
        <w:tc>
          <w:tcPr>
            <w:tcW w:w="1319" w:type="dxa"/>
          </w:tcPr>
          <w:p w14:paraId="331267B0">
            <w:pPr>
              <w:snapToGrid w:val="0"/>
              <w:rPr>
                <w:rFonts w:ascii="黑体" w:hAnsi="黑体" w:eastAsia="黑体" w:cs="黑体"/>
                <w:bCs/>
                <w:sz w:val="18"/>
                <w:szCs w:val="18"/>
                <w:highlight w:val="none"/>
              </w:rPr>
            </w:pPr>
          </w:p>
        </w:tc>
        <w:tc>
          <w:tcPr>
            <w:tcW w:w="1421" w:type="dxa"/>
            <w:vAlign w:val="center"/>
          </w:tcPr>
          <w:p w14:paraId="539EC53F">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分项</w:t>
            </w:r>
          </w:p>
          <w:p w14:paraId="23520F97">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工程名称</w:t>
            </w:r>
          </w:p>
        </w:tc>
        <w:tc>
          <w:tcPr>
            <w:tcW w:w="1421" w:type="dxa"/>
          </w:tcPr>
          <w:p w14:paraId="738D2861">
            <w:pPr>
              <w:snapToGrid w:val="0"/>
              <w:rPr>
                <w:rFonts w:ascii="黑体" w:hAnsi="黑体" w:eastAsia="黑体" w:cs="黑体"/>
                <w:bCs/>
                <w:sz w:val="18"/>
                <w:szCs w:val="18"/>
                <w:highlight w:val="none"/>
              </w:rPr>
            </w:pPr>
          </w:p>
        </w:tc>
      </w:tr>
      <w:tr w14:paraId="04757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tcPr>
          <w:p w14:paraId="599C777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项目单位</w:t>
            </w:r>
          </w:p>
        </w:tc>
        <w:tc>
          <w:tcPr>
            <w:tcW w:w="1314" w:type="dxa"/>
          </w:tcPr>
          <w:p w14:paraId="3DC7CEAE">
            <w:pPr>
              <w:snapToGrid w:val="0"/>
              <w:rPr>
                <w:rFonts w:ascii="黑体" w:hAnsi="黑体" w:eastAsia="黑体" w:cs="黑体"/>
                <w:bCs/>
                <w:sz w:val="18"/>
                <w:szCs w:val="18"/>
                <w:highlight w:val="none"/>
              </w:rPr>
            </w:pPr>
          </w:p>
        </w:tc>
        <w:tc>
          <w:tcPr>
            <w:tcW w:w="1525" w:type="dxa"/>
            <w:vAlign w:val="center"/>
          </w:tcPr>
          <w:p w14:paraId="2AD4C774">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施工单位</w:t>
            </w:r>
          </w:p>
        </w:tc>
        <w:tc>
          <w:tcPr>
            <w:tcW w:w="1319" w:type="dxa"/>
          </w:tcPr>
          <w:p w14:paraId="4053FC53">
            <w:pPr>
              <w:snapToGrid w:val="0"/>
              <w:rPr>
                <w:rFonts w:ascii="黑体" w:hAnsi="黑体" w:eastAsia="黑体" w:cs="黑体"/>
                <w:bCs/>
                <w:sz w:val="18"/>
                <w:szCs w:val="18"/>
                <w:highlight w:val="none"/>
              </w:rPr>
            </w:pPr>
          </w:p>
        </w:tc>
        <w:tc>
          <w:tcPr>
            <w:tcW w:w="1421" w:type="dxa"/>
            <w:vAlign w:val="center"/>
          </w:tcPr>
          <w:p w14:paraId="0BE59708">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监测单位</w:t>
            </w:r>
          </w:p>
        </w:tc>
        <w:tc>
          <w:tcPr>
            <w:tcW w:w="1421" w:type="dxa"/>
          </w:tcPr>
          <w:p w14:paraId="1A1B7AC3">
            <w:pPr>
              <w:snapToGrid w:val="0"/>
              <w:rPr>
                <w:rFonts w:ascii="黑体" w:hAnsi="黑体" w:eastAsia="黑体" w:cs="黑体"/>
                <w:bCs/>
                <w:sz w:val="18"/>
                <w:szCs w:val="18"/>
                <w:highlight w:val="none"/>
              </w:rPr>
            </w:pPr>
          </w:p>
        </w:tc>
      </w:tr>
      <w:tr w14:paraId="0E65B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tcPr>
          <w:p w14:paraId="6C33662A">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项目负责人</w:t>
            </w:r>
          </w:p>
        </w:tc>
        <w:tc>
          <w:tcPr>
            <w:tcW w:w="1314" w:type="dxa"/>
          </w:tcPr>
          <w:p w14:paraId="35BA4528">
            <w:pPr>
              <w:snapToGrid w:val="0"/>
              <w:rPr>
                <w:rFonts w:ascii="黑体" w:hAnsi="黑体" w:eastAsia="黑体" w:cs="黑体"/>
                <w:bCs/>
                <w:sz w:val="18"/>
                <w:szCs w:val="18"/>
                <w:highlight w:val="none"/>
              </w:rPr>
            </w:pPr>
          </w:p>
        </w:tc>
        <w:tc>
          <w:tcPr>
            <w:tcW w:w="1525" w:type="dxa"/>
            <w:vAlign w:val="center"/>
          </w:tcPr>
          <w:p w14:paraId="5BAFEB2C">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施工负责人</w:t>
            </w:r>
          </w:p>
        </w:tc>
        <w:tc>
          <w:tcPr>
            <w:tcW w:w="1319" w:type="dxa"/>
          </w:tcPr>
          <w:p w14:paraId="6F861354">
            <w:pPr>
              <w:snapToGrid w:val="0"/>
              <w:rPr>
                <w:rFonts w:ascii="黑体" w:hAnsi="黑体" w:eastAsia="黑体" w:cs="黑体"/>
                <w:bCs/>
                <w:sz w:val="18"/>
                <w:szCs w:val="18"/>
                <w:highlight w:val="none"/>
              </w:rPr>
            </w:pPr>
          </w:p>
        </w:tc>
        <w:tc>
          <w:tcPr>
            <w:tcW w:w="1421" w:type="dxa"/>
            <w:vAlign w:val="center"/>
          </w:tcPr>
          <w:p w14:paraId="0AB861AD">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监测负责人</w:t>
            </w:r>
          </w:p>
        </w:tc>
        <w:tc>
          <w:tcPr>
            <w:tcW w:w="1421" w:type="dxa"/>
          </w:tcPr>
          <w:p w14:paraId="15F5E404">
            <w:pPr>
              <w:snapToGrid w:val="0"/>
              <w:rPr>
                <w:rFonts w:ascii="黑体" w:hAnsi="黑体" w:eastAsia="黑体" w:cs="黑体"/>
                <w:bCs/>
                <w:sz w:val="18"/>
                <w:szCs w:val="18"/>
                <w:highlight w:val="none"/>
              </w:rPr>
            </w:pPr>
          </w:p>
        </w:tc>
      </w:tr>
      <w:tr w14:paraId="51911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6" w:type="dxa"/>
            <w:gridSpan w:val="2"/>
          </w:tcPr>
          <w:p w14:paraId="44A064C9">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监测时间</w:t>
            </w:r>
          </w:p>
        </w:tc>
        <w:tc>
          <w:tcPr>
            <w:tcW w:w="1314" w:type="dxa"/>
          </w:tcPr>
          <w:p w14:paraId="446966C1">
            <w:pPr>
              <w:snapToGrid w:val="0"/>
              <w:rPr>
                <w:rFonts w:ascii="黑体" w:hAnsi="黑体" w:eastAsia="黑体" w:cs="黑体"/>
                <w:bCs/>
                <w:sz w:val="18"/>
                <w:szCs w:val="18"/>
                <w:highlight w:val="none"/>
              </w:rPr>
            </w:pPr>
          </w:p>
        </w:tc>
        <w:tc>
          <w:tcPr>
            <w:tcW w:w="1525" w:type="dxa"/>
            <w:vAlign w:val="center"/>
          </w:tcPr>
          <w:p w14:paraId="0BD4FB21">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监测点位</w:t>
            </w:r>
          </w:p>
        </w:tc>
        <w:tc>
          <w:tcPr>
            <w:tcW w:w="1319" w:type="dxa"/>
          </w:tcPr>
          <w:p w14:paraId="40AC9FD8">
            <w:pPr>
              <w:snapToGrid w:val="0"/>
              <w:rPr>
                <w:rFonts w:ascii="黑体" w:hAnsi="黑体" w:eastAsia="黑体" w:cs="黑体"/>
                <w:bCs/>
                <w:sz w:val="18"/>
                <w:szCs w:val="18"/>
                <w:highlight w:val="none"/>
              </w:rPr>
            </w:pPr>
          </w:p>
        </w:tc>
        <w:tc>
          <w:tcPr>
            <w:tcW w:w="1421" w:type="dxa"/>
          </w:tcPr>
          <w:p w14:paraId="623AD217">
            <w:pPr>
              <w:snapToGrid w:val="0"/>
              <w:rPr>
                <w:rFonts w:ascii="黑体" w:hAnsi="黑体" w:eastAsia="黑体" w:cs="黑体"/>
                <w:bCs/>
                <w:sz w:val="18"/>
                <w:szCs w:val="18"/>
                <w:highlight w:val="none"/>
              </w:rPr>
            </w:pPr>
          </w:p>
        </w:tc>
        <w:tc>
          <w:tcPr>
            <w:tcW w:w="1421" w:type="dxa"/>
          </w:tcPr>
          <w:p w14:paraId="5C1CAC36">
            <w:pPr>
              <w:snapToGrid w:val="0"/>
              <w:rPr>
                <w:rFonts w:ascii="黑体" w:hAnsi="黑体" w:eastAsia="黑体" w:cs="黑体"/>
                <w:bCs/>
                <w:sz w:val="18"/>
                <w:szCs w:val="18"/>
                <w:highlight w:val="none"/>
              </w:rPr>
            </w:pPr>
          </w:p>
        </w:tc>
      </w:tr>
      <w:tr w14:paraId="551B0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65" w:type="dxa"/>
            <w:gridSpan w:val="4"/>
            <w:vAlign w:val="center"/>
          </w:tcPr>
          <w:p w14:paraId="2AC4051B">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监测项目</w:t>
            </w:r>
          </w:p>
        </w:tc>
        <w:tc>
          <w:tcPr>
            <w:tcW w:w="1319" w:type="dxa"/>
            <w:vAlign w:val="center"/>
          </w:tcPr>
          <w:p w14:paraId="0285491F">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监测方法</w:t>
            </w:r>
          </w:p>
        </w:tc>
        <w:tc>
          <w:tcPr>
            <w:tcW w:w="1421" w:type="dxa"/>
            <w:vAlign w:val="center"/>
          </w:tcPr>
          <w:p w14:paraId="108CFA91">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监测结果</w:t>
            </w:r>
          </w:p>
        </w:tc>
        <w:tc>
          <w:tcPr>
            <w:tcW w:w="1421" w:type="dxa"/>
          </w:tcPr>
          <w:p w14:paraId="4CB892F0">
            <w:pPr>
              <w:snapToGrid w:val="0"/>
              <w:rPr>
                <w:rFonts w:ascii="黑体" w:hAnsi="黑体" w:eastAsia="黑体" w:cs="黑体"/>
                <w:bCs/>
                <w:sz w:val="18"/>
                <w:szCs w:val="18"/>
                <w:highlight w:val="none"/>
              </w:rPr>
            </w:pPr>
            <w:r>
              <w:rPr>
                <w:rFonts w:hint="eastAsia" w:ascii="黑体" w:hAnsi="黑体" w:eastAsia="黑体" w:cs="黑体"/>
                <w:bCs/>
                <w:sz w:val="18"/>
                <w:szCs w:val="18"/>
                <w:highlight w:val="none"/>
              </w:rPr>
              <w:t>项目指标变化情况及描述</w:t>
            </w:r>
          </w:p>
        </w:tc>
      </w:tr>
      <w:tr w14:paraId="6448D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vAlign w:val="center"/>
          </w:tcPr>
          <w:p w14:paraId="442D92B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环境监测</w:t>
            </w:r>
          </w:p>
        </w:tc>
        <w:tc>
          <w:tcPr>
            <w:tcW w:w="425" w:type="dxa"/>
          </w:tcPr>
          <w:p w14:paraId="6E2946E2">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1</w:t>
            </w:r>
          </w:p>
        </w:tc>
        <w:tc>
          <w:tcPr>
            <w:tcW w:w="2839" w:type="dxa"/>
            <w:gridSpan w:val="2"/>
            <w:vAlign w:val="center"/>
          </w:tcPr>
          <w:p w14:paraId="2FEEE4A8">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土壤气体质量</w:t>
            </w:r>
          </w:p>
        </w:tc>
        <w:tc>
          <w:tcPr>
            <w:tcW w:w="1319" w:type="dxa"/>
          </w:tcPr>
          <w:p w14:paraId="022FB78E">
            <w:pPr>
              <w:snapToGrid w:val="0"/>
              <w:rPr>
                <w:rFonts w:ascii="黑体" w:hAnsi="黑体" w:eastAsia="黑体" w:cs="黑体"/>
                <w:bCs/>
                <w:sz w:val="18"/>
                <w:szCs w:val="18"/>
                <w:highlight w:val="none"/>
              </w:rPr>
            </w:pPr>
          </w:p>
        </w:tc>
        <w:tc>
          <w:tcPr>
            <w:tcW w:w="1421" w:type="dxa"/>
          </w:tcPr>
          <w:p w14:paraId="33627D8F">
            <w:pPr>
              <w:snapToGrid w:val="0"/>
              <w:rPr>
                <w:rFonts w:ascii="黑体" w:hAnsi="黑体" w:eastAsia="黑体" w:cs="黑体"/>
                <w:bCs/>
                <w:sz w:val="18"/>
                <w:szCs w:val="18"/>
                <w:highlight w:val="none"/>
              </w:rPr>
            </w:pPr>
          </w:p>
        </w:tc>
        <w:tc>
          <w:tcPr>
            <w:tcW w:w="1421" w:type="dxa"/>
          </w:tcPr>
          <w:p w14:paraId="3DA52489">
            <w:pPr>
              <w:snapToGrid w:val="0"/>
              <w:rPr>
                <w:rFonts w:ascii="黑体" w:hAnsi="黑体" w:eastAsia="黑体" w:cs="黑体"/>
                <w:bCs/>
                <w:sz w:val="18"/>
                <w:szCs w:val="18"/>
                <w:highlight w:val="none"/>
              </w:rPr>
            </w:pPr>
          </w:p>
        </w:tc>
      </w:tr>
      <w:tr w14:paraId="47833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vAlign w:val="center"/>
          </w:tcPr>
          <w:p w14:paraId="2DF1A252">
            <w:pPr>
              <w:snapToGrid w:val="0"/>
              <w:jc w:val="center"/>
              <w:rPr>
                <w:rFonts w:hint="eastAsia" w:ascii="黑体" w:hAnsi="黑体" w:eastAsia="黑体" w:cs="黑体"/>
                <w:bCs/>
                <w:sz w:val="18"/>
                <w:szCs w:val="18"/>
                <w:highlight w:val="none"/>
              </w:rPr>
            </w:pPr>
          </w:p>
        </w:tc>
        <w:tc>
          <w:tcPr>
            <w:tcW w:w="425" w:type="dxa"/>
          </w:tcPr>
          <w:p w14:paraId="5B8BFCD5">
            <w:pPr>
              <w:snapToGrid w:val="0"/>
              <w:jc w:val="center"/>
              <w:rPr>
                <w:rFonts w:hint="eastAsia" w:ascii="黑体" w:hAnsi="黑体" w:eastAsia="黑体" w:cs="黑体"/>
                <w:bCs/>
                <w:sz w:val="18"/>
                <w:szCs w:val="18"/>
                <w:highlight w:val="none"/>
                <w:lang w:val="en-US" w:eastAsia="zh-CN"/>
              </w:rPr>
            </w:pPr>
            <w:r>
              <w:rPr>
                <w:rFonts w:hint="eastAsia" w:ascii="黑体" w:hAnsi="黑体" w:eastAsia="黑体" w:cs="黑体"/>
                <w:bCs/>
                <w:sz w:val="18"/>
                <w:szCs w:val="18"/>
                <w:highlight w:val="none"/>
                <w:lang w:val="en-US" w:eastAsia="zh-CN"/>
              </w:rPr>
              <w:t>2</w:t>
            </w:r>
          </w:p>
        </w:tc>
        <w:tc>
          <w:tcPr>
            <w:tcW w:w="2839" w:type="dxa"/>
            <w:gridSpan w:val="2"/>
            <w:vAlign w:val="center"/>
          </w:tcPr>
          <w:p w14:paraId="475ED25D">
            <w:pPr>
              <w:snapToGrid w:val="0"/>
              <w:jc w:val="center"/>
              <w:rPr>
                <w:rFonts w:hint="default" w:ascii="黑体" w:hAnsi="黑体" w:eastAsia="黑体" w:cs="黑体"/>
                <w:bCs/>
                <w:sz w:val="18"/>
                <w:szCs w:val="18"/>
                <w:highlight w:val="none"/>
                <w:lang w:val="en-US" w:eastAsia="zh-CN"/>
              </w:rPr>
            </w:pPr>
            <w:r>
              <w:rPr>
                <w:rFonts w:hint="eastAsia" w:ascii="黑体" w:hAnsi="黑体" w:eastAsia="黑体" w:cs="黑体"/>
                <w:bCs/>
                <w:sz w:val="18"/>
                <w:szCs w:val="18"/>
                <w:highlight w:val="none"/>
                <w:lang w:val="en-US" w:eastAsia="zh-CN"/>
              </w:rPr>
              <w:t>屏障表面气体通量</w:t>
            </w:r>
          </w:p>
        </w:tc>
        <w:tc>
          <w:tcPr>
            <w:tcW w:w="1319" w:type="dxa"/>
          </w:tcPr>
          <w:p w14:paraId="4FBFC8E1">
            <w:pPr>
              <w:snapToGrid w:val="0"/>
              <w:rPr>
                <w:rFonts w:ascii="黑体" w:hAnsi="黑体" w:eastAsia="黑体" w:cs="黑体"/>
                <w:bCs/>
                <w:sz w:val="18"/>
                <w:szCs w:val="18"/>
                <w:highlight w:val="none"/>
              </w:rPr>
            </w:pPr>
          </w:p>
        </w:tc>
        <w:tc>
          <w:tcPr>
            <w:tcW w:w="1421" w:type="dxa"/>
          </w:tcPr>
          <w:p w14:paraId="62A715BE">
            <w:pPr>
              <w:snapToGrid w:val="0"/>
              <w:rPr>
                <w:rFonts w:ascii="黑体" w:hAnsi="黑体" w:eastAsia="黑体" w:cs="黑体"/>
                <w:bCs/>
                <w:sz w:val="18"/>
                <w:szCs w:val="18"/>
                <w:highlight w:val="none"/>
              </w:rPr>
            </w:pPr>
          </w:p>
        </w:tc>
        <w:tc>
          <w:tcPr>
            <w:tcW w:w="1421" w:type="dxa"/>
          </w:tcPr>
          <w:p w14:paraId="5280F806">
            <w:pPr>
              <w:snapToGrid w:val="0"/>
              <w:rPr>
                <w:rFonts w:ascii="黑体" w:hAnsi="黑体" w:eastAsia="黑体" w:cs="黑体"/>
                <w:bCs/>
                <w:sz w:val="18"/>
                <w:szCs w:val="18"/>
                <w:highlight w:val="none"/>
              </w:rPr>
            </w:pPr>
          </w:p>
        </w:tc>
      </w:tr>
      <w:tr w14:paraId="3BE46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tcPr>
          <w:p w14:paraId="07DCE2DC">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地下水水文情况</w:t>
            </w:r>
          </w:p>
        </w:tc>
        <w:tc>
          <w:tcPr>
            <w:tcW w:w="425" w:type="dxa"/>
            <w:vAlign w:val="center"/>
          </w:tcPr>
          <w:p w14:paraId="51391AA3">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1</w:t>
            </w:r>
          </w:p>
        </w:tc>
        <w:tc>
          <w:tcPr>
            <w:tcW w:w="2839" w:type="dxa"/>
            <w:gridSpan w:val="2"/>
            <w:vAlign w:val="center"/>
          </w:tcPr>
          <w:p w14:paraId="4A3547A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地下水位</w:t>
            </w:r>
          </w:p>
        </w:tc>
        <w:tc>
          <w:tcPr>
            <w:tcW w:w="1319" w:type="dxa"/>
          </w:tcPr>
          <w:p w14:paraId="6A893E0E">
            <w:pPr>
              <w:snapToGrid w:val="0"/>
              <w:rPr>
                <w:rFonts w:ascii="黑体" w:hAnsi="黑体" w:eastAsia="黑体" w:cs="黑体"/>
                <w:bCs/>
                <w:sz w:val="18"/>
                <w:szCs w:val="18"/>
                <w:highlight w:val="none"/>
              </w:rPr>
            </w:pPr>
          </w:p>
        </w:tc>
        <w:tc>
          <w:tcPr>
            <w:tcW w:w="1421" w:type="dxa"/>
          </w:tcPr>
          <w:p w14:paraId="7B62E53D">
            <w:pPr>
              <w:snapToGrid w:val="0"/>
              <w:rPr>
                <w:rFonts w:ascii="黑体" w:hAnsi="黑体" w:eastAsia="黑体" w:cs="黑体"/>
                <w:bCs/>
                <w:sz w:val="18"/>
                <w:szCs w:val="18"/>
                <w:highlight w:val="none"/>
              </w:rPr>
            </w:pPr>
          </w:p>
        </w:tc>
        <w:tc>
          <w:tcPr>
            <w:tcW w:w="1421" w:type="dxa"/>
          </w:tcPr>
          <w:p w14:paraId="6CDB45B0">
            <w:pPr>
              <w:snapToGrid w:val="0"/>
              <w:rPr>
                <w:rFonts w:ascii="黑体" w:hAnsi="黑体" w:eastAsia="黑体" w:cs="黑体"/>
                <w:bCs/>
                <w:sz w:val="18"/>
                <w:szCs w:val="18"/>
                <w:highlight w:val="none"/>
              </w:rPr>
            </w:pPr>
          </w:p>
        </w:tc>
      </w:tr>
      <w:tr w14:paraId="1A34B7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vAlign w:val="center"/>
          </w:tcPr>
          <w:p w14:paraId="2C71B235">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屏障变形</w:t>
            </w:r>
          </w:p>
        </w:tc>
        <w:tc>
          <w:tcPr>
            <w:tcW w:w="425" w:type="dxa"/>
          </w:tcPr>
          <w:p w14:paraId="473C1F36">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1</w:t>
            </w:r>
          </w:p>
        </w:tc>
        <w:tc>
          <w:tcPr>
            <w:tcW w:w="2839" w:type="dxa"/>
            <w:gridSpan w:val="2"/>
          </w:tcPr>
          <w:p w14:paraId="0A194E80">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屏障沉降量</w:t>
            </w:r>
          </w:p>
        </w:tc>
        <w:tc>
          <w:tcPr>
            <w:tcW w:w="1319" w:type="dxa"/>
          </w:tcPr>
          <w:p w14:paraId="66E943C6">
            <w:pPr>
              <w:snapToGrid w:val="0"/>
              <w:rPr>
                <w:rFonts w:ascii="黑体" w:hAnsi="黑体" w:eastAsia="黑体" w:cs="黑体"/>
                <w:bCs/>
                <w:sz w:val="18"/>
                <w:szCs w:val="18"/>
                <w:highlight w:val="none"/>
              </w:rPr>
            </w:pPr>
          </w:p>
        </w:tc>
        <w:tc>
          <w:tcPr>
            <w:tcW w:w="1421" w:type="dxa"/>
          </w:tcPr>
          <w:p w14:paraId="15C95121">
            <w:pPr>
              <w:snapToGrid w:val="0"/>
              <w:rPr>
                <w:rFonts w:ascii="黑体" w:hAnsi="黑体" w:eastAsia="黑体" w:cs="黑体"/>
                <w:bCs/>
                <w:sz w:val="18"/>
                <w:szCs w:val="18"/>
                <w:highlight w:val="none"/>
              </w:rPr>
            </w:pPr>
          </w:p>
        </w:tc>
        <w:tc>
          <w:tcPr>
            <w:tcW w:w="1421" w:type="dxa"/>
          </w:tcPr>
          <w:p w14:paraId="7F84DA92">
            <w:pPr>
              <w:snapToGrid w:val="0"/>
              <w:rPr>
                <w:rFonts w:ascii="黑体" w:hAnsi="黑体" w:eastAsia="黑体" w:cs="黑体"/>
                <w:bCs/>
                <w:sz w:val="18"/>
                <w:szCs w:val="18"/>
                <w:highlight w:val="none"/>
              </w:rPr>
            </w:pPr>
          </w:p>
        </w:tc>
      </w:tr>
      <w:tr w14:paraId="7070D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tcPr>
          <w:p w14:paraId="31CCFC0B">
            <w:pPr>
              <w:snapToGrid w:val="0"/>
              <w:jc w:val="center"/>
              <w:rPr>
                <w:rFonts w:ascii="黑体" w:hAnsi="黑体" w:eastAsia="黑体" w:cs="黑体"/>
                <w:bCs/>
                <w:sz w:val="18"/>
                <w:szCs w:val="18"/>
                <w:highlight w:val="none"/>
              </w:rPr>
            </w:pPr>
          </w:p>
        </w:tc>
        <w:tc>
          <w:tcPr>
            <w:tcW w:w="425" w:type="dxa"/>
          </w:tcPr>
          <w:p w14:paraId="75C46E62">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2</w:t>
            </w:r>
          </w:p>
        </w:tc>
        <w:tc>
          <w:tcPr>
            <w:tcW w:w="2839" w:type="dxa"/>
            <w:gridSpan w:val="2"/>
          </w:tcPr>
          <w:p w14:paraId="336BF2C4">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屏障侧向变形量</w:t>
            </w:r>
          </w:p>
        </w:tc>
        <w:tc>
          <w:tcPr>
            <w:tcW w:w="1319" w:type="dxa"/>
          </w:tcPr>
          <w:p w14:paraId="42E788F0">
            <w:pPr>
              <w:snapToGrid w:val="0"/>
              <w:rPr>
                <w:rFonts w:ascii="黑体" w:hAnsi="黑体" w:eastAsia="黑体" w:cs="黑体"/>
                <w:bCs/>
                <w:sz w:val="18"/>
                <w:szCs w:val="18"/>
                <w:highlight w:val="none"/>
              </w:rPr>
            </w:pPr>
          </w:p>
        </w:tc>
        <w:tc>
          <w:tcPr>
            <w:tcW w:w="1421" w:type="dxa"/>
          </w:tcPr>
          <w:p w14:paraId="653360E9">
            <w:pPr>
              <w:snapToGrid w:val="0"/>
              <w:rPr>
                <w:rFonts w:ascii="黑体" w:hAnsi="黑体" w:eastAsia="黑体" w:cs="黑体"/>
                <w:bCs/>
                <w:sz w:val="18"/>
                <w:szCs w:val="18"/>
                <w:highlight w:val="none"/>
              </w:rPr>
            </w:pPr>
          </w:p>
        </w:tc>
        <w:tc>
          <w:tcPr>
            <w:tcW w:w="1421" w:type="dxa"/>
          </w:tcPr>
          <w:p w14:paraId="68E288B2">
            <w:pPr>
              <w:snapToGrid w:val="0"/>
              <w:rPr>
                <w:rFonts w:ascii="黑体" w:hAnsi="黑体" w:eastAsia="黑体" w:cs="黑体"/>
                <w:bCs/>
                <w:sz w:val="18"/>
                <w:szCs w:val="18"/>
                <w:highlight w:val="none"/>
              </w:rPr>
            </w:pPr>
          </w:p>
        </w:tc>
      </w:tr>
      <w:tr w14:paraId="4CF06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vAlign w:val="center"/>
          </w:tcPr>
          <w:p w14:paraId="6301C7C8">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邻近建（构）筑物影响</w:t>
            </w:r>
          </w:p>
        </w:tc>
        <w:tc>
          <w:tcPr>
            <w:tcW w:w="425" w:type="dxa"/>
          </w:tcPr>
          <w:p w14:paraId="0820D1A9">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1</w:t>
            </w:r>
          </w:p>
        </w:tc>
        <w:tc>
          <w:tcPr>
            <w:tcW w:w="2839" w:type="dxa"/>
            <w:gridSpan w:val="2"/>
          </w:tcPr>
          <w:p w14:paraId="3A75F873">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邻近建（构）筑物竖向位移</w:t>
            </w:r>
          </w:p>
        </w:tc>
        <w:tc>
          <w:tcPr>
            <w:tcW w:w="1319" w:type="dxa"/>
          </w:tcPr>
          <w:p w14:paraId="296B8EF5">
            <w:pPr>
              <w:snapToGrid w:val="0"/>
              <w:rPr>
                <w:rFonts w:ascii="黑体" w:hAnsi="黑体" w:eastAsia="黑体" w:cs="黑体"/>
                <w:bCs/>
                <w:sz w:val="18"/>
                <w:szCs w:val="18"/>
                <w:highlight w:val="none"/>
              </w:rPr>
            </w:pPr>
          </w:p>
        </w:tc>
        <w:tc>
          <w:tcPr>
            <w:tcW w:w="1421" w:type="dxa"/>
          </w:tcPr>
          <w:p w14:paraId="596BD865">
            <w:pPr>
              <w:snapToGrid w:val="0"/>
              <w:rPr>
                <w:rFonts w:ascii="黑体" w:hAnsi="黑体" w:eastAsia="黑体" w:cs="黑体"/>
                <w:bCs/>
                <w:sz w:val="18"/>
                <w:szCs w:val="18"/>
                <w:highlight w:val="none"/>
              </w:rPr>
            </w:pPr>
          </w:p>
        </w:tc>
        <w:tc>
          <w:tcPr>
            <w:tcW w:w="1421" w:type="dxa"/>
          </w:tcPr>
          <w:p w14:paraId="5A1CDD69">
            <w:pPr>
              <w:snapToGrid w:val="0"/>
              <w:rPr>
                <w:rFonts w:ascii="黑体" w:hAnsi="黑体" w:eastAsia="黑体" w:cs="黑体"/>
                <w:bCs/>
                <w:sz w:val="18"/>
                <w:szCs w:val="18"/>
                <w:highlight w:val="none"/>
              </w:rPr>
            </w:pPr>
          </w:p>
        </w:tc>
      </w:tr>
      <w:tr w14:paraId="64267A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tcPr>
          <w:p w14:paraId="2B65B386">
            <w:pPr>
              <w:snapToGrid w:val="0"/>
              <w:jc w:val="center"/>
              <w:rPr>
                <w:rFonts w:ascii="黑体" w:hAnsi="黑体" w:eastAsia="黑体" w:cs="黑体"/>
                <w:bCs/>
                <w:sz w:val="18"/>
                <w:szCs w:val="18"/>
                <w:highlight w:val="none"/>
              </w:rPr>
            </w:pPr>
          </w:p>
        </w:tc>
        <w:tc>
          <w:tcPr>
            <w:tcW w:w="425" w:type="dxa"/>
          </w:tcPr>
          <w:p w14:paraId="03878404">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2</w:t>
            </w:r>
          </w:p>
        </w:tc>
        <w:tc>
          <w:tcPr>
            <w:tcW w:w="2839" w:type="dxa"/>
            <w:gridSpan w:val="2"/>
          </w:tcPr>
          <w:p w14:paraId="435A3CDE">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邻近建（构）筑物倾斜</w:t>
            </w:r>
          </w:p>
        </w:tc>
        <w:tc>
          <w:tcPr>
            <w:tcW w:w="1319" w:type="dxa"/>
          </w:tcPr>
          <w:p w14:paraId="36D92080">
            <w:pPr>
              <w:snapToGrid w:val="0"/>
              <w:rPr>
                <w:rFonts w:ascii="黑体" w:hAnsi="黑体" w:eastAsia="黑体" w:cs="黑体"/>
                <w:bCs/>
                <w:sz w:val="18"/>
                <w:szCs w:val="18"/>
                <w:highlight w:val="none"/>
              </w:rPr>
            </w:pPr>
          </w:p>
        </w:tc>
        <w:tc>
          <w:tcPr>
            <w:tcW w:w="1421" w:type="dxa"/>
          </w:tcPr>
          <w:p w14:paraId="2BA46576">
            <w:pPr>
              <w:snapToGrid w:val="0"/>
              <w:rPr>
                <w:rFonts w:ascii="黑体" w:hAnsi="黑体" w:eastAsia="黑体" w:cs="黑体"/>
                <w:bCs/>
                <w:sz w:val="18"/>
                <w:szCs w:val="18"/>
                <w:highlight w:val="none"/>
              </w:rPr>
            </w:pPr>
          </w:p>
        </w:tc>
        <w:tc>
          <w:tcPr>
            <w:tcW w:w="1421" w:type="dxa"/>
          </w:tcPr>
          <w:p w14:paraId="39C8AAC9">
            <w:pPr>
              <w:snapToGrid w:val="0"/>
              <w:rPr>
                <w:rFonts w:ascii="黑体" w:hAnsi="黑体" w:eastAsia="黑体" w:cs="黑体"/>
                <w:bCs/>
                <w:sz w:val="18"/>
                <w:szCs w:val="18"/>
                <w:highlight w:val="none"/>
              </w:rPr>
            </w:pPr>
          </w:p>
        </w:tc>
      </w:tr>
      <w:tr w14:paraId="239EF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tcPr>
          <w:p w14:paraId="75BCC97B">
            <w:pPr>
              <w:snapToGrid w:val="0"/>
              <w:jc w:val="center"/>
              <w:rPr>
                <w:rFonts w:ascii="黑体" w:hAnsi="黑体" w:eastAsia="黑体" w:cs="黑体"/>
                <w:bCs/>
                <w:sz w:val="18"/>
                <w:szCs w:val="18"/>
                <w:highlight w:val="none"/>
              </w:rPr>
            </w:pPr>
          </w:p>
        </w:tc>
        <w:tc>
          <w:tcPr>
            <w:tcW w:w="425" w:type="dxa"/>
          </w:tcPr>
          <w:p w14:paraId="060DD1BA">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3</w:t>
            </w:r>
          </w:p>
        </w:tc>
        <w:tc>
          <w:tcPr>
            <w:tcW w:w="2839" w:type="dxa"/>
            <w:gridSpan w:val="2"/>
          </w:tcPr>
          <w:p w14:paraId="62FD30A1">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邻近建（构）筑物水平位移</w:t>
            </w:r>
          </w:p>
        </w:tc>
        <w:tc>
          <w:tcPr>
            <w:tcW w:w="1319" w:type="dxa"/>
          </w:tcPr>
          <w:p w14:paraId="3873F05F">
            <w:pPr>
              <w:snapToGrid w:val="0"/>
              <w:rPr>
                <w:rFonts w:ascii="黑体" w:hAnsi="黑体" w:eastAsia="黑体" w:cs="黑体"/>
                <w:bCs/>
                <w:sz w:val="18"/>
                <w:szCs w:val="18"/>
                <w:highlight w:val="none"/>
              </w:rPr>
            </w:pPr>
          </w:p>
        </w:tc>
        <w:tc>
          <w:tcPr>
            <w:tcW w:w="1421" w:type="dxa"/>
          </w:tcPr>
          <w:p w14:paraId="3D1FDE8D">
            <w:pPr>
              <w:snapToGrid w:val="0"/>
              <w:rPr>
                <w:rFonts w:ascii="黑体" w:hAnsi="黑体" w:eastAsia="黑体" w:cs="黑体"/>
                <w:bCs/>
                <w:sz w:val="18"/>
                <w:szCs w:val="18"/>
                <w:highlight w:val="none"/>
              </w:rPr>
            </w:pPr>
          </w:p>
        </w:tc>
        <w:tc>
          <w:tcPr>
            <w:tcW w:w="1421" w:type="dxa"/>
          </w:tcPr>
          <w:p w14:paraId="1639688B">
            <w:pPr>
              <w:snapToGrid w:val="0"/>
              <w:rPr>
                <w:rFonts w:ascii="黑体" w:hAnsi="黑体" w:eastAsia="黑体" w:cs="黑体"/>
                <w:bCs/>
                <w:sz w:val="18"/>
                <w:szCs w:val="18"/>
                <w:highlight w:val="none"/>
              </w:rPr>
            </w:pPr>
          </w:p>
        </w:tc>
      </w:tr>
      <w:tr w14:paraId="63805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tcPr>
          <w:p w14:paraId="0050DFBB">
            <w:pPr>
              <w:snapToGrid w:val="0"/>
              <w:jc w:val="center"/>
              <w:rPr>
                <w:rFonts w:ascii="黑体" w:hAnsi="黑体" w:eastAsia="黑体" w:cs="黑体"/>
                <w:bCs/>
                <w:sz w:val="18"/>
                <w:szCs w:val="18"/>
                <w:highlight w:val="none"/>
              </w:rPr>
            </w:pPr>
          </w:p>
        </w:tc>
        <w:tc>
          <w:tcPr>
            <w:tcW w:w="425" w:type="dxa"/>
          </w:tcPr>
          <w:p w14:paraId="09CF337F">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4</w:t>
            </w:r>
          </w:p>
        </w:tc>
        <w:tc>
          <w:tcPr>
            <w:tcW w:w="2839" w:type="dxa"/>
            <w:gridSpan w:val="2"/>
          </w:tcPr>
          <w:p w14:paraId="150C3DD1">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邻近建（构）筑物裂缝</w:t>
            </w:r>
          </w:p>
        </w:tc>
        <w:tc>
          <w:tcPr>
            <w:tcW w:w="1319" w:type="dxa"/>
          </w:tcPr>
          <w:p w14:paraId="2C671849">
            <w:pPr>
              <w:snapToGrid w:val="0"/>
              <w:rPr>
                <w:rFonts w:ascii="黑体" w:hAnsi="黑体" w:eastAsia="黑体" w:cs="黑体"/>
                <w:bCs/>
                <w:sz w:val="18"/>
                <w:szCs w:val="18"/>
                <w:highlight w:val="none"/>
              </w:rPr>
            </w:pPr>
          </w:p>
        </w:tc>
        <w:tc>
          <w:tcPr>
            <w:tcW w:w="1421" w:type="dxa"/>
          </w:tcPr>
          <w:p w14:paraId="63DC6CDD">
            <w:pPr>
              <w:snapToGrid w:val="0"/>
              <w:rPr>
                <w:rFonts w:ascii="黑体" w:hAnsi="黑体" w:eastAsia="黑体" w:cs="黑体"/>
                <w:bCs/>
                <w:sz w:val="18"/>
                <w:szCs w:val="18"/>
                <w:highlight w:val="none"/>
              </w:rPr>
            </w:pPr>
          </w:p>
        </w:tc>
        <w:tc>
          <w:tcPr>
            <w:tcW w:w="1421" w:type="dxa"/>
          </w:tcPr>
          <w:p w14:paraId="570ADBD3">
            <w:pPr>
              <w:snapToGrid w:val="0"/>
              <w:rPr>
                <w:rFonts w:ascii="黑体" w:hAnsi="黑体" w:eastAsia="黑体" w:cs="黑体"/>
                <w:bCs/>
                <w:sz w:val="18"/>
                <w:szCs w:val="18"/>
                <w:highlight w:val="none"/>
              </w:rPr>
            </w:pPr>
          </w:p>
        </w:tc>
      </w:tr>
      <w:tr w14:paraId="17A9C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tcPr>
          <w:p w14:paraId="548607FA">
            <w:pPr>
              <w:snapToGrid w:val="0"/>
              <w:jc w:val="center"/>
              <w:rPr>
                <w:rFonts w:ascii="黑体" w:hAnsi="黑体" w:eastAsia="黑体" w:cs="黑体"/>
                <w:bCs/>
                <w:sz w:val="18"/>
                <w:szCs w:val="18"/>
                <w:highlight w:val="none"/>
              </w:rPr>
            </w:pPr>
          </w:p>
        </w:tc>
        <w:tc>
          <w:tcPr>
            <w:tcW w:w="425" w:type="dxa"/>
          </w:tcPr>
          <w:p w14:paraId="6C96BBEE">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5</w:t>
            </w:r>
          </w:p>
        </w:tc>
        <w:tc>
          <w:tcPr>
            <w:tcW w:w="2839" w:type="dxa"/>
            <w:gridSpan w:val="2"/>
          </w:tcPr>
          <w:p w14:paraId="651E7717">
            <w:pPr>
              <w:snapToGrid w:val="0"/>
              <w:jc w:val="center"/>
              <w:rPr>
                <w:rFonts w:ascii="黑体" w:hAnsi="黑体" w:eastAsia="黑体" w:cs="黑体"/>
                <w:bCs/>
                <w:sz w:val="18"/>
                <w:szCs w:val="18"/>
                <w:highlight w:val="none"/>
              </w:rPr>
            </w:pPr>
            <w:r>
              <w:rPr>
                <w:rFonts w:hint="eastAsia" w:ascii="黑体" w:hAnsi="黑体" w:eastAsia="黑体" w:cs="黑体"/>
                <w:bCs/>
                <w:sz w:val="18"/>
                <w:szCs w:val="18"/>
                <w:highlight w:val="none"/>
              </w:rPr>
              <w:t>邻近地下管线、管廊变形</w:t>
            </w:r>
          </w:p>
        </w:tc>
        <w:tc>
          <w:tcPr>
            <w:tcW w:w="1319" w:type="dxa"/>
          </w:tcPr>
          <w:p w14:paraId="0586EE8B">
            <w:pPr>
              <w:snapToGrid w:val="0"/>
              <w:rPr>
                <w:rFonts w:ascii="黑体" w:hAnsi="黑体" w:eastAsia="黑体" w:cs="黑体"/>
                <w:bCs/>
                <w:sz w:val="18"/>
                <w:szCs w:val="18"/>
                <w:highlight w:val="none"/>
              </w:rPr>
            </w:pPr>
          </w:p>
        </w:tc>
        <w:tc>
          <w:tcPr>
            <w:tcW w:w="1421" w:type="dxa"/>
          </w:tcPr>
          <w:p w14:paraId="1BCDD03C">
            <w:pPr>
              <w:snapToGrid w:val="0"/>
              <w:rPr>
                <w:rFonts w:ascii="黑体" w:hAnsi="黑体" w:eastAsia="黑体" w:cs="黑体"/>
                <w:bCs/>
                <w:sz w:val="18"/>
                <w:szCs w:val="18"/>
                <w:highlight w:val="none"/>
              </w:rPr>
            </w:pPr>
          </w:p>
        </w:tc>
        <w:tc>
          <w:tcPr>
            <w:tcW w:w="1421" w:type="dxa"/>
          </w:tcPr>
          <w:p w14:paraId="188BAA6C">
            <w:pPr>
              <w:snapToGrid w:val="0"/>
              <w:rPr>
                <w:rFonts w:ascii="黑体" w:hAnsi="黑体" w:eastAsia="黑体" w:cs="黑体"/>
                <w:bCs/>
                <w:sz w:val="18"/>
                <w:szCs w:val="18"/>
                <w:highlight w:val="none"/>
              </w:rPr>
            </w:pPr>
          </w:p>
        </w:tc>
      </w:tr>
    </w:tbl>
    <w:p w14:paraId="0AB36258">
      <w:pPr>
        <w:snapToGrid w:val="0"/>
        <w:spacing w:line="360" w:lineRule="auto"/>
        <w:ind w:firstLine="360" w:firstLineChars="200"/>
        <w:rPr>
          <w:rFonts w:ascii="黑体" w:hAnsi="黑体" w:eastAsia="黑体" w:cs="黑体"/>
          <w:bCs/>
          <w:sz w:val="18"/>
          <w:szCs w:val="18"/>
          <w:highlight w:val="none"/>
        </w:rPr>
      </w:pPr>
      <w:r>
        <w:rPr>
          <w:rFonts w:hint="eastAsia" w:ascii="黑体" w:hAnsi="黑体" w:eastAsia="黑体" w:cs="黑体"/>
          <w:bCs/>
          <w:sz w:val="18"/>
          <w:szCs w:val="18"/>
          <w:highlight w:val="none"/>
        </w:rPr>
        <w:t>注：记录土壤气体质量、土壤环境质量</w:t>
      </w:r>
      <w:r>
        <w:rPr>
          <w:rFonts w:hint="eastAsia" w:ascii="黑体" w:hAnsi="黑体" w:eastAsia="黑体" w:cs="黑体"/>
          <w:bCs/>
          <w:sz w:val="18"/>
          <w:szCs w:val="18"/>
          <w:highlight w:val="none"/>
          <w:lang w:eastAsia="zh-CN"/>
        </w:rPr>
        <w:t>、</w:t>
      </w:r>
      <w:r>
        <w:rPr>
          <w:rFonts w:hint="eastAsia" w:ascii="黑体" w:hAnsi="黑体" w:eastAsia="黑体" w:cs="黑体"/>
          <w:bCs/>
          <w:sz w:val="18"/>
          <w:szCs w:val="18"/>
          <w:highlight w:val="none"/>
          <w:lang w:val="en-US" w:eastAsia="zh-CN"/>
        </w:rPr>
        <w:t>屏障表面气体通量</w:t>
      </w:r>
      <w:r>
        <w:rPr>
          <w:rFonts w:hint="eastAsia" w:ascii="黑体" w:hAnsi="黑体" w:eastAsia="黑体" w:cs="黑体"/>
          <w:bCs/>
          <w:sz w:val="18"/>
          <w:szCs w:val="18"/>
          <w:highlight w:val="none"/>
        </w:rPr>
        <w:t>时，应在“监测结果”一列明确目标污染物种类，在“项目指标变化情况及描述”一列明确目标污染物所对应的风险控制值。</w:t>
      </w:r>
    </w:p>
    <w:p w14:paraId="4E1F02BA">
      <w:pPr>
        <w:snapToGrid w:val="0"/>
        <w:spacing w:line="360" w:lineRule="auto"/>
        <w:ind w:firstLine="480" w:firstLineChars="200"/>
        <w:jc w:val="left"/>
        <w:rPr>
          <w:rFonts w:ascii="黑体" w:hAnsi="黑体" w:eastAsia="黑体" w:cs="黑体"/>
          <w:sz w:val="24"/>
          <w:szCs w:val="24"/>
          <w:highlight w:val="none"/>
        </w:rPr>
      </w:pPr>
    </w:p>
    <w:p w14:paraId="75FCF3B8">
      <w:pPr>
        <w:snapToGrid w:val="0"/>
        <w:spacing w:line="360" w:lineRule="auto"/>
        <w:ind w:firstLine="480" w:firstLineChars="200"/>
        <w:jc w:val="left"/>
        <w:rPr>
          <w:rFonts w:ascii="黑体" w:hAnsi="黑体" w:eastAsia="黑体" w:cs="黑体"/>
          <w:sz w:val="24"/>
          <w:szCs w:val="24"/>
          <w:highlight w:val="none"/>
        </w:rPr>
      </w:pPr>
    </w:p>
    <w:p w14:paraId="071D3419">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31B0CBCB">
      <w:pPr>
        <w:snapToGrid w:val="0"/>
        <w:spacing w:line="360" w:lineRule="auto"/>
        <w:jc w:val="center"/>
        <w:outlineLvl w:val="0"/>
        <w:rPr>
          <w:rFonts w:hint="eastAsia" w:ascii="黑体" w:hAnsi="黑体" w:eastAsia="黑体" w:cs="黑体"/>
          <w:sz w:val="28"/>
          <w:szCs w:val="28"/>
          <w:highlight w:val="none"/>
        </w:rPr>
      </w:pPr>
      <w:bookmarkStart w:id="113" w:name="_Toc21659"/>
      <w:r>
        <w:rPr>
          <w:rFonts w:hint="eastAsia" w:ascii="黑体" w:hAnsi="黑体" w:eastAsia="黑体" w:cs="黑体"/>
          <w:sz w:val="28"/>
          <w:szCs w:val="28"/>
          <w:highlight w:val="none"/>
        </w:rPr>
        <w:t>本规范用词说明</w:t>
      </w:r>
      <w:bookmarkEnd w:id="113"/>
    </w:p>
    <w:p w14:paraId="30F6CF33">
      <w:pPr>
        <w:jc w:val="left"/>
        <w:rPr>
          <w:rFonts w:hint="eastAsia" w:ascii="黑体" w:hAnsi="黑体" w:eastAsia="黑体" w:cs="黑体"/>
          <w:highlight w:val="none"/>
          <w:lang w:val="en-US" w:eastAsia="zh-CN"/>
        </w:rPr>
      </w:pPr>
    </w:p>
    <w:p w14:paraId="212389C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1  为便于在执行本规范条文时区别对待，对于要求严格程度不同的用词说明如下：</w:t>
      </w:r>
    </w:p>
    <w:p w14:paraId="68FEEB7E">
      <w:pPr>
        <w:snapToGrid w:val="0"/>
        <w:spacing w:line="360" w:lineRule="auto"/>
        <w:ind w:firstLine="420" w:firstLineChars="200"/>
        <w:rPr>
          <w:rFonts w:ascii="黑体" w:hAnsi="黑体" w:eastAsia="黑体" w:cs="黑体"/>
          <w:szCs w:val="21"/>
          <w:highlight w:val="none"/>
        </w:rPr>
      </w:pPr>
      <w:bookmarkStart w:id="114" w:name="_Toc6503"/>
      <w:r>
        <w:rPr>
          <w:rFonts w:hint="eastAsia" w:ascii="黑体" w:hAnsi="黑体" w:eastAsia="黑体" w:cs="黑体"/>
          <w:szCs w:val="21"/>
          <w:highlight w:val="none"/>
        </w:rPr>
        <w:t>1）表示很严格，非这样做不可的用词：</w:t>
      </w:r>
      <w:bookmarkEnd w:id="114"/>
    </w:p>
    <w:p w14:paraId="35F8970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正面词采用“必须”，反面词采用“严禁”。</w:t>
      </w:r>
    </w:p>
    <w:p w14:paraId="10964CE1">
      <w:pPr>
        <w:snapToGrid w:val="0"/>
        <w:spacing w:line="360" w:lineRule="auto"/>
        <w:ind w:firstLine="420" w:firstLineChars="200"/>
        <w:rPr>
          <w:rFonts w:ascii="黑体" w:hAnsi="黑体" w:eastAsia="黑体" w:cs="黑体"/>
          <w:szCs w:val="21"/>
          <w:highlight w:val="none"/>
        </w:rPr>
      </w:pPr>
      <w:bookmarkStart w:id="115" w:name="_Toc19270"/>
      <w:r>
        <w:rPr>
          <w:rFonts w:hint="eastAsia" w:ascii="黑体" w:hAnsi="黑体" w:eastAsia="黑体" w:cs="黑体"/>
          <w:szCs w:val="21"/>
          <w:highlight w:val="none"/>
        </w:rPr>
        <w:t>2）表示严格，在正常情况下均这样做的用词：</w:t>
      </w:r>
      <w:bookmarkEnd w:id="115"/>
    </w:p>
    <w:p w14:paraId="6C6599E7">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正面词采用“应”，反面词采用“不应”或“不得”。</w:t>
      </w:r>
    </w:p>
    <w:p w14:paraId="0A6821C9">
      <w:pPr>
        <w:snapToGrid w:val="0"/>
        <w:spacing w:line="360" w:lineRule="auto"/>
        <w:ind w:firstLine="420" w:firstLineChars="200"/>
        <w:rPr>
          <w:rFonts w:ascii="黑体" w:hAnsi="黑体" w:eastAsia="黑体" w:cs="黑体"/>
          <w:szCs w:val="21"/>
          <w:highlight w:val="none"/>
        </w:rPr>
      </w:pPr>
      <w:bookmarkStart w:id="116" w:name="_Toc8132"/>
      <w:r>
        <w:rPr>
          <w:rFonts w:hint="eastAsia" w:ascii="黑体" w:hAnsi="黑体" w:eastAsia="黑体" w:cs="黑体"/>
          <w:szCs w:val="21"/>
          <w:highlight w:val="none"/>
        </w:rPr>
        <w:t>3）表示允许稍有选择，在条件许可时首先应这样做的用词：</w:t>
      </w:r>
      <w:bookmarkEnd w:id="116"/>
    </w:p>
    <w:p w14:paraId="20024ECA">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正面词采用“宜”，反面词采用“不宜”。</w:t>
      </w:r>
    </w:p>
    <w:p w14:paraId="488702AB">
      <w:pPr>
        <w:snapToGrid w:val="0"/>
        <w:spacing w:line="360" w:lineRule="auto"/>
        <w:ind w:firstLine="420" w:firstLineChars="200"/>
        <w:rPr>
          <w:rFonts w:ascii="黑体" w:hAnsi="黑体" w:eastAsia="黑体" w:cs="黑体"/>
          <w:szCs w:val="21"/>
          <w:highlight w:val="none"/>
        </w:rPr>
      </w:pPr>
      <w:bookmarkStart w:id="117" w:name="_Toc10791"/>
      <w:r>
        <w:rPr>
          <w:rFonts w:hint="eastAsia" w:ascii="黑体" w:hAnsi="黑体" w:eastAsia="黑体" w:cs="黑体"/>
          <w:szCs w:val="21"/>
          <w:highlight w:val="none"/>
        </w:rPr>
        <w:t>4）表示有选择，在一定条件下可以这样做的用词，采用“可”。</w:t>
      </w:r>
      <w:bookmarkEnd w:id="117"/>
    </w:p>
    <w:p w14:paraId="6161ED8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  规范中指定应按其他有关标准、规定执行时的写法为：“应符合……的规定”或“应按……执行”。</w:t>
      </w:r>
    </w:p>
    <w:p w14:paraId="3610634C">
      <w:pPr>
        <w:snapToGrid w:val="0"/>
        <w:spacing w:line="360" w:lineRule="auto"/>
        <w:ind w:firstLine="480" w:firstLineChars="200"/>
        <w:jc w:val="left"/>
        <w:rPr>
          <w:rFonts w:ascii="黑体" w:hAnsi="黑体" w:eastAsia="黑体" w:cs="黑体"/>
          <w:sz w:val="24"/>
          <w:szCs w:val="24"/>
          <w:highlight w:val="none"/>
        </w:rPr>
      </w:pPr>
    </w:p>
    <w:p w14:paraId="6EA41A21">
      <w:pPr>
        <w:snapToGrid w:val="0"/>
        <w:spacing w:line="360" w:lineRule="auto"/>
        <w:ind w:firstLine="480" w:firstLineChars="200"/>
        <w:jc w:val="left"/>
        <w:rPr>
          <w:rFonts w:ascii="黑体" w:hAnsi="黑体" w:eastAsia="黑体" w:cs="黑体"/>
          <w:sz w:val="24"/>
          <w:szCs w:val="24"/>
          <w:highlight w:val="none"/>
        </w:rPr>
      </w:pPr>
    </w:p>
    <w:p w14:paraId="6B386803">
      <w:pPr>
        <w:snapToGrid w:val="0"/>
        <w:spacing w:line="360" w:lineRule="auto"/>
        <w:ind w:firstLine="480" w:firstLineChars="200"/>
        <w:jc w:val="left"/>
        <w:rPr>
          <w:rFonts w:ascii="黑体" w:hAnsi="黑体" w:eastAsia="黑体" w:cs="黑体"/>
          <w:sz w:val="24"/>
          <w:szCs w:val="24"/>
          <w:highlight w:val="none"/>
        </w:rPr>
        <w:sectPr>
          <w:pgSz w:w="11906" w:h="16838"/>
          <w:pgMar w:top="1440" w:right="1800" w:bottom="1440" w:left="1800" w:header="851" w:footer="992" w:gutter="0"/>
          <w:cols w:space="425" w:num="1"/>
          <w:docGrid w:type="lines" w:linePitch="312" w:charSpace="0"/>
        </w:sectPr>
      </w:pPr>
    </w:p>
    <w:p w14:paraId="2284F319">
      <w:pPr>
        <w:snapToGrid w:val="0"/>
        <w:spacing w:line="360" w:lineRule="auto"/>
        <w:jc w:val="center"/>
        <w:outlineLvl w:val="0"/>
        <w:rPr>
          <w:rFonts w:hint="eastAsia" w:ascii="黑体" w:hAnsi="黑体" w:eastAsia="黑体" w:cs="黑体"/>
          <w:sz w:val="28"/>
          <w:szCs w:val="28"/>
          <w:highlight w:val="none"/>
        </w:rPr>
      </w:pPr>
      <w:bookmarkStart w:id="118" w:name="_Toc19812"/>
      <w:r>
        <w:rPr>
          <w:rFonts w:hint="eastAsia" w:ascii="黑体" w:hAnsi="黑体" w:eastAsia="黑体" w:cs="黑体"/>
          <w:sz w:val="28"/>
          <w:szCs w:val="28"/>
          <w:highlight w:val="none"/>
        </w:rPr>
        <w:t>引用标准名录</w:t>
      </w:r>
      <w:bookmarkEnd w:id="118"/>
    </w:p>
    <w:p w14:paraId="65A69BB2">
      <w:pPr>
        <w:jc w:val="left"/>
        <w:rPr>
          <w:rFonts w:hint="eastAsia" w:ascii="黑体" w:hAnsi="黑体" w:eastAsia="黑体" w:cs="黑体"/>
          <w:highlight w:val="none"/>
          <w:lang w:val="en-US" w:eastAsia="zh-CN"/>
        </w:rPr>
      </w:pPr>
    </w:p>
    <w:p w14:paraId="4E63129E">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《土壤质量 土壤气体采样指南》</w:t>
      </w:r>
      <w:r>
        <w:rPr>
          <w:rFonts w:ascii="黑体" w:hAnsi="黑体" w:eastAsia="黑体" w:cs="黑体"/>
          <w:sz w:val="24"/>
          <w:szCs w:val="24"/>
          <w:highlight w:val="none"/>
        </w:rPr>
        <w:t>GB/T 36198</w:t>
      </w:r>
    </w:p>
    <w:p w14:paraId="32B46181">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《岩土工程勘察规范（2009年版）》GB 50021</w:t>
      </w:r>
    </w:p>
    <w:p w14:paraId="14F128E6">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《工业建筑防腐蚀设计标准》GB 50046</w:t>
      </w:r>
    </w:p>
    <w:p w14:paraId="00493159">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《建筑基坑工程监测技术标准》GB 50497</w:t>
      </w:r>
    </w:p>
    <w:p w14:paraId="18B38CC3">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《工程勘察通用规范》GB 55017</w:t>
      </w:r>
    </w:p>
    <w:p w14:paraId="0DCA9339">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《地下水质量标准》GB/T 14848</w:t>
      </w:r>
    </w:p>
    <w:p w14:paraId="72D50F6F">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《岩石中两相流体相对渗透率测定方法》GB/T 28912</w:t>
      </w:r>
    </w:p>
    <w:p w14:paraId="0080CAB3">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《土工试验方法标准》GB/T 50123</w:t>
      </w:r>
    </w:p>
    <w:p w14:paraId="1551EBBE">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《生活垃圾卫生填埋场防渗系统工程技术标准》GB/T 51403</w:t>
      </w:r>
    </w:p>
    <w:p w14:paraId="2E18046E">
      <w:pPr>
        <w:pStyle w:val="37"/>
        <w:numPr>
          <w:numId w:val="0"/>
        </w:numPr>
        <w:snapToGrid w:val="0"/>
        <w:spacing w:line="360" w:lineRule="auto"/>
        <w:ind w:left="482" w:leftChars="0"/>
        <w:rPr>
          <w:rFonts w:ascii="黑体" w:hAnsi="黑体" w:eastAsia="黑体" w:cs="黑体"/>
          <w:sz w:val="24"/>
          <w:szCs w:val="24"/>
          <w:highlight w:val="none"/>
        </w:rPr>
      </w:pPr>
      <w:bookmarkStart w:id="119" w:name="_Hlk172564614"/>
      <w:r>
        <w:rPr>
          <w:rFonts w:hint="eastAsia" w:ascii="黑体" w:hAnsi="黑体" w:eastAsia="黑体" w:cs="黑体"/>
          <w:sz w:val="24"/>
          <w:szCs w:val="24"/>
          <w:highlight w:val="none"/>
        </w:rPr>
        <w:t>《生活垃圾卫生填埋场封场技术规范》GB</w:t>
      </w:r>
      <w:r>
        <w:rPr>
          <w:rFonts w:ascii="黑体" w:hAnsi="黑体" w:eastAsia="黑体" w:cs="黑体"/>
          <w:sz w:val="24"/>
          <w:szCs w:val="24"/>
          <w:highlight w:val="none"/>
        </w:rPr>
        <w:t xml:space="preserve"> </w:t>
      </w:r>
      <w:r>
        <w:rPr>
          <w:rFonts w:hint="eastAsia" w:ascii="黑体" w:hAnsi="黑体" w:eastAsia="黑体" w:cs="黑体"/>
          <w:sz w:val="24"/>
          <w:szCs w:val="24"/>
          <w:highlight w:val="none"/>
        </w:rPr>
        <w:t>51220</w:t>
      </w:r>
      <w:r>
        <w:rPr>
          <w:rFonts w:ascii="黑体" w:hAnsi="黑体" w:eastAsia="黑体" w:cs="黑体"/>
          <w:sz w:val="24"/>
          <w:szCs w:val="24"/>
          <w:highlight w:val="none"/>
        </w:rPr>
        <w:t xml:space="preserve"> </w:t>
      </w:r>
    </w:p>
    <w:bookmarkEnd w:id="119"/>
    <w:p w14:paraId="2353C9C7">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《土工合成材料 防渗性能 第2部分：渗透系数的测定》GB/T 19979.2</w:t>
      </w:r>
    </w:p>
    <w:p w14:paraId="6B8EB8D9">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《生活垃圾卫生</w:t>
      </w:r>
      <w:bookmarkStart w:id="120" w:name="OLE_LINK35"/>
      <w:r>
        <w:rPr>
          <w:rFonts w:hint="eastAsia" w:ascii="黑体" w:hAnsi="黑体" w:eastAsia="黑体" w:cs="黑体"/>
          <w:sz w:val="24"/>
          <w:szCs w:val="24"/>
          <w:highlight w:val="none"/>
        </w:rPr>
        <w:t>填埋场岩土工程</w:t>
      </w:r>
      <w:bookmarkEnd w:id="120"/>
      <w:r>
        <w:rPr>
          <w:rFonts w:hint="eastAsia" w:ascii="黑体" w:hAnsi="黑体" w:eastAsia="黑体" w:cs="黑体"/>
          <w:sz w:val="24"/>
          <w:szCs w:val="24"/>
          <w:highlight w:val="none"/>
        </w:rPr>
        <w:t>技术规范》CJJ 176</w:t>
      </w:r>
    </w:p>
    <w:p w14:paraId="4FCEAB06">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《垃圾填埋场用土工排水网》CJ/T 452</w:t>
      </w:r>
    </w:p>
    <w:p w14:paraId="7F2DC058">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《垃圾填埋场用非织造土工布》CJ/T 460</w:t>
      </w:r>
    </w:p>
    <w:p w14:paraId="162E8815">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《污染场地岩土工程勘察标准》HG/T 20717</w:t>
      </w:r>
    </w:p>
    <w:p w14:paraId="3EB4D788">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《工业污染场地竖向阻隔技术规范》HG/T 20715</w:t>
      </w:r>
    </w:p>
    <w:p w14:paraId="73F9A85C">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《建设用地土壤污染状况调查 技术导则》HJ 25.1</w:t>
      </w:r>
    </w:p>
    <w:p w14:paraId="312D34AA">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《建设用地土壤污染风险管控和修复 监测技术导则》HJ 25.2</w:t>
      </w:r>
    </w:p>
    <w:p w14:paraId="4A52F51F">
      <w:pPr>
        <w:pStyle w:val="37"/>
        <w:numPr>
          <w:numId w:val="0"/>
        </w:numPr>
        <w:snapToGrid w:val="0"/>
        <w:spacing w:line="360" w:lineRule="auto"/>
        <w:ind w:left="482" w:leftChars="0"/>
        <w:rPr>
          <w:rFonts w:ascii="黑体" w:hAnsi="黑体" w:eastAsia="黑体" w:cs="黑体"/>
          <w:sz w:val="24"/>
          <w:szCs w:val="24"/>
          <w:highlight w:val="none"/>
        </w:rPr>
      </w:pPr>
      <w:bookmarkStart w:id="121" w:name="OLE_LINK34"/>
      <w:r>
        <w:rPr>
          <w:rFonts w:hint="eastAsia" w:ascii="黑体" w:hAnsi="黑体" w:eastAsia="黑体" w:cs="黑体"/>
          <w:sz w:val="24"/>
          <w:szCs w:val="24"/>
          <w:highlight w:val="none"/>
        </w:rPr>
        <w:t>《建设用地土壤污染风险评估技术导则》HJ 25.3</w:t>
      </w:r>
    </w:p>
    <w:bookmarkEnd w:id="121"/>
    <w:p w14:paraId="2D8882C4">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《污染地块风险管控与土壤修复效果评估技术导则》HJ 25.5</w:t>
      </w:r>
    </w:p>
    <w:p w14:paraId="78F7029B">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《污染地块地下水修复和风险管控技术导则》HJ 25.</w:t>
      </w:r>
      <w:r>
        <w:rPr>
          <w:rFonts w:ascii="黑体" w:hAnsi="黑体" w:eastAsia="黑体" w:cs="黑体"/>
          <w:sz w:val="24"/>
          <w:szCs w:val="24"/>
          <w:highlight w:val="none"/>
        </w:rPr>
        <w:t>6</w:t>
      </w:r>
    </w:p>
    <w:p w14:paraId="763FB483">
      <w:pPr>
        <w:pStyle w:val="37"/>
        <w:numPr>
          <w:numId w:val="0"/>
        </w:numPr>
        <w:snapToGrid w:val="0"/>
        <w:spacing w:line="360" w:lineRule="auto"/>
        <w:ind w:left="482" w:leftChars="0"/>
        <w:rPr>
          <w:rFonts w:ascii="黑体" w:hAnsi="黑体" w:eastAsia="黑体" w:cs="黑体"/>
          <w:sz w:val="24"/>
          <w:szCs w:val="24"/>
          <w:highlight w:val="none"/>
        </w:rPr>
      </w:pPr>
      <w:r>
        <w:rPr>
          <w:rFonts w:hint="eastAsia" w:ascii="黑体" w:hAnsi="黑体" w:eastAsia="黑体" w:cs="黑体"/>
          <w:sz w:val="24"/>
          <w:szCs w:val="24"/>
          <w:highlight w:val="none"/>
        </w:rPr>
        <w:t>《钠基膨润土防水毯》JC/T 193</w:t>
      </w:r>
    </w:p>
    <w:p w14:paraId="02840F00">
      <w:pPr>
        <w:pStyle w:val="37"/>
        <w:numPr>
          <w:numId w:val="0"/>
        </w:numPr>
        <w:snapToGrid w:val="0"/>
        <w:spacing w:line="360" w:lineRule="auto"/>
        <w:ind w:left="480" w:leftChars="0"/>
        <w:rPr>
          <w:rFonts w:ascii="黑体" w:hAnsi="黑体" w:eastAsia="黑体" w:cs="黑体"/>
          <w:sz w:val="24"/>
          <w:szCs w:val="24"/>
          <w:highlight w:val="none"/>
        </w:rPr>
      </w:pPr>
      <w:r>
        <w:rPr>
          <w:rFonts w:hint="eastAsia" w:ascii="黑体" w:hAnsi="黑体" w:eastAsia="黑体" w:cs="黑体"/>
          <w:sz w:val="24"/>
          <w:szCs w:val="24"/>
          <w:highlight w:val="none"/>
        </w:rPr>
        <w:t>《岩石中烃类气体扩散系数测定方法》SY/T 6129</w:t>
      </w:r>
    </w:p>
    <w:p w14:paraId="25F0EB8B">
      <w:pPr>
        <w:pStyle w:val="37"/>
        <w:numPr>
          <w:numId w:val="0"/>
        </w:numPr>
        <w:snapToGrid w:val="0"/>
        <w:spacing w:line="360" w:lineRule="auto"/>
        <w:ind w:left="480" w:leftChars="0"/>
        <w:rPr>
          <w:rFonts w:ascii="黑体" w:hAnsi="黑体" w:eastAsia="黑体" w:cs="黑体"/>
          <w:sz w:val="24"/>
          <w:szCs w:val="24"/>
          <w:highlight w:val="none"/>
        </w:rPr>
      </w:pPr>
      <w:r>
        <w:rPr>
          <w:rFonts w:hint="eastAsia" w:ascii="黑体" w:hAnsi="黑体" w:eastAsia="黑体" w:cs="黑体"/>
          <w:sz w:val="24"/>
          <w:szCs w:val="24"/>
          <w:highlight w:val="none"/>
        </w:rPr>
        <w:t>《污染场地挥发性有机物调查与风险评估技术导则》DB</w:t>
      </w:r>
      <w:r>
        <w:rPr>
          <w:rFonts w:ascii="黑体" w:hAnsi="黑体" w:eastAsia="黑体" w:cs="黑体"/>
          <w:sz w:val="24"/>
          <w:szCs w:val="24"/>
          <w:highlight w:val="none"/>
        </w:rPr>
        <w:t>11</w:t>
      </w:r>
      <w:r>
        <w:rPr>
          <w:rFonts w:hint="eastAsia" w:ascii="黑体" w:hAnsi="黑体" w:eastAsia="黑体" w:cs="黑体"/>
          <w:sz w:val="24"/>
          <w:szCs w:val="24"/>
          <w:highlight w:val="none"/>
        </w:rPr>
        <w:t>/</w:t>
      </w:r>
      <w:r>
        <w:rPr>
          <w:rFonts w:ascii="黑体" w:hAnsi="黑体" w:eastAsia="黑体" w:cs="黑体"/>
          <w:sz w:val="24"/>
          <w:szCs w:val="24"/>
          <w:highlight w:val="none"/>
        </w:rPr>
        <w:t>T 1278</w:t>
      </w:r>
    </w:p>
    <w:p w14:paraId="1BFBAEEA">
      <w:pPr>
        <w:snapToGrid w:val="0"/>
        <w:spacing w:line="360" w:lineRule="auto"/>
        <w:ind w:firstLine="480" w:firstLineChars="200"/>
        <w:jc w:val="left"/>
        <w:rPr>
          <w:rFonts w:ascii="黑体" w:hAnsi="黑体" w:eastAsia="黑体" w:cs="黑体"/>
          <w:sz w:val="24"/>
          <w:szCs w:val="24"/>
          <w:highlight w:val="none"/>
        </w:rPr>
      </w:pPr>
    </w:p>
    <w:p w14:paraId="57E86419">
      <w:pPr>
        <w:snapToGrid w:val="0"/>
        <w:spacing w:line="360" w:lineRule="auto"/>
        <w:ind w:firstLine="480" w:firstLineChars="200"/>
        <w:jc w:val="left"/>
        <w:rPr>
          <w:rFonts w:ascii="黑体" w:hAnsi="黑体" w:eastAsia="黑体" w:cs="黑体"/>
          <w:sz w:val="24"/>
          <w:szCs w:val="24"/>
          <w:highlight w:val="none"/>
        </w:rPr>
      </w:pPr>
    </w:p>
    <w:p w14:paraId="61BD43E3">
      <w:pPr>
        <w:snapToGrid w:val="0"/>
        <w:spacing w:line="360" w:lineRule="auto"/>
        <w:jc w:val="center"/>
        <w:rPr>
          <w:rFonts w:ascii="黑体" w:hAnsi="黑体" w:eastAsia="黑体" w:cs="黑体"/>
          <w:sz w:val="28"/>
          <w:szCs w:val="28"/>
          <w:highlight w:val="none"/>
        </w:rPr>
      </w:pPr>
    </w:p>
    <w:p w14:paraId="0D7CB48C">
      <w:pPr>
        <w:snapToGrid w:val="0"/>
        <w:spacing w:line="360" w:lineRule="auto"/>
        <w:jc w:val="center"/>
        <w:rPr>
          <w:rFonts w:ascii="黑体" w:hAnsi="黑体" w:eastAsia="黑体" w:cs="黑体"/>
          <w:sz w:val="28"/>
          <w:szCs w:val="28"/>
          <w:highlight w:val="none"/>
        </w:rPr>
      </w:pPr>
    </w:p>
    <w:p w14:paraId="0E6A9B6F">
      <w:pPr>
        <w:snapToGrid w:val="0"/>
        <w:spacing w:line="360" w:lineRule="auto"/>
        <w:jc w:val="center"/>
        <w:rPr>
          <w:rFonts w:ascii="黑体" w:hAnsi="黑体" w:eastAsia="黑体" w:cs="黑体"/>
          <w:sz w:val="28"/>
          <w:szCs w:val="28"/>
          <w:highlight w:val="none"/>
        </w:rPr>
      </w:pPr>
    </w:p>
    <w:p w14:paraId="532E5D56">
      <w:pPr>
        <w:jc w:val="center"/>
        <w:rPr>
          <w:rFonts w:ascii="黑体" w:hAnsi="黑体" w:eastAsia="黑体" w:cs="黑体"/>
          <w:sz w:val="32"/>
          <w:szCs w:val="32"/>
          <w:highlight w:val="none"/>
        </w:rPr>
      </w:pPr>
      <w:bookmarkStart w:id="122" w:name="_Toc24791"/>
      <w:r>
        <w:rPr>
          <w:rFonts w:hint="eastAsia" w:ascii="黑体" w:hAnsi="黑体" w:eastAsia="黑体" w:cs="黑体"/>
          <w:sz w:val="32"/>
          <w:szCs w:val="32"/>
          <w:highlight w:val="none"/>
        </w:rPr>
        <w:t>中华人民共和国化工行业标准</w:t>
      </w:r>
      <w:bookmarkEnd w:id="122"/>
    </w:p>
    <w:p w14:paraId="600F16D1">
      <w:pPr>
        <w:snapToGrid w:val="0"/>
        <w:spacing w:line="360" w:lineRule="auto"/>
        <w:jc w:val="center"/>
        <w:rPr>
          <w:rFonts w:ascii="黑体" w:hAnsi="黑体" w:eastAsia="黑体" w:cs="黑体"/>
          <w:sz w:val="28"/>
          <w:szCs w:val="28"/>
          <w:highlight w:val="none"/>
        </w:rPr>
      </w:pPr>
    </w:p>
    <w:p w14:paraId="57E685F8">
      <w:pPr>
        <w:snapToGrid w:val="0"/>
        <w:spacing w:line="360" w:lineRule="auto"/>
        <w:jc w:val="center"/>
        <w:rPr>
          <w:rFonts w:ascii="黑体" w:hAnsi="黑体" w:eastAsia="黑体" w:cs="黑体"/>
          <w:sz w:val="28"/>
          <w:szCs w:val="28"/>
          <w:highlight w:val="none"/>
        </w:rPr>
      </w:pPr>
    </w:p>
    <w:p w14:paraId="733852BD">
      <w:pPr>
        <w:jc w:val="center"/>
        <w:rPr>
          <w:rFonts w:ascii="黑体" w:hAnsi="黑体" w:eastAsia="黑体" w:cs="黑体"/>
          <w:sz w:val="44"/>
          <w:szCs w:val="48"/>
          <w:highlight w:val="none"/>
        </w:rPr>
      </w:pPr>
      <w:bookmarkStart w:id="123" w:name="_Toc13033"/>
      <w:r>
        <w:rPr>
          <w:rFonts w:hint="eastAsia" w:ascii="黑体" w:hAnsi="黑体" w:eastAsia="黑体" w:cs="黑体"/>
          <w:sz w:val="44"/>
          <w:szCs w:val="48"/>
          <w:highlight w:val="none"/>
        </w:rPr>
        <w:t>工业有机污染场地覆盖阻隔技术规范</w:t>
      </w:r>
      <w:bookmarkEnd w:id="123"/>
    </w:p>
    <w:p w14:paraId="1FE79D7B">
      <w:pPr>
        <w:snapToGrid w:val="0"/>
        <w:spacing w:line="360" w:lineRule="auto"/>
        <w:jc w:val="center"/>
        <w:rPr>
          <w:rFonts w:ascii="黑体" w:hAnsi="黑体" w:eastAsia="黑体" w:cs="黑体"/>
          <w:sz w:val="40"/>
          <w:szCs w:val="40"/>
          <w:highlight w:val="none"/>
        </w:rPr>
      </w:pPr>
    </w:p>
    <w:p w14:paraId="758E92F6">
      <w:pPr>
        <w:snapToGrid w:val="0"/>
        <w:spacing w:line="360" w:lineRule="auto"/>
        <w:jc w:val="center"/>
        <w:rPr>
          <w:rFonts w:ascii="黑体" w:hAnsi="黑体" w:eastAsia="黑体" w:cs="黑体"/>
          <w:sz w:val="32"/>
          <w:szCs w:val="32"/>
          <w:highlight w:val="none"/>
        </w:rPr>
      </w:pPr>
      <w:r>
        <w:rPr>
          <w:rFonts w:hint="eastAsia" w:ascii="黑体" w:hAnsi="黑体" w:eastAsia="黑体" w:cs="黑体"/>
          <w:sz w:val="32"/>
          <w:szCs w:val="32"/>
          <w:highlight w:val="none"/>
        </w:rPr>
        <w:t>HG/T XXXXX-XXXX</w:t>
      </w:r>
    </w:p>
    <w:p w14:paraId="13648DF3">
      <w:pPr>
        <w:snapToGrid w:val="0"/>
        <w:spacing w:line="360" w:lineRule="auto"/>
        <w:jc w:val="center"/>
        <w:rPr>
          <w:rFonts w:ascii="黑体" w:hAnsi="黑体" w:eastAsia="黑体" w:cs="黑体"/>
          <w:sz w:val="28"/>
          <w:szCs w:val="28"/>
          <w:highlight w:val="none"/>
        </w:rPr>
      </w:pPr>
    </w:p>
    <w:p w14:paraId="2840A59A">
      <w:pPr>
        <w:snapToGrid w:val="0"/>
        <w:spacing w:line="360" w:lineRule="auto"/>
        <w:jc w:val="center"/>
        <w:rPr>
          <w:rFonts w:ascii="黑体" w:hAnsi="黑体" w:eastAsia="黑体" w:cs="黑体"/>
          <w:sz w:val="28"/>
          <w:szCs w:val="28"/>
          <w:highlight w:val="none"/>
        </w:rPr>
      </w:pPr>
    </w:p>
    <w:p w14:paraId="23086DB3">
      <w:pPr>
        <w:snapToGrid w:val="0"/>
        <w:spacing w:line="360" w:lineRule="auto"/>
        <w:jc w:val="center"/>
        <w:outlineLvl w:val="0"/>
        <w:rPr>
          <w:rFonts w:ascii="黑体" w:hAnsi="黑体" w:eastAsia="黑体" w:cs="黑体"/>
          <w:sz w:val="44"/>
          <w:szCs w:val="44"/>
          <w:highlight w:val="none"/>
        </w:rPr>
      </w:pPr>
      <w:bookmarkStart w:id="124" w:name="_Toc10823"/>
      <w:r>
        <w:rPr>
          <w:rFonts w:hint="eastAsia" w:ascii="黑体" w:hAnsi="黑体" w:eastAsia="黑体" w:cs="黑体"/>
          <w:sz w:val="44"/>
          <w:szCs w:val="44"/>
          <w:highlight w:val="none"/>
        </w:rPr>
        <w:t>条 文 说 明</w:t>
      </w:r>
      <w:bookmarkEnd w:id="124"/>
    </w:p>
    <w:p w14:paraId="111DA245">
      <w:pPr>
        <w:widowControl/>
        <w:jc w:val="left"/>
        <w:rPr>
          <w:rFonts w:ascii="黑体" w:hAnsi="黑体" w:eastAsia="黑体" w:cs="黑体"/>
          <w:sz w:val="24"/>
          <w:szCs w:val="24"/>
          <w:highlight w:val="none"/>
        </w:rPr>
      </w:pPr>
      <w:r>
        <w:rPr>
          <w:rFonts w:ascii="黑体" w:hAnsi="黑体" w:eastAsia="黑体" w:cs="黑体"/>
          <w:sz w:val="24"/>
          <w:szCs w:val="24"/>
          <w:highlight w:val="none"/>
        </w:rPr>
        <w:br w:type="page"/>
      </w:r>
    </w:p>
    <w:p w14:paraId="6BB6E7BD">
      <w:pPr>
        <w:snapToGrid w:val="0"/>
        <w:spacing w:line="360" w:lineRule="auto"/>
        <w:jc w:val="center"/>
        <w:outlineLvl w:val="0"/>
        <w:rPr>
          <w:rFonts w:hint="eastAsia" w:ascii="黑体" w:hAnsi="黑体" w:eastAsia="黑体" w:cs="黑体"/>
          <w:sz w:val="28"/>
          <w:szCs w:val="28"/>
          <w:highlight w:val="none"/>
        </w:rPr>
      </w:pPr>
      <w:bookmarkStart w:id="125" w:name="_Toc5081"/>
      <w:bookmarkStart w:id="126" w:name="_Toc17619"/>
      <w:r>
        <w:rPr>
          <w:rFonts w:hint="eastAsia" w:ascii="黑体" w:hAnsi="黑体" w:eastAsia="黑体" w:cs="黑体"/>
          <w:sz w:val="28"/>
          <w:szCs w:val="28"/>
          <w:highlight w:val="none"/>
        </w:rPr>
        <w:t>制定说明</w:t>
      </w:r>
    </w:p>
    <w:p w14:paraId="7ACB66EA">
      <w:pPr>
        <w:jc w:val="left"/>
        <w:rPr>
          <w:rFonts w:hint="eastAsia" w:ascii="黑体" w:hAnsi="黑体" w:eastAsia="黑体" w:cs="黑体"/>
          <w:highlight w:val="none"/>
          <w:lang w:val="en-US" w:eastAsia="zh-CN"/>
        </w:rPr>
      </w:pPr>
    </w:p>
    <w:p w14:paraId="003BE43D">
      <w:pPr>
        <w:snapToGrid w:val="0"/>
        <w:spacing w:line="360" w:lineRule="auto"/>
        <w:ind w:firstLine="420" w:firstLineChars="200"/>
        <w:rPr>
          <w:rFonts w:hint="eastAsia" w:ascii="黑体" w:hAnsi="黑体" w:eastAsia="黑体" w:cs="黑体"/>
          <w:highlight w:val="none"/>
        </w:rPr>
      </w:pPr>
      <w:r>
        <w:rPr>
          <w:rFonts w:hint="eastAsia" w:ascii="黑体" w:hAnsi="黑体" w:eastAsia="黑体" w:cs="黑体"/>
          <w:highlight w:val="none"/>
        </w:rPr>
        <w:t>《工业有机污染场地覆盖阻隔技术规范》（HG/T XXXXX-XXXX），经工业和信息化部XXXX年XXXX月XX日以第XX号公告批准发布。</w:t>
      </w:r>
    </w:p>
    <w:p w14:paraId="5F83B07D">
      <w:pPr>
        <w:snapToGrid w:val="0"/>
        <w:spacing w:line="360" w:lineRule="auto"/>
        <w:ind w:firstLine="420" w:firstLineChars="200"/>
        <w:rPr>
          <w:rFonts w:hint="eastAsia" w:ascii="黑体" w:hAnsi="黑体" w:eastAsia="黑体" w:cs="黑体"/>
          <w:highlight w:val="none"/>
        </w:rPr>
      </w:pPr>
      <w:r>
        <w:rPr>
          <w:rFonts w:hint="eastAsia" w:ascii="黑体" w:hAnsi="黑体" w:eastAsia="黑体" w:cs="黑体"/>
          <w:highlight w:val="none"/>
        </w:rPr>
        <w:t>本规范制订过程中，编制组进行了广泛的调查研究，总结了我国工业有机污染场地覆盖阻隔技术的理论和实践经验，同时参考了国外先进技术法规</w:t>
      </w:r>
      <w:r>
        <w:rPr>
          <w:rFonts w:hint="eastAsia" w:ascii="黑体" w:hAnsi="黑体" w:eastAsia="黑体" w:cs="黑体"/>
          <w:highlight w:val="none"/>
          <w:lang w:eastAsia="zh-CN"/>
        </w:rPr>
        <w:t>、</w:t>
      </w:r>
      <w:r>
        <w:rPr>
          <w:rFonts w:hint="eastAsia" w:ascii="黑体" w:hAnsi="黑体" w:eastAsia="黑体" w:cs="黑体"/>
          <w:highlight w:val="none"/>
          <w:lang w:val="en-US" w:eastAsia="zh-CN"/>
        </w:rPr>
        <w:t>技术</w:t>
      </w:r>
      <w:r>
        <w:rPr>
          <w:rFonts w:hint="eastAsia" w:ascii="黑体" w:hAnsi="黑体" w:eastAsia="黑体" w:cs="黑体"/>
          <w:highlight w:val="none"/>
        </w:rPr>
        <w:t>标准，通过研究分析总结综合，统一</w:t>
      </w:r>
      <w:r>
        <w:rPr>
          <w:rFonts w:hint="eastAsia" w:ascii="黑体" w:hAnsi="黑体" w:eastAsia="黑体" w:cs="黑体"/>
          <w:highlight w:val="none"/>
          <w:lang w:val="en-US" w:eastAsia="zh-CN"/>
        </w:rPr>
        <w:t>了</w:t>
      </w:r>
      <w:r>
        <w:rPr>
          <w:rFonts w:hint="eastAsia" w:ascii="黑体" w:hAnsi="黑体" w:eastAsia="黑体" w:cs="黑体"/>
          <w:highlight w:val="none"/>
        </w:rPr>
        <w:t>工业有机污染场地覆盖阻隔工程的技术要求。</w:t>
      </w:r>
    </w:p>
    <w:p w14:paraId="5BF0CC93">
      <w:pPr>
        <w:snapToGrid w:val="0"/>
        <w:spacing w:line="360" w:lineRule="auto"/>
        <w:ind w:firstLine="420" w:firstLineChars="200"/>
        <w:rPr>
          <w:rFonts w:hint="eastAsia" w:ascii="黑体" w:hAnsi="黑体" w:eastAsia="黑体" w:cs="黑体"/>
          <w:highlight w:val="none"/>
        </w:rPr>
      </w:pPr>
      <w:r>
        <w:rPr>
          <w:rFonts w:hint="eastAsia" w:ascii="黑体" w:hAnsi="黑体" w:eastAsia="黑体" w:cs="黑体"/>
          <w:highlight w:val="none"/>
        </w:rPr>
        <w:t>为便于广大设计、施工、科研、学校等单位有关人员在使用</w:t>
      </w:r>
      <w:r>
        <w:rPr>
          <w:rFonts w:hint="eastAsia" w:ascii="黑体" w:hAnsi="黑体" w:eastAsia="黑体" w:cs="黑体"/>
          <w:highlight w:val="none"/>
          <w:lang w:val="en-US" w:eastAsia="zh-CN"/>
        </w:rPr>
        <w:t>标准</w:t>
      </w:r>
      <w:r>
        <w:rPr>
          <w:rFonts w:hint="eastAsia" w:ascii="黑体" w:hAnsi="黑体" w:eastAsia="黑体" w:cs="黑体"/>
          <w:highlight w:val="none"/>
        </w:rPr>
        <w:t>时能正确理解和执行条文规定，《工业有机污染场地覆盖阻隔技术规范》编制组按章、节、条顺序编制了本</w:t>
      </w:r>
      <w:r>
        <w:rPr>
          <w:rFonts w:hint="eastAsia" w:ascii="黑体" w:hAnsi="黑体" w:eastAsia="黑体" w:cs="黑体"/>
          <w:highlight w:val="none"/>
          <w:lang w:val="en-US" w:eastAsia="zh-CN"/>
        </w:rPr>
        <w:t>标准</w:t>
      </w:r>
      <w:r>
        <w:rPr>
          <w:rFonts w:hint="eastAsia" w:ascii="黑体" w:hAnsi="黑体" w:eastAsia="黑体" w:cs="黑体"/>
          <w:highlight w:val="none"/>
        </w:rPr>
        <w:t>的条文说明，对条文规定的目的、依据以及执行中需注意的有关事项进行了说明。但是，本条文说明不具备与标准正文同等的法律效力，仅供使用者作为理解和把握标准规定的参考。</w:t>
      </w:r>
    </w:p>
    <w:p w14:paraId="4477997A">
      <w:pPr>
        <w:widowControl/>
        <w:autoSpaceDE w:val="0"/>
        <w:autoSpaceDN w:val="0"/>
        <w:adjustRightInd w:val="0"/>
        <w:spacing w:line="440" w:lineRule="exact"/>
        <w:ind w:firstLine="480"/>
        <w:jc w:val="left"/>
        <w:rPr>
          <w:rFonts w:ascii="黑体" w:hAnsi="黑体" w:eastAsia="黑体" w:cs="黑体"/>
          <w:sz w:val="24"/>
          <w:szCs w:val="24"/>
          <w:highlight w:val="none"/>
        </w:rPr>
      </w:pPr>
      <w:r>
        <w:rPr>
          <w:rFonts w:ascii="黑体" w:hAnsi="黑体" w:eastAsia="黑体" w:cs="黑体"/>
          <w:sz w:val="24"/>
          <w:szCs w:val="24"/>
          <w:highlight w:val="none"/>
        </w:rPr>
        <w:br w:type="page"/>
      </w:r>
    </w:p>
    <w:p w14:paraId="513E2F02">
      <w:pPr>
        <w:jc w:val="center"/>
        <w:rPr>
          <w:rFonts w:hint="eastAsia" w:ascii="黑体" w:hAnsi="黑体" w:eastAsia="黑体" w:cs="黑体"/>
          <w:b/>
          <w:bCs/>
          <w:sz w:val="28"/>
          <w:szCs w:val="32"/>
          <w:highlight w:val="none"/>
        </w:rPr>
      </w:pPr>
      <w:r>
        <w:rPr>
          <w:rFonts w:hint="eastAsia" w:ascii="黑体" w:hAnsi="黑体" w:eastAsia="黑体" w:cs="黑体"/>
          <w:b/>
          <w:bCs/>
          <w:sz w:val="28"/>
          <w:szCs w:val="32"/>
          <w:highlight w:val="none"/>
        </w:rPr>
        <w:t>目  次</w:t>
      </w:r>
    </w:p>
    <w:p w14:paraId="638FE66D">
      <w:pPr>
        <w:jc w:val="center"/>
        <w:rPr>
          <w:rFonts w:hint="eastAsia" w:ascii="黑体" w:hAnsi="黑体" w:eastAsia="黑体" w:cs="黑体"/>
          <w:b/>
          <w:bCs/>
          <w:highlight w:val="none"/>
        </w:rPr>
      </w:pPr>
    </w:p>
    <w:p w14:paraId="0D6885CB">
      <w:pPr>
        <w:pStyle w:val="9"/>
        <w:tabs>
          <w:tab w:val="right" w:leader="dot" w:pos="8306"/>
        </w:tabs>
        <w:rPr>
          <w:rFonts w:hint="eastAsia" w:ascii="黑体" w:hAnsi="黑体" w:eastAsia="黑体" w:cs="黑体"/>
          <w:highlight w:val="none"/>
        </w:rPr>
      </w:pPr>
      <w:bookmarkStart w:id="172" w:name="_GoBack"/>
      <w:bookmarkEnd w:id="172"/>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"_Toc5283" </w:instrText>
      </w:r>
      <w:r>
        <w:rPr>
          <w:rFonts w:hint="eastAsia" w:ascii="黑体" w:hAnsi="黑体" w:eastAsia="黑体" w:cs="黑体"/>
          <w:highlight w:val="none"/>
        </w:rPr>
        <w:fldChar w:fldCharType="separate"/>
      </w:r>
      <w:r>
        <w:rPr>
          <w:rFonts w:hint="eastAsia" w:ascii="黑体" w:hAnsi="黑体" w:eastAsia="黑体" w:cs="黑体"/>
          <w:szCs w:val="28"/>
          <w:highlight w:val="none"/>
        </w:rPr>
        <w:t>2 术  语</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_Toc5283 \h </w:instrText>
      </w:r>
      <w:r>
        <w:rPr>
          <w:rFonts w:hint="eastAsia" w:ascii="黑体" w:hAnsi="黑体" w:eastAsia="黑体" w:cs="黑体"/>
          <w:highlight w:val="none"/>
        </w:rPr>
        <w:fldChar w:fldCharType="separate"/>
      </w:r>
      <w:r>
        <w:rPr>
          <w:rFonts w:hint="eastAsia" w:ascii="黑体" w:hAnsi="黑体" w:eastAsia="黑体" w:cs="黑体"/>
          <w:highlight w:val="none"/>
        </w:rPr>
        <w:t>33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2B4DB9B0">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"_Toc24366" </w:instrText>
      </w:r>
      <w:r>
        <w:rPr>
          <w:rFonts w:hint="eastAsia" w:ascii="黑体" w:hAnsi="黑体" w:eastAsia="黑体" w:cs="黑体"/>
          <w:highlight w:val="none"/>
        </w:rPr>
        <w:fldChar w:fldCharType="separate"/>
      </w:r>
      <w:r>
        <w:rPr>
          <w:rFonts w:ascii="黑体" w:hAnsi="黑体" w:eastAsia="黑体" w:cs="黑体"/>
          <w:szCs w:val="28"/>
          <w:highlight w:val="none"/>
        </w:rPr>
        <w:t>3</w:t>
      </w:r>
      <w:r>
        <w:rPr>
          <w:rFonts w:hint="eastAsia" w:ascii="黑体" w:hAnsi="黑体" w:eastAsia="黑体" w:cs="黑体"/>
          <w:szCs w:val="28"/>
          <w:highlight w:val="none"/>
        </w:rPr>
        <w:t xml:space="preserve"> 基本规定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_Toc24366 \h </w:instrText>
      </w:r>
      <w:r>
        <w:rPr>
          <w:rFonts w:hint="eastAsia" w:ascii="黑体" w:hAnsi="黑体" w:eastAsia="黑体" w:cs="黑体"/>
          <w:highlight w:val="none"/>
        </w:rPr>
        <w:fldChar w:fldCharType="separate"/>
      </w:r>
      <w:r>
        <w:rPr>
          <w:rFonts w:hint="eastAsia" w:ascii="黑体" w:hAnsi="黑体" w:eastAsia="黑体" w:cs="黑体"/>
          <w:highlight w:val="none"/>
        </w:rPr>
        <w:t>34</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2C06C461">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"_Toc18566" </w:instrText>
      </w:r>
      <w:r>
        <w:rPr>
          <w:rFonts w:hint="eastAsia" w:ascii="黑体" w:hAnsi="黑体" w:eastAsia="黑体" w:cs="黑体"/>
          <w:highlight w:val="none"/>
        </w:rPr>
        <w:fldChar w:fldCharType="separate"/>
      </w:r>
      <w:r>
        <w:rPr>
          <w:rFonts w:hint="eastAsia" w:ascii="黑体" w:hAnsi="黑体" w:eastAsia="黑体" w:cs="黑体"/>
          <w:szCs w:val="28"/>
          <w:highlight w:val="none"/>
        </w:rPr>
        <w:t>4 场地勘察与污染状况调查</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_Toc18566 \h </w:instrText>
      </w:r>
      <w:r>
        <w:rPr>
          <w:rFonts w:hint="eastAsia" w:ascii="黑体" w:hAnsi="黑体" w:eastAsia="黑体" w:cs="黑体"/>
          <w:highlight w:val="none"/>
        </w:rPr>
        <w:fldChar w:fldCharType="separate"/>
      </w:r>
      <w:r>
        <w:rPr>
          <w:rFonts w:hint="eastAsia" w:ascii="黑体" w:hAnsi="黑体" w:eastAsia="黑体" w:cs="黑体"/>
          <w:highlight w:val="none"/>
        </w:rPr>
        <w:t>3</w:t>
      </w:r>
      <w:r>
        <w:rPr>
          <w:rFonts w:hint="eastAsia" w:ascii="黑体" w:hAnsi="黑体" w:eastAsia="黑体" w:cs="黑体"/>
          <w:highlight w:val="none"/>
        </w:rPr>
        <w:fldChar w:fldCharType="end"/>
      </w:r>
      <w:r>
        <w:rPr>
          <w:rFonts w:hint="eastAsia" w:ascii="黑体" w:hAnsi="黑体" w:eastAsia="黑体" w:cs="黑体"/>
          <w:highlight w:val="none"/>
        </w:rPr>
        <w:fldChar w:fldCharType="end"/>
      </w:r>
      <w:r>
        <w:rPr>
          <w:rFonts w:hint="eastAsia" w:ascii="黑体" w:hAnsi="黑体" w:eastAsia="黑体" w:cs="黑体"/>
          <w:highlight w:val="none"/>
        </w:rPr>
        <w:t>5</w:t>
      </w:r>
    </w:p>
    <w:p w14:paraId="362EFEC5">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"_Toc25223" </w:instrText>
      </w:r>
      <w:r>
        <w:rPr>
          <w:rFonts w:hint="eastAsia" w:ascii="黑体" w:hAnsi="黑体" w:eastAsia="黑体" w:cs="黑体"/>
          <w:highlight w:val="none"/>
        </w:rPr>
        <w:fldChar w:fldCharType="separate"/>
      </w:r>
      <w:r>
        <w:rPr>
          <w:rFonts w:hint="eastAsia" w:ascii="黑体" w:hAnsi="黑体" w:eastAsia="黑体" w:cs="黑体"/>
          <w:szCs w:val="21"/>
          <w:highlight w:val="none"/>
        </w:rPr>
        <w:t>4.2  场地岩土工程勘察</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_Toc25223 \h </w:instrText>
      </w:r>
      <w:r>
        <w:rPr>
          <w:rFonts w:hint="eastAsia" w:ascii="黑体" w:hAnsi="黑体" w:eastAsia="黑体" w:cs="黑体"/>
          <w:highlight w:val="none"/>
        </w:rPr>
        <w:fldChar w:fldCharType="separate"/>
      </w:r>
      <w:r>
        <w:rPr>
          <w:rFonts w:hint="eastAsia" w:ascii="黑体" w:hAnsi="黑体" w:eastAsia="黑体" w:cs="黑体"/>
          <w:highlight w:val="none"/>
        </w:rPr>
        <w:t>35</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ED228EB">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"_Toc16278" </w:instrText>
      </w:r>
      <w:r>
        <w:rPr>
          <w:rFonts w:hint="eastAsia" w:ascii="黑体" w:hAnsi="黑体" w:eastAsia="黑体" w:cs="黑体"/>
          <w:highlight w:val="none"/>
        </w:rPr>
        <w:fldChar w:fldCharType="separate"/>
      </w:r>
      <w:r>
        <w:rPr>
          <w:rFonts w:hint="eastAsia" w:ascii="黑体" w:hAnsi="黑体" w:eastAsia="黑体" w:cs="黑体"/>
          <w:szCs w:val="21"/>
          <w:highlight w:val="none"/>
        </w:rPr>
        <w:t>4.3  污染状况调查</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_Toc16278 \h </w:instrText>
      </w:r>
      <w:r>
        <w:rPr>
          <w:rFonts w:hint="eastAsia" w:ascii="黑体" w:hAnsi="黑体" w:eastAsia="黑体" w:cs="黑体"/>
          <w:highlight w:val="none"/>
        </w:rPr>
        <w:fldChar w:fldCharType="separate"/>
      </w:r>
      <w:r>
        <w:rPr>
          <w:rFonts w:hint="eastAsia" w:ascii="黑体" w:hAnsi="黑体" w:eastAsia="黑体" w:cs="黑体"/>
          <w:highlight w:val="none"/>
        </w:rPr>
        <w:t>35</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39BEDC97">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"_Toc24480" </w:instrText>
      </w:r>
      <w:r>
        <w:rPr>
          <w:rFonts w:hint="eastAsia" w:ascii="黑体" w:hAnsi="黑体" w:eastAsia="黑体" w:cs="黑体"/>
          <w:highlight w:val="none"/>
        </w:rPr>
        <w:fldChar w:fldCharType="separate"/>
      </w:r>
      <w:r>
        <w:rPr>
          <w:rFonts w:hint="eastAsia" w:ascii="黑体" w:hAnsi="黑体" w:eastAsia="黑体" w:cs="黑体"/>
          <w:szCs w:val="28"/>
          <w:highlight w:val="none"/>
        </w:rPr>
        <w:t>5 覆盖阻隔工程设计</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_Toc24480 \h </w:instrText>
      </w:r>
      <w:r>
        <w:rPr>
          <w:rFonts w:hint="eastAsia" w:ascii="黑体" w:hAnsi="黑体" w:eastAsia="黑体" w:cs="黑体"/>
          <w:highlight w:val="none"/>
        </w:rPr>
        <w:fldChar w:fldCharType="separate"/>
      </w:r>
      <w:r>
        <w:rPr>
          <w:rFonts w:hint="eastAsia" w:ascii="黑体" w:hAnsi="黑体" w:eastAsia="黑体" w:cs="黑体"/>
          <w:highlight w:val="none"/>
        </w:rPr>
        <w:t>36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E59041A">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"_Toc28816" </w:instrText>
      </w:r>
      <w:r>
        <w:rPr>
          <w:rFonts w:hint="eastAsia" w:ascii="黑体" w:hAnsi="黑体" w:eastAsia="黑体" w:cs="黑体"/>
          <w:highlight w:val="none"/>
        </w:rPr>
        <w:fldChar w:fldCharType="separate"/>
      </w:r>
      <w:r>
        <w:rPr>
          <w:rFonts w:hint="eastAsia" w:ascii="黑体" w:hAnsi="黑体" w:eastAsia="黑体" w:cs="黑体"/>
          <w:szCs w:val="21"/>
          <w:highlight w:val="none"/>
        </w:rPr>
        <w:t>5.1  一 般 规 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_Toc28816 \h </w:instrText>
      </w:r>
      <w:r>
        <w:rPr>
          <w:rFonts w:hint="eastAsia" w:ascii="黑体" w:hAnsi="黑体" w:eastAsia="黑体" w:cs="黑体"/>
          <w:highlight w:val="none"/>
        </w:rPr>
        <w:fldChar w:fldCharType="separate"/>
      </w:r>
      <w:r>
        <w:rPr>
          <w:rFonts w:hint="eastAsia" w:ascii="黑体" w:hAnsi="黑体" w:eastAsia="黑体" w:cs="黑体"/>
          <w:highlight w:val="none"/>
        </w:rPr>
        <w:t>36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20275865">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"_Toc26245" </w:instrText>
      </w:r>
      <w:r>
        <w:rPr>
          <w:rFonts w:hint="eastAsia" w:ascii="黑体" w:hAnsi="黑体" w:eastAsia="黑体" w:cs="黑体"/>
          <w:highlight w:val="none"/>
        </w:rPr>
        <w:fldChar w:fldCharType="separate"/>
      </w:r>
      <w:r>
        <w:rPr>
          <w:rFonts w:hint="eastAsia" w:ascii="黑体" w:hAnsi="黑体" w:eastAsia="黑体" w:cs="黑体"/>
          <w:szCs w:val="21"/>
          <w:highlight w:val="none"/>
        </w:rPr>
        <w:t>5.2  覆盖阻隔屏障总体设计</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_Toc26245 \h </w:instrText>
      </w:r>
      <w:r>
        <w:rPr>
          <w:rFonts w:hint="eastAsia" w:ascii="黑体" w:hAnsi="黑体" w:eastAsia="黑体" w:cs="黑体"/>
          <w:highlight w:val="none"/>
        </w:rPr>
        <w:fldChar w:fldCharType="separate"/>
      </w:r>
      <w:r>
        <w:rPr>
          <w:rFonts w:hint="eastAsia" w:ascii="黑体" w:hAnsi="黑体" w:eastAsia="黑体" w:cs="黑体"/>
          <w:highlight w:val="none"/>
        </w:rPr>
        <w:t>36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1121A1BA">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"_Toc22149" </w:instrText>
      </w:r>
      <w:r>
        <w:rPr>
          <w:rFonts w:hint="eastAsia" w:ascii="黑体" w:hAnsi="黑体" w:eastAsia="黑体" w:cs="黑体"/>
          <w:highlight w:val="none"/>
        </w:rPr>
        <w:fldChar w:fldCharType="separate"/>
      </w:r>
      <w:r>
        <w:rPr>
          <w:rFonts w:hint="eastAsia" w:ascii="黑体" w:hAnsi="黑体" w:eastAsia="黑体" w:cs="黑体"/>
          <w:szCs w:val="21"/>
          <w:highlight w:val="none"/>
        </w:rPr>
        <w:t>5.3  覆盖阻隔屏障防渗阻气层</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_Toc22149 \h </w:instrText>
      </w:r>
      <w:r>
        <w:rPr>
          <w:rFonts w:hint="eastAsia" w:ascii="黑体" w:hAnsi="黑体" w:eastAsia="黑体" w:cs="黑体"/>
          <w:highlight w:val="none"/>
        </w:rPr>
        <w:fldChar w:fldCharType="separate"/>
      </w:r>
      <w:r>
        <w:rPr>
          <w:rFonts w:hint="eastAsia" w:ascii="黑体" w:hAnsi="黑体" w:eastAsia="黑体" w:cs="黑体"/>
          <w:highlight w:val="none"/>
        </w:rPr>
        <w:t>36</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70111414">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"_Toc27733" </w:instrText>
      </w:r>
      <w:r>
        <w:rPr>
          <w:rFonts w:hint="eastAsia" w:ascii="黑体" w:hAnsi="黑体" w:eastAsia="黑体" w:cs="黑体"/>
          <w:highlight w:val="none"/>
        </w:rPr>
        <w:fldChar w:fldCharType="separate"/>
      </w:r>
      <w:r>
        <w:rPr>
          <w:rFonts w:hint="eastAsia" w:ascii="黑体" w:hAnsi="黑体" w:eastAsia="黑体" w:cs="黑体"/>
          <w:szCs w:val="21"/>
          <w:highlight w:val="none"/>
        </w:rPr>
        <w:t>5.6  击穿判别验算</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_Toc27733 \h </w:instrText>
      </w:r>
      <w:r>
        <w:rPr>
          <w:rFonts w:hint="eastAsia" w:ascii="黑体" w:hAnsi="黑体" w:eastAsia="黑体" w:cs="黑体"/>
          <w:highlight w:val="none"/>
        </w:rPr>
        <w:fldChar w:fldCharType="separate"/>
      </w:r>
      <w:r>
        <w:rPr>
          <w:rFonts w:hint="eastAsia" w:ascii="黑体" w:hAnsi="黑体" w:eastAsia="黑体" w:cs="黑体"/>
          <w:highlight w:val="none"/>
        </w:rPr>
        <w:t>37</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3CCF7FF7">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"_Toc10023" </w:instrText>
      </w:r>
      <w:r>
        <w:rPr>
          <w:rFonts w:hint="eastAsia" w:ascii="黑体" w:hAnsi="黑体" w:eastAsia="黑体" w:cs="黑体"/>
          <w:highlight w:val="none"/>
        </w:rPr>
        <w:fldChar w:fldCharType="separate"/>
      </w:r>
      <w:r>
        <w:rPr>
          <w:rFonts w:hint="eastAsia" w:ascii="黑体" w:hAnsi="黑体" w:eastAsia="黑体" w:cs="黑体"/>
          <w:szCs w:val="21"/>
          <w:highlight w:val="none"/>
        </w:rPr>
        <w:t>5.7  覆盖阻隔屏障材料性能测试方法</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_Toc10023 \h </w:instrText>
      </w:r>
      <w:r>
        <w:rPr>
          <w:rFonts w:hint="eastAsia" w:ascii="黑体" w:hAnsi="黑体" w:eastAsia="黑体" w:cs="黑体"/>
          <w:highlight w:val="none"/>
        </w:rPr>
        <w:fldChar w:fldCharType="separate"/>
      </w:r>
      <w:r>
        <w:rPr>
          <w:rFonts w:hint="eastAsia" w:ascii="黑体" w:hAnsi="黑体" w:eastAsia="黑体" w:cs="黑体"/>
          <w:highlight w:val="none"/>
        </w:rPr>
        <w:t>4</w:t>
      </w:r>
      <w:r>
        <w:rPr>
          <w:rFonts w:hint="eastAsia" w:ascii="黑体" w:hAnsi="黑体" w:eastAsia="黑体" w:cs="黑体"/>
          <w:highlight w:val="none"/>
        </w:rPr>
        <w:fldChar w:fldCharType="end"/>
      </w:r>
      <w:r>
        <w:rPr>
          <w:rFonts w:hint="eastAsia" w:ascii="黑体" w:hAnsi="黑体" w:eastAsia="黑体" w:cs="黑体"/>
          <w:highlight w:val="none"/>
        </w:rPr>
        <w:fldChar w:fldCharType="end"/>
      </w:r>
      <w:r>
        <w:rPr>
          <w:rFonts w:hint="eastAsia" w:ascii="黑体" w:hAnsi="黑体" w:eastAsia="黑体" w:cs="黑体"/>
          <w:highlight w:val="none"/>
        </w:rPr>
        <w:t>0</w:t>
      </w:r>
    </w:p>
    <w:p w14:paraId="7F2D1BD1">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"_Toc14559" </w:instrText>
      </w:r>
      <w:r>
        <w:rPr>
          <w:rFonts w:hint="eastAsia" w:ascii="黑体" w:hAnsi="黑体" w:eastAsia="黑体" w:cs="黑体"/>
          <w:highlight w:val="none"/>
        </w:rPr>
        <w:fldChar w:fldCharType="separate"/>
      </w:r>
      <w:r>
        <w:rPr>
          <w:rFonts w:hint="eastAsia" w:ascii="黑体" w:hAnsi="黑体" w:eastAsia="黑体" w:cs="黑体"/>
          <w:szCs w:val="28"/>
          <w:highlight w:val="none"/>
        </w:rPr>
        <w:t>6 覆盖阻隔工程施工</w:t>
      </w:r>
      <w:r>
        <w:rPr>
          <w:rFonts w:hint="eastAsia" w:ascii="黑体" w:hAnsi="黑体" w:eastAsia="黑体" w:cs="黑体"/>
          <w:highlight w:val="none"/>
        </w:rPr>
        <w:tab/>
      </w:r>
      <w:r>
        <w:rPr>
          <w:rFonts w:hint="eastAsia" w:ascii="黑体" w:hAnsi="黑体" w:eastAsia="黑体" w:cs="黑体"/>
          <w:highlight w:val="none"/>
        </w:rPr>
        <w:fldChar w:fldCharType="end"/>
      </w:r>
      <w:r>
        <w:rPr>
          <w:rFonts w:hint="eastAsia" w:ascii="黑体" w:hAnsi="黑体" w:eastAsia="黑体" w:cs="黑体"/>
          <w:highlight w:val="none"/>
        </w:rPr>
        <w:t>41</w:t>
      </w:r>
    </w:p>
    <w:p w14:paraId="0786EE9F">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"_Toc22624" </w:instrText>
      </w:r>
      <w:r>
        <w:rPr>
          <w:rFonts w:hint="eastAsia" w:ascii="黑体" w:hAnsi="黑体" w:eastAsia="黑体" w:cs="黑体"/>
          <w:highlight w:val="none"/>
        </w:rPr>
        <w:fldChar w:fldCharType="separate"/>
      </w:r>
      <w:r>
        <w:rPr>
          <w:rFonts w:hint="eastAsia" w:ascii="黑体" w:hAnsi="黑体" w:eastAsia="黑体" w:cs="黑体"/>
          <w:szCs w:val="21"/>
          <w:highlight w:val="none"/>
        </w:rPr>
        <w:t>6.1  一 般 规 定</w:t>
      </w:r>
      <w:r>
        <w:rPr>
          <w:rFonts w:hint="eastAsia" w:ascii="黑体" w:hAnsi="黑体" w:eastAsia="黑体" w:cs="黑体"/>
          <w:highlight w:val="none"/>
        </w:rPr>
        <w:tab/>
      </w:r>
      <w:r>
        <w:rPr>
          <w:rFonts w:hint="eastAsia" w:ascii="黑体" w:hAnsi="黑体" w:eastAsia="黑体" w:cs="黑体"/>
          <w:highlight w:val="none"/>
        </w:rPr>
        <w:fldChar w:fldCharType="end"/>
      </w:r>
      <w:r>
        <w:rPr>
          <w:rFonts w:hint="eastAsia" w:ascii="黑体" w:hAnsi="黑体" w:eastAsia="黑体" w:cs="黑体"/>
          <w:highlight w:val="none"/>
        </w:rPr>
        <w:t>41</w:t>
      </w:r>
    </w:p>
    <w:p w14:paraId="760BE992">
      <w:pPr>
        <w:pStyle w:val="9"/>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"_Toc27219" </w:instrText>
      </w:r>
      <w:r>
        <w:rPr>
          <w:rFonts w:hint="eastAsia" w:ascii="黑体" w:hAnsi="黑体" w:eastAsia="黑体" w:cs="黑体"/>
          <w:highlight w:val="none"/>
        </w:rPr>
        <w:fldChar w:fldCharType="separate"/>
      </w:r>
      <w:r>
        <w:rPr>
          <w:rFonts w:hint="eastAsia" w:ascii="黑体" w:hAnsi="黑体" w:eastAsia="黑体" w:cs="黑体"/>
          <w:szCs w:val="28"/>
          <w:highlight w:val="none"/>
        </w:rPr>
        <w:t>7 工程效果评估及工后监测</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_Toc27219 \h </w:instrText>
      </w:r>
      <w:r>
        <w:rPr>
          <w:rFonts w:hint="eastAsia" w:ascii="黑体" w:hAnsi="黑体" w:eastAsia="黑体" w:cs="黑体"/>
          <w:highlight w:val="none"/>
        </w:rPr>
        <w:fldChar w:fldCharType="separate"/>
      </w:r>
      <w:r>
        <w:rPr>
          <w:rFonts w:hint="eastAsia" w:ascii="黑体" w:hAnsi="黑体" w:eastAsia="黑体" w:cs="黑体"/>
          <w:highlight w:val="none"/>
        </w:rPr>
        <w:t>43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24A1B25B">
      <w:pPr>
        <w:pStyle w:val="10"/>
        <w:tabs>
          <w:tab w:val="right" w:leader="dot" w:pos="8306"/>
        </w:tabs>
        <w:rPr>
          <w:rFonts w:hint="eastAsia" w:ascii="黑体" w:hAnsi="黑体" w:eastAsia="黑体" w:cs="黑体"/>
          <w:highlight w:val="none"/>
        </w:rPr>
      </w:pPr>
      <w:bookmarkStart w:id="127" w:name="OLE_LINK24"/>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_Toc22474 </w:instrText>
      </w:r>
      <w:r>
        <w:rPr>
          <w:rFonts w:hint="eastAsia" w:ascii="黑体" w:hAnsi="黑体" w:eastAsia="黑体" w:cs="黑体"/>
          <w:highlight w:val="none"/>
        </w:rPr>
        <w:fldChar w:fldCharType="separate"/>
      </w:r>
      <w:r>
        <w:rPr>
          <w:rFonts w:hint="eastAsia" w:ascii="黑体" w:hAnsi="黑体" w:eastAsia="黑体" w:cs="黑体"/>
          <w:szCs w:val="21"/>
          <w:highlight w:val="none"/>
        </w:rPr>
        <w:t>7.1  一 般 规 定</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_Toc22474 \h </w:instrText>
      </w:r>
      <w:r>
        <w:rPr>
          <w:rFonts w:hint="eastAsia" w:ascii="黑体" w:hAnsi="黑体" w:eastAsia="黑体" w:cs="黑体"/>
          <w:highlight w:val="none"/>
        </w:rPr>
        <w:fldChar w:fldCharType="separate"/>
      </w:r>
      <w:r>
        <w:rPr>
          <w:rFonts w:hint="eastAsia" w:ascii="黑体" w:hAnsi="黑体" w:eastAsia="黑体" w:cs="黑体"/>
          <w:highlight w:val="none"/>
        </w:rPr>
        <w:t>43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4FABB889">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"_Toc1892" </w:instrText>
      </w:r>
      <w:r>
        <w:rPr>
          <w:rFonts w:hint="eastAsia" w:ascii="黑体" w:hAnsi="黑体" w:eastAsia="黑体" w:cs="黑体"/>
          <w:highlight w:val="none"/>
        </w:rPr>
        <w:fldChar w:fldCharType="separate"/>
      </w:r>
      <w:r>
        <w:rPr>
          <w:rFonts w:hint="eastAsia" w:ascii="黑体" w:hAnsi="黑体" w:eastAsia="黑体" w:cs="黑体"/>
          <w:szCs w:val="21"/>
          <w:highlight w:val="none"/>
        </w:rPr>
        <w:t>7.2  工程效果评估</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_Toc1892 \h </w:instrText>
      </w:r>
      <w:r>
        <w:rPr>
          <w:rFonts w:hint="eastAsia" w:ascii="黑体" w:hAnsi="黑体" w:eastAsia="黑体" w:cs="黑体"/>
          <w:highlight w:val="none"/>
        </w:rPr>
        <w:fldChar w:fldCharType="separate"/>
      </w:r>
      <w:r>
        <w:rPr>
          <w:rFonts w:hint="eastAsia" w:ascii="黑体" w:hAnsi="黑体" w:eastAsia="黑体" w:cs="黑体"/>
          <w:highlight w:val="none"/>
        </w:rPr>
        <w:t>43</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bookmarkEnd w:id="127"/>
    <w:p w14:paraId="77B4DDCB">
      <w:pPr>
        <w:pStyle w:val="10"/>
        <w:tabs>
          <w:tab w:val="right" w:leader="dot" w:pos="8306"/>
        </w:tabs>
        <w:rPr>
          <w:rFonts w:hint="eastAsia" w:ascii="黑体" w:hAnsi="黑体" w:eastAsia="黑体" w:cs="黑体"/>
          <w:highlight w:val="none"/>
        </w:rPr>
      </w:pPr>
      <w:r>
        <w:rPr>
          <w:rFonts w:hint="eastAsia" w:ascii="黑体" w:hAnsi="黑体" w:eastAsia="黑体" w:cs="黑体"/>
          <w:highlight w:val="none"/>
        </w:rPr>
        <w:fldChar w:fldCharType="begin"/>
      </w:r>
      <w:r>
        <w:rPr>
          <w:rFonts w:hint="eastAsia" w:ascii="黑体" w:hAnsi="黑体" w:eastAsia="黑体" w:cs="黑体"/>
          <w:highlight w:val="none"/>
        </w:rPr>
        <w:instrText xml:space="preserve"> HYPERLINK \l _Toc22474 </w:instrText>
      </w:r>
      <w:r>
        <w:rPr>
          <w:rFonts w:hint="eastAsia" w:ascii="黑体" w:hAnsi="黑体" w:eastAsia="黑体" w:cs="黑体"/>
          <w:highlight w:val="none"/>
        </w:rPr>
        <w:fldChar w:fldCharType="separate"/>
      </w:r>
      <w:r>
        <w:rPr>
          <w:rFonts w:hint="eastAsia" w:ascii="黑体" w:hAnsi="黑体" w:eastAsia="黑体" w:cs="黑体"/>
          <w:szCs w:val="21"/>
          <w:highlight w:val="none"/>
        </w:rPr>
        <w:t>7.3  工 后 监 测</w:t>
      </w:r>
      <w:r>
        <w:rPr>
          <w:rFonts w:hint="eastAsia" w:ascii="黑体" w:hAnsi="黑体" w:eastAsia="黑体" w:cs="黑体"/>
          <w:highlight w:val="none"/>
        </w:rPr>
        <w:tab/>
      </w:r>
      <w:r>
        <w:rPr>
          <w:rFonts w:hint="eastAsia" w:ascii="黑体" w:hAnsi="黑体" w:eastAsia="黑体" w:cs="黑体"/>
          <w:highlight w:val="none"/>
        </w:rPr>
        <w:fldChar w:fldCharType="begin"/>
      </w:r>
      <w:r>
        <w:rPr>
          <w:rFonts w:hint="eastAsia" w:ascii="黑体" w:hAnsi="黑体" w:eastAsia="黑体" w:cs="黑体"/>
          <w:highlight w:val="none"/>
        </w:rPr>
        <w:instrText xml:space="preserve"> PAGEREF _Toc22474 \h </w:instrText>
      </w:r>
      <w:r>
        <w:rPr>
          <w:rFonts w:hint="eastAsia" w:ascii="黑体" w:hAnsi="黑体" w:eastAsia="黑体" w:cs="黑体"/>
          <w:highlight w:val="none"/>
        </w:rPr>
        <w:fldChar w:fldCharType="separate"/>
      </w:r>
      <w:r>
        <w:rPr>
          <w:rFonts w:hint="eastAsia" w:ascii="黑体" w:hAnsi="黑体" w:eastAsia="黑体" w:cs="黑体"/>
          <w:highlight w:val="none"/>
        </w:rPr>
        <w:t>44</w:t>
      </w:r>
      <w:r>
        <w:rPr>
          <w:rFonts w:hint="eastAsia" w:ascii="黑体" w:hAnsi="黑体" w:eastAsia="黑体" w:cs="黑体"/>
          <w:highlight w:val="none"/>
        </w:rPr>
        <w:fldChar w:fldCharType="end"/>
      </w:r>
      <w:r>
        <w:rPr>
          <w:rFonts w:hint="eastAsia" w:ascii="黑体" w:hAnsi="黑体" w:eastAsia="黑体" w:cs="黑体"/>
          <w:highlight w:val="none"/>
        </w:rPr>
        <w:fldChar w:fldCharType="end"/>
      </w:r>
    </w:p>
    <w:p w14:paraId="5964674F">
      <w:pPr>
        <w:snapToGrid w:val="0"/>
        <w:spacing w:line="360" w:lineRule="auto"/>
        <w:jc w:val="left"/>
        <w:outlineLvl w:val="0"/>
        <w:rPr>
          <w:rFonts w:hint="eastAsia" w:ascii="黑体" w:hAnsi="黑体" w:eastAsia="黑体" w:cs="黑体"/>
          <w:highlight w:val="none"/>
        </w:rPr>
        <w:sectPr>
          <w:pgSz w:w="11906" w:h="16838"/>
          <w:pgMar w:top="1440" w:right="1800" w:bottom="1440" w:left="1800" w:header="851" w:footer="992" w:gutter="0"/>
          <w:cols w:space="425" w:num="1"/>
          <w:docGrid w:type="lines" w:linePitch="312" w:charSpace="0"/>
        </w:sectPr>
      </w:pPr>
    </w:p>
    <w:bookmarkEnd w:id="125"/>
    <w:bookmarkEnd w:id="126"/>
    <w:p w14:paraId="1D4A63F0">
      <w:pPr>
        <w:snapToGrid w:val="0"/>
        <w:spacing w:line="360" w:lineRule="auto"/>
        <w:jc w:val="center"/>
        <w:outlineLvl w:val="0"/>
        <w:rPr>
          <w:rFonts w:hint="eastAsia" w:ascii="黑体" w:hAnsi="黑体" w:eastAsia="黑体" w:cs="黑体"/>
          <w:sz w:val="28"/>
          <w:szCs w:val="28"/>
          <w:highlight w:val="none"/>
        </w:rPr>
      </w:pPr>
      <w:bookmarkStart w:id="128" w:name="_Toc5283"/>
      <w:bookmarkStart w:id="129" w:name="_Toc16795"/>
      <w:r>
        <w:rPr>
          <w:rFonts w:hint="eastAsia" w:ascii="黑体" w:hAnsi="黑体" w:eastAsia="黑体" w:cs="黑体"/>
          <w:sz w:val="28"/>
          <w:szCs w:val="28"/>
          <w:highlight w:val="none"/>
        </w:rPr>
        <w:t>2 术  语</w:t>
      </w:r>
      <w:bookmarkEnd w:id="128"/>
      <w:bookmarkEnd w:id="129"/>
    </w:p>
    <w:p w14:paraId="03568A6A">
      <w:pPr>
        <w:jc w:val="left"/>
        <w:rPr>
          <w:rFonts w:hint="eastAsia" w:ascii="黑体" w:hAnsi="黑体" w:eastAsia="黑体" w:cs="黑体"/>
          <w:highlight w:val="none"/>
          <w:lang w:val="en-US" w:eastAsia="zh-CN"/>
        </w:rPr>
      </w:pPr>
    </w:p>
    <w:p w14:paraId="1DA42693">
      <w:pPr>
        <w:spacing w:line="360" w:lineRule="auto"/>
        <w:rPr>
          <w:rFonts w:ascii="黑体" w:hAnsi="黑体" w:eastAsia="黑体" w:cs="黑体"/>
          <w:szCs w:val="21"/>
          <w:highlight w:val="none"/>
        </w:rPr>
      </w:pPr>
      <w:r>
        <w:rPr>
          <w:rFonts w:hint="eastAsia" w:ascii="黑体" w:hAnsi="黑体" w:eastAsia="黑体" w:cs="黑体"/>
          <w:szCs w:val="21"/>
          <w:highlight w:val="none"/>
        </w:rPr>
        <w:t xml:space="preserve">2.0.1  </w:t>
      </w:r>
      <w:bookmarkStart w:id="130" w:name="OLE_LINK43"/>
      <w:bookmarkStart w:id="131" w:name="OLE_LINK42"/>
      <w:r>
        <w:rPr>
          <w:rFonts w:hint="eastAsia" w:ascii="黑体" w:hAnsi="黑体" w:eastAsia="黑体" w:cs="黑体"/>
          <w:szCs w:val="21"/>
          <w:highlight w:val="none"/>
        </w:rPr>
        <w:t>对潜在污染场地的术语进行了规定。参考了《污染地块土壤环境管理办法（试行）》中疑似污染地块的定义，疑似污染地块是指从事过有色金属冶炼、石油加工、化工、焦化、电镀、制革等行业生产经营活动，以及从事过危险废物贮存、利用、处置活动的用地。</w:t>
      </w:r>
      <w:bookmarkEnd w:id="130"/>
    </w:p>
    <w:bookmarkEnd w:id="131"/>
    <w:p w14:paraId="0874FD9B">
      <w:pPr>
        <w:spacing w:line="360" w:lineRule="auto"/>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.0.</w:t>
      </w:r>
      <w:r>
        <w:rPr>
          <w:rFonts w:hint="eastAsia" w:ascii="黑体" w:hAnsi="黑体" w:eastAsia="黑体" w:cs="黑体"/>
          <w:szCs w:val="21"/>
          <w:highlight w:val="none"/>
        </w:rPr>
        <w:t>3</w:t>
      </w:r>
      <w:r>
        <w:rPr>
          <w:rFonts w:ascii="黑体" w:hAnsi="黑体" w:eastAsia="黑体" w:cs="黑体"/>
          <w:szCs w:val="21"/>
          <w:highlight w:val="none"/>
        </w:rPr>
        <w:t xml:space="preserve">  </w:t>
      </w:r>
      <w:r>
        <w:rPr>
          <w:rFonts w:hint="eastAsia" w:ascii="黑体" w:hAnsi="黑体" w:eastAsia="黑体" w:cs="黑体"/>
          <w:szCs w:val="21"/>
          <w:highlight w:val="none"/>
        </w:rPr>
        <w:t>参考了现行行业标准《污染地块地下水修复和风险管控技术导则》HJ 25.6</w:t>
      </w:r>
      <w:r>
        <w:rPr>
          <w:rFonts w:ascii="黑体" w:hAnsi="黑体" w:eastAsia="黑体" w:cs="黑体"/>
          <w:szCs w:val="21"/>
          <w:highlight w:val="none"/>
        </w:rPr>
        <w:t>-</w:t>
      </w:r>
      <w:r>
        <w:rPr>
          <w:rFonts w:hint="eastAsia" w:ascii="黑体" w:hAnsi="黑体" w:eastAsia="黑体" w:cs="黑体"/>
          <w:szCs w:val="21"/>
          <w:highlight w:val="none"/>
        </w:rPr>
        <w:t>2019 中5.3的规定，风险管控目标包括：(1)确认目标污染物；(2)提出风险控制值；(3)确定风险管控范围；(4)选择风险管控模式。</w:t>
      </w:r>
    </w:p>
    <w:p w14:paraId="6280734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.0.</w:t>
      </w:r>
      <w:r>
        <w:rPr>
          <w:rFonts w:hint="eastAsia" w:ascii="黑体" w:hAnsi="黑体" w:eastAsia="黑体" w:cs="黑体"/>
          <w:szCs w:val="21"/>
          <w:highlight w:val="none"/>
        </w:rPr>
        <w:t>4</w:t>
      </w:r>
      <w:r>
        <w:rPr>
          <w:rFonts w:ascii="黑体" w:hAnsi="黑体" w:eastAsia="黑体" w:cs="黑体"/>
          <w:szCs w:val="21"/>
          <w:highlight w:val="none"/>
        </w:rPr>
        <w:t xml:space="preserve">  </w:t>
      </w:r>
      <w:r>
        <w:rPr>
          <w:rFonts w:hint="eastAsia" w:ascii="黑体" w:hAnsi="黑体" w:eastAsia="黑体" w:cs="黑体"/>
          <w:szCs w:val="21"/>
          <w:highlight w:val="none"/>
        </w:rPr>
        <w:t>对覆盖阻隔技术的术语进行了规定。根据现行行业标准《建设用地土壤污染风险管控和修复术语》HJ</w:t>
      </w:r>
      <w:r>
        <w:rPr>
          <w:rFonts w:ascii="黑体" w:hAnsi="黑体" w:eastAsia="黑体" w:cs="黑体"/>
          <w:szCs w:val="21"/>
          <w:highlight w:val="none"/>
        </w:rPr>
        <w:t xml:space="preserve"> 682-2019</w:t>
      </w:r>
      <w:r>
        <w:rPr>
          <w:rFonts w:hint="eastAsia" w:ascii="黑体" w:hAnsi="黑体" w:eastAsia="黑体" w:cs="黑体"/>
          <w:szCs w:val="21"/>
          <w:highlight w:val="none"/>
        </w:rPr>
        <w:t>中的2</w:t>
      </w:r>
      <w:r>
        <w:rPr>
          <w:rFonts w:ascii="黑体" w:hAnsi="黑体" w:eastAsia="黑体" w:cs="黑体"/>
          <w:szCs w:val="21"/>
          <w:highlight w:val="none"/>
        </w:rPr>
        <w:t>.5.12</w:t>
      </w:r>
      <w:r>
        <w:rPr>
          <w:rFonts w:hint="eastAsia" w:ascii="黑体" w:hAnsi="黑体" w:eastAsia="黑体" w:cs="黑体"/>
          <w:szCs w:val="21"/>
          <w:highlight w:val="none"/>
        </w:rPr>
        <w:t>的规定，覆盖阻隔技术属于污染风险管控的工程控制。覆盖阻隔技术中所用的防渗阻气材料具体功能包括：（1）通过减小大气降水及地表水在覆盖阻隔材料中的渗透系数，达到防渗效果；（2）通过减小挥发性/半挥发性有机物气体在覆盖阻隔材料中的气体有效渗透率和气体扩散系数，达到阻气效果。作为覆盖阻隔技术中的防渗阻气材料主要包括压实黏土、土工膜、膨润土防水毯等。</w:t>
      </w:r>
    </w:p>
    <w:p w14:paraId="1F9CDCD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.0.</w:t>
      </w:r>
      <w:r>
        <w:rPr>
          <w:rFonts w:hint="eastAsia" w:ascii="黑体" w:hAnsi="黑体" w:eastAsia="黑体" w:cs="黑体"/>
          <w:szCs w:val="21"/>
          <w:highlight w:val="none"/>
        </w:rPr>
        <w:t>5</w:t>
      </w:r>
      <w:r>
        <w:rPr>
          <w:rFonts w:ascii="黑体" w:hAnsi="黑体" w:eastAsia="黑体" w:cs="黑体"/>
          <w:szCs w:val="21"/>
          <w:highlight w:val="none"/>
        </w:rPr>
        <w:t xml:space="preserve">  </w:t>
      </w:r>
      <w:r>
        <w:rPr>
          <w:rFonts w:hint="eastAsia" w:ascii="黑体" w:hAnsi="黑体" w:eastAsia="黑体" w:cs="黑体"/>
          <w:szCs w:val="21"/>
          <w:highlight w:val="none"/>
        </w:rPr>
        <w:t>依据现行行业标准《建设用地土壤污染风险管控和修复术语》HJ</w:t>
      </w:r>
      <w:r>
        <w:rPr>
          <w:rFonts w:ascii="黑体" w:hAnsi="黑体" w:eastAsia="黑体" w:cs="黑体"/>
          <w:szCs w:val="21"/>
          <w:highlight w:val="none"/>
        </w:rPr>
        <w:t xml:space="preserve"> 682-2019</w:t>
      </w:r>
      <w:r>
        <w:rPr>
          <w:rFonts w:hint="eastAsia" w:ascii="黑体" w:hAnsi="黑体" w:eastAsia="黑体" w:cs="黑体"/>
          <w:szCs w:val="21"/>
          <w:highlight w:val="none"/>
        </w:rPr>
        <w:t>中的2</w:t>
      </w:r>
      <w:r>
        <w:rPr>
          <w:rFonts w:ascii="黑体" w:hAnsi="黑体" w:eastAsia="黑体" w:cs="黑体"/>
          <w:szCs w:val="21"/>
          <w:highlight w:val="none"/>
        </w:rPr>
        <w:t>.3.2</w:t>
      </w:r>
      <w:r>
        <w:rPr>
          <w:rFonts w:hint="eastAsia" w:ascii="黑体" w:hAnsi="黑体" w:eastAsia="黑体" w:cs="黑体"/>
          <w:szCs w:val="21"/>
          <w:highlight w:val="none"/>
        </w:rPr>
        <w:t>的规定，其中术语“土壤污染状况调查”解释为：采用的调查方法，确定地块是否被污染以及污染程度和范围的过程。本规范综合国家标准《岩土工程勘察规范（2</w:t>
      </w:r>
      <w:r>
        <w:rPr>
          <w:rFonts w:ascii="黑体" w:hAnsi="黑体" w:eastAsia="黑体" w:cs="黑体"/>
          <w:szCs w:val="21"/>
          <w:highlight w:val="none"/>
        </w:rPr>
        <w:t>009</w:t>
      </w:r>
      <w:r>
        <w:rPr>
          <w:rFonts w:hint="eastAsia" w:ascii="黑体" w:hAnsi="黑体" w:eastAsia="黑体" w:cs="黑体"/>
          <w:szCs w:val="21"/>
          <w:highlight w:val="none"/>
        </w:rPr>
        <w:t xml:space="preserve">年版）》GB </w:t>
      </w:r>
      <w:r>
        <w:rPr>
          <w:rFonts w:ascii="黑体" w:hAnsi="黑体" w:eastAsia="黑体" w:cs="黑体"/>
          <w:szCs w:val="21"/>
          <w:highlight w:val="none"/>
        </w:rPr>
        <w:t>50021-2001</w:t>
      </w:r>
      <w:r>
        <w:rPr>
          <w:rFonts w:hint="eastAsia" w:ascii="黑体" w:hAnsi="黑体" w:eastAsia="黑体" w:cs="黑体"/>
          <w:szCs w:val="21"/>
          <w:highlight w:val="none"/>
        </w:rPr>
        <w:t>与工业有机污染场地勘察工作内容，将污染状况调查的对象按土壤和土壤气体分列。</w:t>
      </w:r>
    </w:p>
    <w:p w14:paraId="00B92B97">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.0.</w:t>
      </w:r>
      <w:r>
        <w:rPr>
          <w:rFonts w:hint="eastAsia" w:ascii="黑体" w:hAnsi="黑体" w:eastAsia="黑体" w:cs="黑体"/>
          <w:szCs w:val="21"/>
          <w:highlight w:val="none"/>
        </w:rPr>
        <w:t>6</w:t>
      </w:r>
      <w:r>
        <w:rPr>
          <w:rFonts w:ascii="黑体" w:hAnsi="黑体" w:eastAsia="黑体" w:cs="黑体"/>
          <w:szCs w:val="21"/>
          <w:highlight w:val="none"/>
        </w:rPr>
        <w:t xml:space="preserve">  </w:t>
      </w:r>
      <w:r>
        <w:rPr>
          <w:rFonts w:hint="eastAsia" w:ascii="黑体" w:hAnsi="黑体" w:eastAsia="黑体" w:cs="黑体"/>
          <w:szCs w:val="21"/>
          <w:highlight w:val="none"/>
        </w:rPr>
        <w:t>依据现行行业标准</w:t>
      </w:r>
      <w:bookmarkStart w:id="132" w:name="OLE_LINK21"/>
      <w:r>
        <w:rPr>
          <w:rFonts w:hint="eastAsia" w:ascii="黑体" w:hAnsi="黑体" w:eastAsia="黑体" w:cs="黑体"/>
          <w:szCs w:val="21"/>
          <w:highlight w:val="none"/>
        </w:rPr>
        <w:t>《污染地块风险管控与土壤修复效果评估技术导则》HJ 25.5</w:t>
      </w:r>
      <w:r>
        <w:rPr>
          <w:rFonts w:ascii="黑体" w:hAnsi="黑体" w:eastAsia="黑体" w:cs="黑体"/>
          <w:szCs w:val="21"/>
          <w:highlight w:val="none"/>
        </w:rPr>
        <w:t>-2018</w:t>
      </w:r>
      <w:bookmarkEnd w:id="132"/>
      <w:r>
        <w:rPr>
          <w:rFonts w:hint="eastAsia" w:ascii="黑体" w:hAnsi="黑体" w:eastAsia="黑体" w:cs="黑体"/>
          <w:szCs w:val="21"/>
          <w:highlight w:val="none"/>
        </w:rPr>
        <w:t>中3</w:t>
      </w:r>
      <w:r>
        <w:rPr>
          <w:rFonts w:ascii="黑体" w:hAnsi="黑体" w:eastAsia="黑体" w:cs="黑体"/>
          <w:szCs w:val="21"/>
          <w:highlight w:val="none"/>
        </w:rPr>
        <w:t>.1</w:t>
      </w:r>
      <w:r>
        <w:rPr>
          <w:rFonts w:hint="eastAsia" w:ascii="黑体" w:hAnsi="黑体" w:eastAsia="黑体" w:cs="黑体"/>
          <w:szCs w:val="21"/>
          <w:highlight w:val="none"/>
        </w:rPr>
        <w:t>的要求。覆盖阻隔工程中，目标污染物是覆盖阻隔的主要对象。</w:t>
      </w:r>
    </w:p>
    <w:p w14:paraId="08F16DA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.0.</w:t>
      </w:r>
      <w:r>
        <w:rPr>
          <w:rFonts w:hint="eastAsia" w:ascii="黑体" w:hAnsi="黑体" w:eastAsia="黑体" w:cs="黑体"/>
          <w:szCs w:val="21"/>
          <w:highlight w:val="none"/>
        </w:rPr>
        <w:t>7</w:t>
      </w:r>
      <w:r>
        <w:rPr>
          <w:rFonts w:ascii="黑体" w:hAnsi="黑体" w:eastAsia="黑体" w:cs="黑体"/>
          <w:szCs w:val="21"/>
          <w:highlight w:val="none"/>
        </w:rPr>
        <w:t xml:space="preserve">  </w:t>
      </w:r>
      <w:r>
        <w:rPr>
          <w:rFonts w:hint="eastAsia" w:ascii="黑体" w:hAnsi="黑体" w:eastAsia="黑体" w:cs="黑体"/>
          <w:szCs w:val="21"/>
          <w:highlight w:val="none"/>
        </w:rPr>
        <w:t>参考了现行行业标准《建设用地土壤污染风险评估技术导则》HJ 25.3-2019中3.9的规定，其中第5章~第9章依次对风险控制值计算所涉及的危害识别、暴露评估、毒性评估、风险表征、风险控制值计算进行了规定。</w:t>
      </w:r>
    </w:p>
    <w:p w14:paraId="35DB2813">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2.0.12</w:t>
      </w:r>
      <w:r>
        <w:rPr>
          <w:rFonts w:ascii="黑体" w:hAnsi="黑体" w:eastAsia="黑体" w:cs="黑体"/>
          <w:szCs w:val="21"/>
          <w:highlight w:val="none"/>
        </w:rPr>
        <w:t xml:space="preserve">  </w:t>
      </w:r>
      <w:r>
        <w:rPr>
          <w:rFonts w:hint="eastAsia" w:ascii="黑体" w:hAnsi="黑体" w:eastAsia="黑体" w:cs="黑体"/>
          <w:szCs w:val="21"/>
          <w:highlight w:val="none"/>
        </w:rPr>
        <w:t>参考了现行国家标准《建筑结构可靠性设计统一标准》GB 50068-2018中2.1.5的规定：其所述的“预定目的"对覆盖阻隔屏障即是指满足风险管控目标、工程性能达到设计要求。</w:t>
      </w:r>
    </w:p>
    <w:p w14:paraId="345D844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2</w:t>
      </w:r>
      <w:r>
        <w:rPr>
          <w:rFonts w:ascii="黑体" w:hAnsi="黑体" w:eastAsia="黑体" w:cs="黑体"/>
          <w:szCs w:val="21"/>
          <w:highlight w:val="none"/>
        </w:rPr>
        <w:t>.0.1</w:t>
      </w:r>
      <w:r>
        <w:rPr>
          <w:rFonts w:hint="eastAsia" w:ascii="黑体" w:hAnsi="黑体" w:eastAsia="黑体" w:cs="黑体"/>
          <w:szCs w:val="21"/>
          <w:highlight w:val="none"/>
        </w:rPr>
        <w:t>3</w:t>
      </w:r>
      <w:r>
        <w:rPr>
          <w:rFonts w:ascii="黑体" w:hAnsi="黑体" w:eastAsia="黑体" w:cs="黑体"/>
          <w:szCs w:val="21"/>
          <w:highlight w:val="none"/>
        </w:rPr>
        <w:t xml:space="preserve">  </w:t>
      </w:r>
      <w:r>
        <w:rPr>
          <w:rFonts w:hint="eastAsia" w:ascii="黑体" w:hAnsi="黑体" w:eastAsia="黑体" w:cs="黑体"/>
          <w:szCs w:val="21"/>
          <w:highlight w:val="none"/>
        </w:rPr>
        <w:t>本规范工后监测对应于现行行业标准《污染地块风险管控与土壤修复效果评估技术导则》HJ 25.5</w:t>
      </w:r>
      <w:r>
        <w:rPr>
          <w:rFonts w:ascii="黑体" w:hAnsi="黑体" w:eastAsia="黑体" w:cs="黑体"/>
          <w:szCs w:val="21"/>
          <w:highlight w:val="none"/>
        </w:rPr>
        <w:t>-2018</w:t>
      </w:r>
      <w:r>
        <w:rPr>
          <w:rFonts w:hint="eastAsia" w:ascii="黑体" w:hAnsi="黑体" w:eastAsia="黑体" w:cs="黑体"/>
          <w:szCs w:val="21"/>
          <w:highlight w:val="none"/>
        </w:rPr>
        <w:t>中后期环境监管建议。工后监测综合原位测试、取样分析、物理测量、视觉与嗅觉感官评价等方法开展，包括针对土壤气体质量、地下水位变动、屏障表面沉降量、屏障侧向变形量、周边区域地表沉降、邻近建(构)筑和地下管线变形的变形等内容。</w:t>
      </w:r>
    </w:p>
    <w:p w14:paraId="4B228065">
      <w:pPr>
        <w:snapToGrid w:val="0"/>
        <w:spacing w:line="360" w:lineRule="auto"/>
        <w:rPr>
          <w:rFonts w:ascii="黑体" w:hAnsi="黑体" w:eastAsia="黑体" w:cs="黑体"/>
          <w:szCs w:val="21"/>
          <w:highlight w:val="none"/>
        </w:rPr>
      </w:pPr>
      <w:r>
        <w:rPr>
          <w:rFonts w:ascii="黑体" w:hAnsi="黑体" w:eastAsia="黑体" w:cs="黑体"/>
          <w:szCs w:val="21"/>
          <w:highlight w:val="none"/>
        </w:rPr>
        <w:t>2.0.1</w:t>
      </w:r>
      <w:r>
        <w:rPr>
          <w:rFonts w:hint="eastAsia" w:ascii="黑体" w:hAnsi="黑体" w:eastAsia="黑体" w:cs="黑体"/>
          <w:szCs w:val="21"/>
          <w:highlight w:val="none"/>
        </w:rPr>
        <w:t xml:space="preserve">4 </w:t>
      </w:r>
      <w:r>
        <w:rPr>
          <w:rFonts w:ascii="黑体" w:hAnsi="黑体" w:eastAsia="黑体" w:cs="黑体"/>
          <w:szCs w:val="21"/>
          <w:highlight w:val="none"/>
        </w:rPr>
        <w:t xml:space="preserve"> </w:t>
      </w:r>
      <w:r>
        <w:rPr>
          <w:rFonts w:hint="eastAsia" w:ascii="黑体" w:hAnsi="黑体" w:eastAsia="黑体" w:cs="黑体"/>
          <w:szCs w:val="21"/>
          <w:highlight w:val="none"/>
        </w:rPr>
        <w:t>参考了现行行业标准《建设用地土壤污染风险管控和修复术语》HJ 682-2019中2.5.10、《污染地块风险管控与土壤修复效果评估技术导则(试行)》HJ 25.5-2018中3.4分别对术语“修复效果评估”“风险管控与土壤修复效果评估”的规定。本规范中工程效果评估的工作方法与行业标准HJ 682-2019、HJ 25.5-2018一致；工作内容覆盖了覆盖阻隔屏障施工质量控制、工程验收及风险管控的效果评估。</w:t>
      </w:r>
    </w:p>
    <w:p w14:paraId="5E41F270">
      <w:pPr>
        <w:widowControl/>
        <w:jc w:val="left"/>
        <w:rPr>
          <w:rFonts w:ascii="黑体" w:hAnsi="黑体" w:eastAsia="黑体" w:cs="黑体"/>
          <w:sz w:val="28"/>
          <w:szCs w:val="28"/>
          <w:highlight w:val="none"/>
        </w:rPr>
      </w:pPr>
      <w:r>
        <w:rPr>
          <w:rFonts w:ascii="黑体" w:hAnsi="黑体" w:eastAsia="黑体" w:cs="黑体"/>
          <w:sz w:val="28"/>
          <w:szCs w:val="28"/>
          <w:highlight w:val="none"/>
        </w:rPr>
        <w:br w:type="page"/>
      </w:r>
    </w:p>
    <w:p w14:paraId="16F80F27">
      <w:pPr>
        <w:snapToGrid w:val="0"/>
        <w:spacing w:line="360" w:lineRule="auto"/>
        <w:jc w:val="center"/>
        <w:outlineLvl w:val="0"/>
        <w:rPr>
          <w:rFonts w:hint="eastAsia" w:ascii="黑体" w:hAnsi="黑体" w:eastAsia="黑体" w:cs="黑体"/>
          <w:sz w:val="28"/>
          <w:szCs w:val="28"/>
          <w:highlight w:val="none"/>
        </w:rPr>
      </w:pPr>
      <w:bookmarkStart w:id="133" w:name="_Toc17727"/>
      <w:bookmarkStart w:id="134" w:name="_Toc24366"/>
      <w:r>
        <w:rPr>
          <w:rFonts w:hint="eastAsia" w:ascii="黑体" w:hAnsi="黑体" w:eastAsia="黑体" w:cs="黑体"/>
          <w:sz w:val="28"/>
          <w:szCs w:val="28"/>
          <w:highlight w:val="none"/>
        </w:rPr>
        <w:t>3 基本规定</w:t>
      </w:r>
      <w:bookmarkEnd w:id="133"/>
      <w:bookmarkEnd w:id="134"/>
    </w:p>
    <w:p w14:paraId="2D02CA15">
      <w:pPr>
        <w:jc w:val="left"/>
        <w:rPr>
          <w:rFonts w:hint="eastAsia" w:ascii="黑体" w:hAnsi="黑体" w:eastAsia="黑体" w:cs="黑体"/>
          <w:highlight w:val="none"/>
          <w:lang w:val="en-US" w:eastAsia="zh-CN"/>
        </w:rPr>
      </w:pPr>
    </w:p>
    <w:p w14:paraId="5ABF227D">
      <w:pPr>
        <w:snapToGrid w:val="0"/>
        <w:spacing w:line="360" w:lineRule="auto"/>
        <w:rPr>
          <w:rFonts w:ascii="黑体" w:hAnsi="黑体" w:eastAsia="黑体" w:cs="黑体"/>
          <w:szCs w:val="21"/>
          <w:highlight w:val="none"/>
        </w:rPr>
      </w:pPr>
      <w:r>
        <w:rPr>
          <w:rFonts w:ascii="黑体" w:hAnsi="黑体" w:eastAsia="黑体" w:cs="黑体"/>
          <w:szCs w:val="21"/>
          <w:highlight w:val="none"/>
        </w:rPr>
        <w:t>3.0.</w:t>
      </w:r>
      <w:r>
        <w:rPr>
          <w:rFonts w:hint="eastAsia" w:ascii="黑体" w:hAnsi="黑体" w:eastAsia="黑体" w:cs="黑体"/>
          <w:szCs w:val="21"/>
          <w:highlight w:val="none"/>
        </w:rPr>
        <w:t xml:space="preserve">2 </w:t>
      </w:r>
      <w:r>
        <w:rPr>
          <w:rFonts w:ascii="黑体" w:hAnsi="黑体" w:eastAsia="黑体" w:cs="黑体"/>
          <w:szCs w:val="21"/>
          <w:highlight w:val="none"/>
        </w:rPr>
        <w:t xml:space="preserve"> </w:t>
      </w:r>
      <w:r>
        <w:rPr>
          <w:rFonts w:hint="eastAsia" w:ascii="黑体" w:hAnsi="黑体" w:eastAsia="黑体" w:cs="黑体"/>
          <w:szCs w:val="21"/>
          <w:highlight w:val="none"/>
        </w:rPr>
        <w:t>覆盖阻隔工程属于污染场地的风险管控技术，通常与污染场地修复技术和其他风险管控技术联合使用。覆盖阻隔工程实施的各个阶段应充分考虑修复工程进展。修复工程对覆盖阻隔屏障功能的潜在影响因素包括热处理技术实施过程中地层升温、化学氧化技术改变土壤气体中挥发性/半挥发性有机污染物分布、地下水抽出处理技术改变地下水位等。</w:t>
      </w:r>
    </w:p>
    <w:p w14:paraId="2690D76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3.0.6</w:t>
      </w:r>
      <w:r>
        <w:rPr>
          <w:rFonts w:ascii="黑体" w:hAnsi="黑体" w:eastAsia="黑体" w:cs="黑体"/>
          <w:szCs w:val="21"/>
          <w:highlight w:val="none"/>
        </w:rPr>
        <w:t xml:space="preserve">  </w:t>
      </w:r>
      <w:r>
        <w:rPr>
          <w:rFonts w:hint="eastAsia" w:ascii="黑体" w:hAnsi="黑体" w:eastAsia="黑体" w:cs="黑体"/>
          <w:szCs w:val="21"/>
          <w:highlight w:val="none"/>
        </w:rPr>
        <w:t>参考了现行国家标准《石油化工工程防渗技术规范》GB/T 50934-2013、现行行业标准《生活垃圾卫生填埋场防渗系统工程技术规范》CJJ 113-2007中3.1.1的规定。在使用过程中，覆盖阻隔屏障会有不同程度的老化和腐蚀，因此，在达到设计使用年限后，如继续使用，应进行检测和鉴定。检测和鉴定的主要方法依据工程效果评估，即包括抽检覆盖阻隔屏障的工程性能指标、防渗阻气层上方抽检土壤气体的目标污染物浓度等。本规范第7章对工程效果评估进行了具体规定。</w:t>
      </w:r>
    </w:p>
    <w:p w14:paraId="466BC740">
      <w:pPr>
        <w:widowControl/>
        <w:jc w:val="left"/>
        <w:rPr>
          <w:rFonts w:ascii="黑体" w:hAnsi="黑体" w:eastAsia="黑体" w:cs="黑体"/>
          <w:sz w:val="24"/>
          <w:szCs w:val="24"/>
          <w:highlight w:val="none"/>
        </w:rPr>
      </w:pPr>
      <w:r>
        <w:rPr>
          <w:rFonts w:ascii="黑体" w:hAnsi="黑体" w:eastAsia="黑体" w:cs="黑体"/>
          <w:sz w:val="24"/>
          <w:szCs w:val="24"/>
          <w:highlight w:val="none"/>
        </w:rPr>
        <w:br w:type="page"/>
      </w:r>
    </w:p>
    <w:p w14:paraId="2A6526BD">
      <w:pPr>
        <w:snapToGrid w:val="0"/>
        <w:spacing w:line="360" w:lineRule="auto"/>
        <w:jc w:val="center"/>
        <w:outlineLvl w:val="0"/>
        <w:rPr>
          <w:rFonts w:hint="eastAsia" w:ascii="黑体" w:hAnsi="黑体" w:eastAsia="黑体" w:cs="黑体"/>
          <w:sz w:val="28"/>
          <w:szCs w:val="28"/>
          <w:highlight w:val="none"/>
        </w:rPr>
      </w:pPr>
      <w:bookmarkStart w:id="135" w:name="_Toc18826"/>
      <w:bookmarkStart w:id="136" w:name="_Toc18566"/>
      <w:r>
        <w:rPr>
          <w:rFonts w:hint="eastAsia" w:ascii="黑体" w:hAnsi="黑体" w:eastAsia="黑体" w:cs="黑体"/>
          <w:sz w:val="28"/>
          <w:szCs w:val="28"/>
          <w:highlight w:val="none"/>
        </w:rPr>
        <w:t>4 场地勘察与污染状况调查</w:t>
      </w:r>
      <w:bookmarkEnd w:id="135"/>
      <w:bookmarkEnd w:id="136"/>
    </w:p>
    <w:p w14:paraId="44484CE5">
      <w:pPr>
        <w:jc w:val="left"/>
        <w:rPr>
          <w:rFonts w:hint="eastAsia" w:ascii="黑体" w:hAnsi="黑体" w:eastAsia="黑体" w:cs="黑体"/>
          <w:highlight w:val="none"/>
          <w:lang w:val="en-US" w:eastAsia="zh-CN"/>
        </w:rPr>
      </w:pPr>
    </w:p>
    <w:p w14:paraId="6B6053CF">
      <w:pPr>
        <w:snapToGrid w:val="0"/>
        <w:spacing w:before="156" w:beforeLines="50" w:after="156" w:afterLines="50" w:line="360" w:lineRule="auto"/>
        <w:jc w:val="center"/>
        <w:outlineLvl w:val="1"/>
        <w:rPr>
          <w:rFonts w:ascii="黑体" w:hAnsi="黑体" w:eastAsia="黑体" w:cs="黑体"/>
          <w:szCs w:val="21"/>
          <w:highlight w:val="none"/>
        </w:rPr>
      </w:pPr>
      <w:bookmarkStart w:id="137" w:name="_Toc25223"/>
      <w:bookmarkStart w:id="138" w:name="_Toc22388"/>
      <w:r>
        <w:rPr>
          <w:rFonts w:hint="eastAsia" w:ascii="黑体" w:hAnsi="黑体" w:eastAsia="黑体" w:cs="黑体"/>
          <w:szCs w:val="21"/>
          <w:highlight w:val="none"/>
        </w:rPr>
        <w:t>4.2  场地岩土工程勘察</w:t>
      </w:r>
      <w:bookmarkEnd w:id="137"/>
      <w:bookmarkEnd w:id="138"/>
    </w:p>
    <w:p w14:paraId="7BFDE4E5">
      <w:pPr>
        <w:snapToGrid w:val="0"/>
        <w:spacing w:line="360" w:lineRule="auto"/>
        <w:rPr>
          <w:rFonts w:ascii="黑体" w:hAnsi="黑体" w:eastAsia="黑体" w:cs="黑体"/>
          <w:szCs w:val="21"/>
          <w:highlight w:val="none"/>
        </w:rPr>
      </w:pPr>
      <w:r>
        <w:rPr>
          <w:rFonts w:ascii="黑体" w:hAnsi="黑体" w:eastAsia="黑体" w:cs="黑体"/>
          <w:szCs w:val="21"/>
          <w:highlight w:val="none"/>
        </w:rPr>
        <w:t>4.2.1</w:t>
      </w:r>
      <w:r>
        <w:rPr>
          <w:rFonts w:hint="eastAsia" w:ascii="黑体" w:hAnsi="黑体" w:eastAsia="黑体" w:cs="黑体"/>
          <w:szCs w:val="21"/>
          <w:highlight w:val="none"/>
        </w:rPr>
        <w:t xml:space="preserve"> </w:t>
      </w:r>
      <w:r>
        <w:rPr>
          <w:rFonts w:ascii="黑体" w:hAnsi="黑体" w:eastAsia="黑体" w:cs="黑体"/>
          <w:szCs w:val="21"/>
          <w:highlight w:val="none"/>
        </w:rPr>
        <w:t xml:space="preserve"> </w:t>
      </w:r>
      <w:r>
        <w:rPr>
          <w:rFonts w:hint="eastAsia" w:ascii="黑体" w:hAnsi="黑体" w:eastAsia="黑体" w:cs="黑体"/>
          <w:szCs w:val="21"/>
          <w:highlight w:val="none"/>
        </w:rPr>
        <w:t>规定了覆盖阻隔工程的岩土工程勘察内容。区域水文地质条件包括地下水类型、埋深条件、季节性动态变化和包气带岩土性质，是查明污染范围、覆盖阻隔屏障的平面布置和厚度设计的重要依据。岩土分布包括地层的岩土类型、厚度、风化程度等。覆盖阻隔屏障的风险管控目标的确定，应参考本条第6款及第7款勘察成果。覆盖阻隔屏障施工组织设计和施工方案可参考本条第8款勘察成果。</w:t>
      </w:r>
    </w:p>
    <w:p w14:paraId="29D63766">
      <w:pPr>
        <w:snapToGrid w:val="0"/>
        <w:spacing w:line="360" w:lineRule="auto"/>
        <w:rPr>
          <w:rFonts w:ascii="黑体" w:hAnsi="黑体" w:eastAsia="黑体" w:cs="黑体"/>
          <w:szCs w:val="21"/>
          <w:highlight w:val="none"/>
        </w:rPr>
      </w:pPr>
      <w:r>
        <w:rPr>
          <w:rFonts w:ascii="黑体" w:hAnsi="黑体" w:eastAsia="黑体" w:cs="黑体"/>
          <w:szCs w:val="21"/>
          <w:highlight w:val="none"/>
        </w:rPr>
        <w:t xml:space="preserve">4.2.3  </w:t>
      </w:r>
      <w:r>
        <w:rPr>
          <w:rFonts w:hint="eastAsia" w:ascii="黑体" w:hAnsi="黑体" w:eastAsia="黑体" w:cs="黑体"/>
          <w:szCs w:val="21"/>
          <w:highlight w:val="none"/>
        </w:rPr>
        <w:t>岩土对目标污染物的气体有效渗透率、气体扩散系数可按本规范附录B执行，分别定量评价目标污染物气体以对流和扩散方式迁移通过岩土的速率。</w:t>
      </w:r>
    </w:p>
    <w:p w14:paraId="14FF5625">
      <w:pPr>
        <w:snapToGrid w:val="0"/>
        <w:spacing w:before="156" w:beforeLines="50" w:after="156" w:afterLines="50" w:line="360" w:lineRule="auto"/>
        <w:jc w:val="center"/>
        <w:outlineLvl w:val="1"/>
        <w:rPr>
          <w:rFonts w:ascii="黑体" w:hAnsi="黑体" w:eastAsia="黑体" w:cs="黑体"/>
          <w:szCs w:val="21"/>
          <w:highlight w:val="none"/>
        </w:rPr>
      </w:pPr>
      <w:bookmarkStart w:id="139" w:name="_Toc17415"/>
      <w:bookmarkStart w:id="140" w:name="_Toc16278"/>
      <w:r>
        <w:rPr>
          <w:rFonts w:hint="eastAsia" w:ascii="黑体" w:hAnsi="黑体" w:eastAsia="黑体" w:cs="黑体"/>
          <w:szCs w:val="21"/>
          <w:highlight w:val="none"/>
        </w:rPr>
        <w:t>4.3  污染状况调查</w:t>
      </w:r>
      <w:bookmarkEnd w:id="139"/>
      <w:bookmarkEnd w:id="140"/>
    </w:p>
    <w:p w14:paraId="48B810B1">
      <w:pPr>
        <w:snapToGrid w:val="0"/>
        <w:spacing w:line="360" w:lineRule="auto"/>
        <w:jc w:val="left"/>
        <w:rPr>
          <w:rFonts w:ascii="黑体" w:hAnsi="黑体" w:eastAsia="黑体" w:cs="黑体"/>
          <w:szCs w:val="21"/>
          <w:highlight w:val="none"/>
        </w:rPr>
      </w:pPr>
      <w:bookmarkStart w:id="141" w:name="OLE_LINK22"/>
      <w:r>
        <w:rPr>
          <w:rFonts w:hint="eastAsia" w:ascii="黑体" w:hAnsi="黑体" w:eastAsia="黑体" w:cs="黑体"/>
          <w:szCs w:val="21"/>
          <w:highlight w:val="none"/>
        </w:rPr>
        <w:t>4</w:t>
      </w:r>
      <w:r>
        <w:rPr>
          <w:rFonts w:ascii="黑体" w:hAnsi="黑体" w:eastAsia="黑体" w:cs="黑体"/>
          <w:szCs w:val="21"/>
          <w:highlight w:val="none"/>
        </w:rPr>
        <w:t xml:space="preserve">.3.2  </w:t>
      </w:r>
      <w:r>
        <w:rPr>
          <w:rFonts w:hint="eastAsia" w:ascii="黑体" w:hAnsi="黑体" w:eastAsia="黑体" w:cs="黑体"/>
          <w:szCs w:val="21"/>
          <w:highlight w:val="none"/>
        </w:rPr>
        <w:t>规定了工业有机污染场地内既有污染土体的污染状态调查要求，判断其是否属于污染源，查明污染特征，并可结合装置、单元的特点和所处的区域及部位，，将工业有机污染场地分为非污染防治区、一般污染防治区和重点污染防治区。</w:t>
      </w:r>
    </w:p>
    <w:bookmarkEnd w:id="141"/>
    <w:p w14:paraId="35A557AA">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4.3.3</w:t>
      </w:r>
      <w:r>
        <w:rPr>
          <w:rFonts w:ascii="黑体" w:hAnsi="黑体" w:eastAsia="黑体" w:cs="黑体"/>
          <w:szCs w:val="21"/>
          <w:highlight w:val="none"/>
        </w:rPr>
        <w:t xml:space="preserve">  </w:t>
      </w:r>
      <w:r>
        <w:rPr>
          <w:rFonts w:hint="eastAsia" w:ascii="黑体" w:hAnsi="黑体" w:eastAsia="黑体" w:cs="黑体"/>
          <w:szCs w:val="21"/>
          <w:highlight w:val="none"/>
        </w:rPr>
        <w:t>场地中污染源-汇关系、污染物种类及浓度的空间分布是覆盖阻隔屏障平面布置的重要依据。根据污染物种类判断其迁移性及其对覆盖阻隔屏障材料腐蚀性能是屏障厚度设计和材料选用的重要依据。污染源-汇关系可综合区域水文地质条件、岩土的物理力学性质、污染源及其性质以及场地污染现状等综合确定。本规范中的工业有机污染场地污染防治分区可作为覆盖阻隔屏障平面布置设计、材料选用的依据；污染防治分区概念参考了现行国家标准《石油化工工程防渗技术规范》GB/T 50934-2013，其中4.0.2指出，根据装置、单元的特点和所处的区域及部位，可将建设场地划分为</w:t>
      </w:r>
      <w:bookmarkStart w:id="142" w:name="OLE_LINK40"/>
      <w:r>
        <w:rPr>
          <w:rFonts w:hint="eastAsia" w:ascii="黑体" w:hAnsi="黑体" w:eastAsia="黑体" w:cs="黑体"/>
          <w:szCs w:val="21"/>
          <w:highlight w:val="none"/>
        </w:rPr>
        <w:t>非污染防治区、一般污染防治区和重点污染防治区。</w:t>
      </w:r>
      <w:bookmarkEnd w:id="142"/>
      <w:r>
        <w:rPr>
          <w:rFonts w:hint="eastAsia" w:ascii="黑体" w:hAnsi="黑体" w:eastAsia="黑体" w:cs="黑体"/>
          <w:szCs w:val="21"/>
          <w:highlight w:val="none"/>
        </w:rPr>
        <w:t>并在4.0.3~4.0.6进一步规定，装置区、储运工程区、公用工程区、辅助工程区的典型污染防治分区。</w:t>
      </w:r>
    </w:p>
    <w:p w14:paraId="04BA6B13">
      <w:pPr>
        <w:snapToGrid w:val="0"/>
        <w:spacing w:line="360" w:lineRule="auto"/>
        <w:jc w:val="left"/>
        <w:rPr>
          <w:rFonts w:ascii="黑体" w:hAnsi="黑体" w:eastAsia="黑体" w:cs="黑体"/>
          <w:szCs w:val="21"/>
          <w:highlight w:val="none"/>
        </w:rPr>
      </w:pPr>
      <w:r>
        <w:rPr>
          <w:rFonts w:hint="eastAsia" w:ascii="黑体" w:hAnsi="黑体" w:eastAsia="黑体" w:cs="黑体"/>
          <w:szCs w:val="21"/>
          <w:highlight w:val="none"/>
        </w:rPr>
        <w:t xml:space="preserve">4.3.4 </w:t>
      </w:r>
      <w:r>
        <w:rPr>
          <w:rFonts w:ascii="黑体" w:hAnsi="黑体" w:eastAsia="黑体" w:cs="黑体"/>
          <w:szCs w:val="21"/>
          <w:highlight w:val="none"/>
        </w:rPr>
        <w:t xml:space="preserve"> </w:t>
      </w:r>
      <w:r>
        <w:rPr>
          <w:rFonts w:hint="eastAsia" w:ascii="黑体" w:hAnsi="黑体" w:eastAsia="黑体" w:cs="黑体"/>
          <w:szCs w:val="21"/>
          <w:highlight w:val="none"/>
        </w:rPr>
        <w:t>工业污染场地覆盖阻隔工程的风险管控目标是覆盖阻隔工程设计的依据，具体指：(1)确认覆盖阻隔屏障的阻隔对象，即目标污染物；(2)提出用于覆盖阻隔屏障击穿判别的风险控制值；(3)明确风险管控范围。</w:t>
      </w:r>
    </w:p>
    <w:p w14:paraId="2B609136">
      <w:pPr>
        <w:widowControl/>
        <w:jc w:val="left"/>
        <w:rPr>
          <w:rFonts w:ascii="黑体" w:hAnsi="黑体" w:eastAsia="黑体" w:cs="黑体"/>
          <w:highlight w:val="none"/>
        </w:rPr>
      </w:pPr>
      <w:r>
        <w:rPr>
          <w:rFonts w:ascii="黑体" w:hAnsi="黑体" w:eastAsia="黑体" w:cs="黑体"/>
          <w:highlight w:val="none"/>
        </w:rPr>
        <w:br w:type="page"/>
      </w:r>
    </w:p>
    <w:p w14:paraId="789301B0">
      <w:pPr>
        <w:snapToGrid w:val="0"/>
        <w:spacing w:line="360" w:lineRule="auto"/>
        <w:jc w:val="center"/>
        <w:outlineLvl w:val="0"/>
        <w:rPr>
          <w:rFonts w:hint="eastAsia" w:ascii="黑体" w:hAnsi="黑体" w:eastAsia="黑体" w:cs="黑体"/>
          <w:sz w:val="28"/>
          <w:szCs w:val="28"/>
          <w:highlight w:val="none"/>
        </w:rPr>
      </w:pPr>
      <w:bookmarkStart w:id="143" w:name="_Toc24480"/>
      <w:bookmarkStart w:id="144" w:name="_Toc18249"/>
      <w:r>
        <w:rPr>
          <w:rFonts w:hint="eastAsia" w:ascii="黑体" w:hAnsi="黑体" w:eastAsia="黑体" w:cs="黑体"/>
          <w:sz w:val="28"/>
          <w:szCs w:val="28"/>
          <w:highlight w:val="none"/>
        </w:rPr>
        <w:t>5 覆盖阻隔工程设计</w:t>
      </w:r>
      <w:bookmarkEnd w:id="143"/>
      <w:bookmarkEnd w:id="144"/>
    </w:p>
    <w:p w14:paraId="2C08916C">
      <w:pPr>
        <w:jc w:val="left"/>
        <w:rPr>
          <w:rFonts w:hint="eastAsia" w:ascii="黑体" w:hAnsi="黑体" w:eastAsia="黑体" w:cs="黑体"/>
          <w:highlight w:val="none"/>
          <w:lang w:val="en-US" w:eastAsia="zh-CN"/>
        </w:rPr>
      </w:pPr>
    </w:p>
    <w:p w14:paraId="7D2C7F8F">
      <w:pPr>
        <w:snapToGrid w:val="0"/>
        <w:spacing w:before="156" w:beforeLines="50" w:after="156" w:afterLines="50" w:line="360" w:lineRule="auto"/>
        <w:jc w:val="center"/>
        <w:outlineLvl w:val="1"/>
        <w:rPr>
          <w:rFonts w:ascii="黑体" w:hAnsi="黑体" w:eastAsia="黑体" w:cs="黑体"/>
          <w:szCs w:val="21"/>
          <w:highlight w:val="none"/>
        </w:rPr>
      </w:pPr>
      <w:bookmarkStart w:id="145" w:name="_Toc32455"/>
      <w:bookmarkStart w:id="146" w:name="_Toc28816"/>
      <w:r>
        <w:rPr>
          <w:rFonts w:hint="eastAsia" w:ascii="黑体" w:hAnsi="黑体" w:eastAsia="黑体" w:cs="黑体"/>
          <w:szCs w:val="21"/>
          <w:highlight w:val="none"/>
        </w:rPr>
        <w:t>5.1  一 般 规 定</w:t>
      </w:r>
      <w:bookmarkEnd w:id="145"/>
      <w:bookmarkEnd w:id="146"/>
    </w:p>
    <w:p w14:paraId="58066B31">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.1.</w:t>
      </w:r>
      <w:r>
        <w:rPr>
          <w:rFonts w:hint="eastAsia" w:ascii="黑体" w:hAnsi="黑体" w:eastAsia="黑体" w:cs="黑体"/>
          <w:szCs w:val="21"/>
          <w:highlight w:val="none"/>
        </w:rPr>
        <w:t>4</w:t>
      </w:r>
      <w:r>
        <w:rPr>
          <w:rFonts w:ascii="黑体" w:hAnsi="黑体" w:eastAsia="黑体" w:cs="黑体"/>
          <w:szCs w:val="21"/>
          <w:highlight w:val="none"/>
        </w:rPr>
        <w:t xml:space="preserve">  </w:t>
      </w:r>
      <w:r>
        <w:rPr>
          <w:rFonts w:hint="eastAsia" w:ascii="黑体" w:hAnsi="黑体" w:eastAsia="黑体" w:cs="黑体"/>
          <w:szCs w:val="21"/>
          <w:highlight w:val="none"/>
        </w:rPr>
        <w:t>对工业污染场地覆盖阻隔工程的风险控制值的确定进行了原则性规定。风险控制值指导覆盖阻隔工程的设计与效果评估，是判断覆盖阻隔屏障是否被污染物击穿的标准。现行行业标准《污染地块风险管控与土壤修复效果评估技术导则》HJ 25.5</w:t>
      </w:r>
      <w:r>
        <w:rPr>
          <w:rFonts w:ascii="黑体" w:hAnsi="黑体" w:eastAsia="黑体" w:cs="黑体"/>
          <w:szCs w:val="21"/>
          <w:highlight w:val="none"/>
        </w:rPr>
        <w:t>-2018</w:t>
      </w:r>
      <w:r>
        <w:rPr>
          <w:rFonts w:hint="eastAsia" w:ascii="黑体" w:hAnsi="黑体" w:eastAsia="黑体" w:cs="黑体"/>
          <w:szCs w:val="21"/>
          <w:highlight w:val="none"/>
        </w:rPr>
        <w:t>根据场地条件、土壤修复情况等制定了土壤风险控制值的确定原则。现行国家标准《挥发性有机物无组织排放控制标准》GB 37822-2019为土壤气体风险控制值提供参考。</w:t>
      </w:r>
    </w:p>
    <w:p w14:paraId="3C12D5A5">
      <w:pPr>
        <w:snapToGrid w:val="0"/>
        <w:spacing w:before="156" w:beforeLines="50" w:after="156" w:afterLines="50" w:line="360" w:lineRule="auto"/>
        <w:jc w:val="center"/>
        <w:outlineLvl w:val="1"/>
        <w:rPr>
          <w:rFonts w:ascii="黑体" w:hAnsi="黑体" w:eastAsia="黑体" w:cs="黑体"/>
          <w:szCs w:val="21"/>
          <w:highlight w:val="none"/>
        </w:rPr>
      </w:pPr>
      <w:bookmarkStart w:id="147" w:name="_Toc26245"/>
      <w:bookmarkStart w:id="148" w:name="_Toc32752"/>
      <w:r>
        <w:rPr>
          <w:rFonts w:hint="eastAsia" w:ascii="黑体" w:hAnsi="黑体" w:eastAsia="黑体" w:cs="黑体"/>
          <w:szCs w:val="21"/>
          <w:highlight w:val="none"/>
        </w:rPr>
        <w:t>5.2  覆盖阻隔屏障总体设计</w:t>
      </w:r>
      <w:bookmarkEnd w:id="147"/>
      <w:bookmarkEnd w:id="148"/>
    </w:p>
    <w:p w14:paraId="10188CAB">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 xml:space="preserve">.2.2  </w:t>
      </w:r>
      <w:r>
        <w:rPr>
          <w:rFonts w:hint="eastAsia" w:ascii="黑体" w:hAnsi="黑体" w:eastAsia="黑体" w:cs="黑体"/>
          <w:szCs w:val="21"/>
          <w:highlight w:val="none"/>
        </w:rPr>
        <w:t>规定了覆盖阻隔屏障平面布置的设计工作。平面布置设计应在场地勘察与污染状况调查成果基础上进行，并应充分考虑场地用途(例如，搜集获取的场地现状用途及未来场地利用规划的基本信息、用地红线等)。全覆盖形式的平面布置能够确保切断大气降水、地表水、污染气体的迁移途径。参考现行国家标准《生活垃圾卫生填埋场封场技术规范》GB 51220的相关规定，当地下水受到污染时，覆盖阻隔工程四周应设置竖向阻隔相连。闭合形式布置的竖向阻隔屏障能够确保切断污染物（污染羽和气相污染物）的迁移路径。其中竖向阻隔工程应符合现行行业标准《工业污染场地竖向阻隔技术规范》HG/T 20715的相关规定。由于场地规划许可等特定的限制，大量覆盖阻隔工程面临无法完全覆盖污染范围的情况。气相污染物在包气带的迁移速率和地下水污染羽迁移速率通常远大于液相污染物通过扩散在岩土中的迁移。因此，本规范针对局部重度污染区，特别存在高浓度、具有毒理性的污染源时，可额外对其设计闭合形式布置的竖向阻隔屏障，以确保实现达到风险管控目标。</w:t>
      </w:r>
    </w:p>
    <w:p w14:paraId="2341767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 xml:space="preserve">.2.3  </w:t>
      </w:r>
      <w:r>
        <w:rPr>
          <w:rFonts w:hint="eastAsia" w:ascii="黑体" w:hAnsi="黑体" w:eastAsia="黑体" w:cs="黑体"/>
          <w:szCs w:val="21"/>
          <w:highlight w:val="none"/>
        </w:rPr>
        <w:t>对覆盖阻隔屏障的厚度设计进行了原则性规定，参考了现行国家标准《生活垃圾卫生填埋场封场技术规范》GB 51220</w:t>
      </w:r>
      <w:r>
        <w:rPr>
          <w:rFonts w:ascii="黑体" w:hAnsi="黑体" w:eastAsia="黑体" w:cs="黑体"/>
          <w:szCs w:val="21"/>
          <w:highlight w:val="none"/>
        </w:rPr>
        <w:t>-2017</w:t>
      </w:r>
      <w:r>
        <w:rPr>
          <w:rFonts w:hint="eastAsia" w:ascii="黑体" w:hAnsi="黑体" w:eastAsia="黑体" w:cs="黑体"/>
          <w:szCs w:val="21"/>
          <w:highlight w:val="none"/>
        </w:rPr>
        <w:t>、《生活垃圾卫生填埋场防渗系统工程技术标准》GB/T 51403</w:t>
      </w:r>
      <w:r>
        <w:rPr>
          <w:rFonts w:ascii="黑体" w:hAnsi="黑体" w:eastAsia="黑体" w:cs="黑体"/>
          <w:szCs w:val="21"/>
          <w:highlight w:val="none"/>
        </w:rPr>
        <w:t>-2021</w:t>
      </w:r>
      <w:r>
        <w:rPr>
          <w:rFonts w:hint="eastAsia" w:ascii="黑体" w:hAnsi="黑体" w:eastAsia="黑体" w:cs="黑体"/>
          <w:szCs w:val="21"/>
          <w:highlight w:val="none"/>
        </w:rPr>
        <w:t>、《危险废物填埋污染控制标准》GB 18598-2019的规定，屏障厚度一般设计为0.8 m~1.2</w:t>
      </w:r>
      <w:r>
        <w:rPr>
          <w:rFonts w:ascii="黑体" w:hAnsi="黑体" w:eastAsia="黑体" w:cs="黑体"/>
          <w:szCs w:val="21"/>
          <w:highlight w:val="none"/>
        </w:rPr>
        <w:t xml:space="preserve"> m</w:t>
      </w:r>
      <w:r>
        <w:rPr>
          <w:rFonts w:hint="eastAsia" w:ascii="黑体" w:hAnsi="黑体" w:eastAsia="黑体" w:cs="黑体"/>
          <w:szCs w:val="21"/>
          <w:highlight w:val="none"/>
        </w:rPr>
        <w:t>。屏障厚度是覆盖阻隔屏障使用年限的重要设计参数之一，屏障厚度越大，则使用年限相对越久。另一方面，屏障厚度设计需要兼顾经济性及施工可行性，通常，可通过覆盖阻隔屏障材料选用，提升阻隔性能，确保合理屏障厚度条件下使用年限。</w:t>
      </w:r>
    </w:p>
    <w:p w14:paraId="1B344BA2">
      <w:pPr>
        <w:snapToGrid w:val="0"/>
        <w:spacing w:before="156" w:beforeLines="50" w:after="156" w:afterLines="50" w:line="360" w:lineRule="auto"/>
        <w:jc w:val="center"/>
        <w:outlineLvl w:val="1"/>
        <w:rPr>
          <w:rFonts w:ascii="黑体" w:hAnsi="黑体" w:eastAsia="黑体" w:cs="黑体"/>
          <w:szCs w:val="21"/>
          <w:highlight w:val="none"/>
        </w:rPr>
      </w:pPr>
      <w:bookmarkStart w:id="149" w:name="_Toc827"/>
      <w:bookmarkStart w:id="150" w:name="_Toc22149"/>
      <w:r>
        <w:rPr>
          <w:rFonts w:hint="eastAsia" w:ascii="黑体" w:hAnsi="黑体" w:eastAsia="黑体" w:cs="黑体"/>
          <w:szCs w:val="21"/>
          <w:highlight w:val="none"/>
        </w:rPr>
        <w:t>5.3  覆盖阻隔屏障防渗阻气层</w:t>
      </w:r>
      <w:bookmarkEnd w:id="149"/>
      <w:bookmarkEnd w:id="150"/>
    </w:p>
    <w:p w14:paraId="4CB2A3B5">
      <w:pPr>
        <w:snapToGrid w:val="0"/>
        <w:spacing w:line="360" w:lineRule="auto"/>
        <w:rPr>
          <w:rFonts w:ascii="黑体" w:hAnsi="黑体" w:eastAsia="黑体" w:cs="黑体"/>
          <w:szCs w:val="21"/>
          <w:highlight w:val="none"/>
        </w:rPr>
      </w:pPr>
      <w:r>
        <w:rPr>
          <w:rFonts w:ascii="黑体" w:hAnsi="黑体" w:eastAsia="黑体" w:cs="黑体"/>
          <w:szCs w:val="21"/>
          <w:highlight w:val="none"/>
        </w:rPr>
        <w:t xml:space="preserve">5.3.1  </w:t>
      </w:r>
      <w:bookmarkStart w:id="151" w:name="OLE_LINK23"/>
      <w:r>
        <w:rPr>
          <w:rFonts w:hint="eastAsia" w:ascii="黑体" w:hAnsi="黑体" w:eastAsia="黑体" w:cs="黑体"/>
          <w:szCs w:val="21"/>
          <w:highlight w:val="none"/>
        </w:rPr>
        <w:t>对防渗阻气层的材料选用程序进行了原则性规定。</w:t>
      </w:r>
      <w:bookmarkEnd w:id="151"/>
    </w:p>
    <w:p w14:paraId="5914A25F">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 xml:space="preserve">.3.2  </w:t>
      </w:r>
      <w:r>
        <w:rPr>
          <w:rFonts w:hint="eastAsia" w:ascii="黑体" w:hAnsi="黑体" w:eastAsia="黑体" w:cs="黑体"/>
          <w:szCs w:val="21"/>
          <w:highlight w:val="none"/>
        </w:rPr>
        <w:t>对防渗阻气层的材料及结构类型适用性判别做原则性规定。</w:t>
      </w:r>
    </w:p>
    <w:p w14:paraId="15FAC729">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 xml:space="preserve">.3.3  </w:t>
      </w:r>
      <w:r>
        <w:rPr>
          <w:rFonts w:hint="eastAsia" w:ascii="黑体" w:hAnsi="黑体" w:eastAsia="黑体" w:cs="黑体"/>
          <w:szCs w:val="21"/>
          <w:highlight w:val="none"/>
        </w:rPr>
        <w:t>对用于防渗阻气层的原材料选用做原则性规定。污染场地中腐蚀性介质长期作用下对建筑材料造成不同程度的劣化，可包括外观变化、重量变化、强度损失、防渗失效、阻气失效等。现行国家标准</w:t>
      </w:r>
      <w:bookmarkStart w:id="152" w:name="OLE_LINK2"/>
      <w:bookmarkStart w:id="153" w:name="OLE_LINK3"/>
      <w:r>
        <w:rPr>
          <w:rFonts w:hint="eastAsia" w:ascii="黑体" w:hAnsi="黑体" w:eastAsia="黑体" w:cs="黑体"/>
          <w:szCs w:val="21"/>
          <w:highlight w:val="none"/>
        </w:rPr>
        <w:t>《工业建筑防腐蚀设计标准》</w:t>
      </w:r>
      <w:bookmarkEnd w:id="152"/>
      <w:bookmarkEnd w:id="153"/>
      <w:r>
        <w:rPr>
          <w:rFonts w:hint="eastAsia" w:ascii="黑体" w:hAnsi="黑体" w:eastAsia="黑体" w:cs="黑体"/>
          <w:szCs w:val="21"/>
          <w:highlight w:val="none"/>
        </w:rPr>
        <w:t>GB 50046</w:t>
      </w:r>
      <w:r>
        <w:rPr>
          <w:rFonts w:ascii="黑体" w:hAnsi="黑体" w:eastAsia="黑体" w:cs="黑体"/>
          <w:szCs w:val="21"/>
          <w:highlight w:val="none"/>
        </w:rPr>
        <w:t>-2018</w:t>
      </w:r>
      <w:r>
        <w:rPr>
          <w:rFonts w:hint="eastAsia" w:ascii="黑体" w:hAnsi="黑体" w:eastAsia="黑体" w:cs="黑体"/>
          <w:szCs w:val="21"/>
          <w:highlight w:val="none"/>
        </w:rPr>
        <w:t>中3</w:t>
      </w:r>
      <w:r>
        <w:rPr>
          <w:rFonts w:ascii="黑体" w:hAnsi="黑体" w:eastAsia="黑体" w:cs="黑体"/>
          <w:szCs w:val="21"/>
          <w:highlight w:val="none"/>
        </w:rPr>
        <w:t>.1.4</w:t>
      </w:r>
      <w:r>
        <w:rPr>
          <w:rFonts w:hint="eastAsia" w:ascii="黑体" w:hAnsi="黑体" w:eastAsia="黑体" w:cs="黑体"/>
          <w:szCs w:val="21"/>
          <w:highlight w:val="none"/>
        </w:rPr>
        <w:t>就气态介质对钢筋混凝土、水泥砂浆、钢材、烧结砖砌体等建筑材料的腐蚀性等级进行了规定，涉及的腐蚀性介质包括等无机酸、有机酸、碱、盐等；3</w:t>
      </w:r>
      <w:r>
        <w:rPr>
          <w:rFonts w:ascii="黑体" w:hAnsi="黑体" w:eastAsia="黑体" w:cs="黑体"/>
          <w:szCs w:val="21"/>
          <w:highlight w:val="none"/>
        </w:rPr>
        <w:t>.1.5</w:t>
      </w:r>
      <w:r>
        <w:rPr>
          <w:rFonts w:hint="eastAsia" w:ascii="黑体" w:hAnsi="黑体" w:eastAsia="黑体" w:cs="黑体"/>
          <w:szCs w:val="21"/>
          <w:highlight w:val="none"/>
        </w:rPr>
        <w:t>则就液态介质对建筑材料的腐蚀性等级进行了规定。原材料选用中应首先依此判断气相污染物和液相污染物长期作用下压实黏土、膨润土防水毯、土工膜等覆盖阻隔材料长期作用下的防腐蚀性能。</w:t>
      </w:r>
    </w:p>
    <w:p w14:paraId="51B1BA1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 xml:space="preserve">.3.8  </w:t>
      </w:r>
      <w:r>
        <w:rPr>
          <w:rFonts w:hint="eastAsia" w:ascii="黑体" w:hAnsi="黑体" w:eastAsia="黑体" w:cs="黑体"/>
          <w:szCs w:val="21"/>
          <w:highlight w:val="none"/>
        </w:rPr>
        <w:t>受限于修复规划、场地用途、用地红线等因素，大量覆盖阻隔工程就近采用未污染压实原位土作为覆盖阻隔层材料，其仍存在对防渗阻气层材料有腐蚀性的可能，应查明防渗阻气材料对未污染压实原位土的防腐蚀性能。</w:t>
      </w:r>
    </w:p>
    <w:p w14:paraId="4312153C">
      <w:pPr>
        <w:snapToGrid w:val="0"/>
        <w:spacing w:before="156" w:beforeLines="50" w:after="156" w:afterLines="50" w:line="360" w:lineRule="auto"/>
        <w:jc w:val="center"/>
        <w:outlineLvl w:val="1"/>
        <w:rPr>
          <w:rFonts w:ascii="黑体" w:hAnsi="黑体" w:eastAsia="黑体" w:cs="黑体"/>
          <w:szCs w:val="21"/>
          <w:highlight w:val="none"/>
        </w:rPr>
      </w:pPr>
      <w:bookmarkStart w:id="154" w:name="_Toc27733"/>
      <w:r>
        <w:rPr>
          <w:rFonts w:hint="eastAsia" w:ascii="黑体" w:hAnsi="黑体" w:eastAsia="黑体" w:cs="黑体"/>
          <w:szCs w:val="21"/>
          <w:highlight w:val="none"/>
        </w:rPr>
        <w:t>5.6  击穿判别验算</w:t>
      </w:r>
      <w:bookmarkEnd w:id="154"/>
    </w:p>
    <w:p w14:paraId="48F48F9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5.6.1  国外学者提出湿润地区的土质覆盖层应当将入水量降至50 mm/yr，干燥地区则应当按1/3比例计算。</w:t>
      </w:r>
    </w:p>
    <w:p w14:paraId="6115BA9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5.6.2  本规范的污染气体击穿判别验算公式是通过气体在覆盖阻隔工程和大气层中的一维运移解析模型得到。所建立的一维运移解析模型基于以下假设：（1）不考虑空气湿度对覆盖阻隔中污染气体运移的影响；（2）污染气体运移遵循质量守恒原则，扩散遵循菲克第二定律，对流遵循达西定律；（3）覆盖阻隔为均质；（4）不考虑覆盖阻隔中的热传递以及水分、压力变化。</w:t>
      </w:r>
    </w:p>
    <w:p w14:paraId="3C0649B3">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污染气体击穿覆盖阻隔的模型示意图如图1所示。</w:t>
      </w:r>
    </w:p>
    <w:p w14:paraId="7673DA59">
      <w:pPr>
        <w:spacing w:line="360" w:lineRule="auto"/>
        <w:jc w:val="center"/>
        <w:rPr>
          <w:rStyle w:val="16"/>
          <w:rFonts w:hint="eastAsia" w:ascii="黑体" w:hAnsi="黑体" w:eastAsia="黑体" w:cs="黑体"/>
          <w:highlight w:val="none"/>
        </w:rPr>
      </w:pPr>
      <w:r>
        <w:rPr>
          <w:rFonts w:hint="eastAsia" w:ascii="黑体" w:hAnsi="黑体" w:eastAsia="黑体" w:cs="黑体"/>
          <w:highlight w:val="none"/>
        </w:rPr>
        <w:drawing>
          <wp:inline distT="0" distB="0" distL="114300" distR="114300">
            <wp:extent cx="5265420" cy="3008630"/>
            <wp:effectExtent l="0" t="0" r="11430" b="1270"/>
            <wp:docPr id="1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0"/>
                    <pic:cNvPicPr>
                      <a:picLocks noChangeAspect="1"/>
                    </pic:cNvPicPr>
                  </pic:nvPicPr>
                  <pic:blipFill>
                    <a:blip r:embed="rId24"/>
                    <a:stretch>
                      <a:fillRect/>
                    </a:stretch>
                  </pic:blipFill>
                  <pic:spPr>
                    <a:xfrm>
                      <a:off x="0" y="0"/>
                      <a:ext cx="5265420" cy="3008630"/>
                    </a:xfrm>
                    <a:prstGeom prst="rect">
                      <a:avLst/>
                    </a:prstGeom>
                    <a:noFill/>
                    <a:ln>
                      <a:noFill/>
                    </a:ln>
                  </pic:spPr>
                </pic:pic>
              </a:graphicData>
            </a:graphic>
          </wp:inline>
        </w:drawing>
      </w:r>
    </w:p>
    <w:p w14:paraId="506F869D">
      <w:pPr>
        <w:spacing w:line="360" w:lineRule="auto"/>
        <w:jc w:val="center"/>
        <w:rPr>
          <w:rFonts w:ascii="黑体" w:hAnsi="黑体" w:eastAsia="黑体" w:cs="黑体"/>
          <w:b/>
          <w:bCs/>
          <w:sz w:val="18"/>
          <w:szCs w:val="18"/>
          <w:highlight w:val="none"/>
        </w:rPr>
      </w:pPr>
      <w:bookmarkStart w:id="155" w:name="OLE_LINK49"/>
      <w:r>
        <w:rPr>
          <w:rFonts w:hint="eastAsia" w:ascii="黑体" w:hAnsi="黑体" w:eastAsia="黑体" w:cs="黑体"/>
          <w:b/>
          <w:bCs/>
          <w:sz w:val="18"/>
          <w:szCs w:val="18"/>
          <w:highlight w:val="none"/>
        </w:rPr>
        <w:t>图1  污染气体击穿覆盖阻隔的模型示意图</w:t>
      </w:r>
    </w:p>
    <w:bookmarkEnd w:id="155"/>
    <w:p w14:paraId="4C1D199D">
      <w:pPr>
        <w:snapToGrid w:val="0"/>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运移控制方程可表述为：</w:t>
      </w:r>
    </w:p>
    <w:p w14:paraId="4BE78F68">
      <w:pPr>
        <w:snapToGrid w:val="0"/>
        <w:spacing w:line="360" w:lineRule="auto"/>
        <w:jc w:val="right"/>
        <w:rPr>
          <w:rFonts w:hint="eastAsia" w:ascii="黑体" w:hAnsi="黑体" w:eastAsia="黑体" w:cs="黑体"/>
          <w:position w:val="-22"/>
          <w:sz w:val="24"/>
          <w:szCs w:val="24"/>
          <w:highlight w:val="none"/>
        </w:rPr>
      </w:pPr>
      <w:r>
        <w:rPr>
          <w:rFonts w:hint="eastAsia" w:ascii="黑体" w:hAnsi="黑体" w:eastAsia="黑体" w:cs="黑体"/>
          <w:position w:val="-22"/>
          <w:sz w:val="24"/>
          <w:szCs w:val="24"/>
          <w:highlight w:val="none"/>
        </w:rPr>
        <w:object>
          <v:shape id="_x0000_i1031" o:spt="75" type="#_x0000_t75" style="height:29.9pt;width:121.6pt;" o:ole="t" filled="f" o:preferrelative="t" stroked="f" coordsize="21600,21600">
            <v:path/>
            <v:fill on="f" focussize="0,0"/>
            <v:stroke on="f" joinstyle="miter"/>
            <v:imagedata r:id="rId26" o:title=""/>
            <o:lock v:ext="edit" aspectratio="t"/>
            <w10:wrap type="none"/>
            <w10:anchorlock/>
          </v:shape>
          <o:OLEObject Type="Embed" ProgID="Equation.DSMT4" ShapeID="_x0000_i1031" DrawAspect="Content" ObjectID="_1468075731" r:id="rId25">
            <o:LockedField>false</o:LockedField>
          </o:OLEObject>
        </w:object>
      </w:r>
      <w:r>
        <w:rPr>
          <w:rFonts w:hint="eastAsia" w:ascii="黑体" w:hAnsi="黑体" w:eastAsia="黑体" w:cs="黑体"/>
          <w:position w:val="-22"/>
          <w:sz w:val="24"/>
          <w:szCs w:val="24"/>
          <w:highlight w:val="none"/>
        </w:rPr>
        <w:t xml:space="preserve">                  </w:t>
      </w:r>
      <w:r>
        <w:rPr>
          <w:rFonts w:hint="eastAsia" w:ascii="黑体" w:hAnsi="黑体" w:eastAsia="黑体" w:cs="黑体"/>
          <w:position w:val="-22"/>
          <w:szCs w:val="21"/>
          <w:highlight w:val="none"/>
        </w:rPr>
        <w:t>（1）</w:t>
      </w:r>
    </w:p>
    <w:p w14:paraId="05A75B62">
      <w:pPr>
        <w:snapToGrid w:val="0"/>
        <w:spacing w:line="360" w:lineRule="auto"/>
        <w:jc w:val="right"/>
        <w:rPr>
          <w:rFonts w:hint="eastAsia" w:ascii="黑体" w:hAnsi="黑体" w:eastAsia="黑体" w:cs="黑体"/>
          <w:position w:val="-22"/>
          <w:sz w:val="24"/>
          <w:szCs w:val="24"/>
          <w:highlight w:val="none"/>
        </w:rPr>
      </w:pPr>
      <w:r>
        <w:rPr>
          <w:rFonts w:hint="eastAsia" w:ascii="黑体" w:hAnsi="黑体" w:eastAsia="黑体" w:cs="黑体"/>
          <w:position w:val="-30"/>
          <w:sz w:val="24"/>
          <w:szCs w:val="24"/>
          <w:highlight w:val="none"/>
        </w:rPr>
        <w:object>
          <v:shape id="_x0000_i1032" o:spt="75" type="#_x0000_t75" style="height:36pt;width:85.6pt;" o:ole="t" filled="f" o:preferrelative="t" stroked="f" coordsize="21600,21600">
            <v:path/>
            <v:fill on="f" focussize="0,0"/>
            <v:stroke on="f" joinstyle="miter"/>
            <v:imagedata r:id="rId28" o:title=""/>
            <o:lock v:ext="edit" aspectratio="t"/>
            <w10:wrap type="none"/>
            <w10:anchorlock/>
          </v:shape>
          <o:OLEObject Type="Embed" ProgID="Equation.DSMT4" ShapeID="_x0000_i1032" DrawAspect="Content" ObjectID="_1468075732" r:id="rId27">
            <o:LockedField>false</o:LockedField>
          </o:OLEObject>
        </w:object>
      </w:r>
      <w:r>
        <w:rPr>
          <w:rFonts w:hint="eastAsia" w:ascii="黑体" w:hAnsi="黑体" w:eastAsia="黑体" w:cs="黑体"/>
          <w:position w:val="-30"/>
          <w:sz w:val="24"/>
          <w:szCs w:val="24"/>
          <w:highlight w:val="none"/>
        </w:rPr>
        <w:t xml:space="preserve">                     </w:t>
      </w:r>
      <w:r>
        <w:rPr>
          <w:rFonts w:hint="eastAsia" w:ascii="黑体" w:hAnsi="黑体" w:eastAsia="黑体" w:cs="黑体"/>
          <w:position w:val="-22"/>
          <w:szCs w:val="21"/>
          <w:highlight w:val="none"/>
        </w:rPr>
        <w:t>（2）</w:t>
      </w:r>
    </w:p>
    <w:p w14:paraId="7CAD07C4">
      <w:pPr>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控制方程的边界条件为常浓度边界，可表述为：</w:t>
      </w:r>
    </w:p>
    <w:p w14:paraId="4EAAAE53">
      <w:pPr>
        <w:spacing w:line="360" w:lineRule="auto"/>
        <w:jc w:val="right"/>
        <w:rPr>
          <w:rFonts w:hint="eastAsia" w:ascii="黑体" w:hAnsi="黑体" w:eastAsia="黑体" w:cs="黑体"/>
          <w:sz w:val="24"/>
          <w:szCs w:val="24"/>
          <w:highlight w:val="none"/>
        </w:rPr>
      </w:pPr>
      <w:r>
        <w:rPr>
          <w:rFonts w:hint="eastAsia" w:ascii="黑体" w:hAnsi="黑体" w:eastAsia="黑体" w:cs="黑体"/>
          <w:position w:val="-14"/>
          <w:sz w:val="24"/>
          <w:szCs w:val="24"/>
          <w:highlight w:val="none"/>
        </w:rPr>
        <w:object>
          <v:shape id="_x0000_i1033" o:spt="75" type="#_x0000_t75" style="height:20.4pt;width:80.15pt;" o:ole="t" filled="f" o:preferrelative="t" stroked="f" coordsize="21600,21600">
            <v:path/>
            <v:fill on="f" focussize="0,0"/>
            <v:stroke on="f" joinstyle="miter"/>
            <v:imagedata r:id="rId30" o:title=""/>
            <o:lock v:ext="edit" aspectratio="t"/>
            <w10:wrap type="none"/>
            <w10:anchorlock/>
          </v:shape>
          <o:OLEObject Type="Embed" ProgID="Equation.DSMT4" ShapeID="_x0000_i1033" DrawAspect="Content" ObjectID="_1468075733" r:id="rId29">
            <o:LockedField>false</o:LockedField>
          </o:OLEObject>
        </w:object>
      </w:r>
      <w:r>
        <w:rPr>
          <w:rFonts w:hint="eastAsia" w:ascii="黑体" w:hAnsi="黑体" w:eastAsia="黑体" w:cs="黑体"/>
          <w:sz w:val="24"/>
          <w:szCs w:val="24"/>
          <w:highlight w:val="none"/>
        </w:rPr>
        <w:tab/>
      </w:r>
      <w:r>
        <w:rPr>
          <w:rFonts w:hint="eastAsia" w:ascii="黑体" w:hAnsi="黑体" w:eastAsia="黑体" w:cs="黑体"/>
          <w:sz w:val="24"/>
          <w:szCs w:val="24"/>
          <w:highlight w:val="none"/>
        </w:rPr>
        <w:tab/>
      </w:r>
      <w:r>
        <w:rPr>
          <w:rFonts w:hint="eastAsia" w:ascii="黑体" w:hAnsi="黑体" w:eastAsia="黑体" w:cs="黑体"/>
          <w:sz w:val="24"/>
          <w:szCs w:val="24"/>
          <w:highlight w:val="none"/>
        </w:rPr>
        <w:t xml:space="preserve">                  </w:t>
      </w:r>
      <w:r>
        <w:rPr>
          <w:rFonts w:hint="eastAsia" w:ascii="黑体" w:hAnsi="黑体" w:eastAsia="黑体" w:cs="黑体"/>
          <w:szCs w:val="21"/>
          <w:highlight w:val="none"/>
        </w:rPr>
        <w:t>（3）</w:t>
      </w:r>
    </w:p>
    <w:p w14:paraId="19150829">
      <w:pPr>
        <w:spacing w:line="360" w:lineRule="auto"/>
        <w:jc w:val="right"/>
        <w:rPr>
          <w:rFonts w:hint="eastAsia" w:ascii="黑体" w:hAnsi="黑体" w:eastAsia="黑体" w:cs="黑体"/>
          <w:sz w:val="24"/>
          <w:szCs w:val="24"/>
          <w:highlight w:val="none"/>
        </w:rPr>
      </w:pPr>
      <w:r>
        <w:rPr>
          <w:rFonts w:hint="eastAsia" w:ascii="黑体" w:hAnsi="黑体" w:eastAsia="黑体" w:cs="黑体"/>
          <w:position w:val="-18"/>
          <w:sz w:val="24"/>
          <w:szCs w:val="24"/>
          <w:highlight w:val="none"/>
        </w:rPr>
        <w:object>
          <v:shape id="_x0000_i1034" o:spt="75" type="#_x0000_t75" style="height:22.4pt;width:64.55pt;" o:ole="t" filled="f" o:preferrelative="t" stroked="f" coordsize="21600,21600">
            <v:path/>
            <v:fill on="f" focussize="0,0"/>
            <v:stroke on="f" joinstyle="miter"/>
            <v:imagedata r:id="rId32" o:title=""/>
            <o:lock v:ext="edit" aspectratio="t"/>
            <w10:wrap type="none"/>
            <w10:anchorlock/>
          </v:shape>
          <o:OLEObject Type="Embed" ProgID="Equation.DSMT4" ShapeID="_x0000_i1034" DrawAspect="Content" ObjectID="_1468075734" r:id="rId31">
            <o:LockedField>false</o:LockedField>
          </o:OLEObject>
        </w:object>
      </w:r>
      <w:r>
        <w:rPr>
          <w:rFonts w:hint="eastAsia" w:ascii="黑体" w:hAnsi="黑体" w:eastAsia="黑体" w:cs="黑体"/>
          <w:sz w:val="24"/>
          <w:szCs w:val="24"/>
          <w:highlight w:val="none"/>
        </w:rPr>
        <w:t xml:space="preserve">                        </w:t>
      </w:r>
      <w:r>
        <w:rPr>
          <w:rFonts w:hint="eastAsia" w:ascii="黑体" w:hAnsi="黑体" w:eastAsia="黑体" w:cs="黑体"/>
          <w:szCs w:val="21"/>
          <w:highlight w:val="none"/>
        </w:rPr>
        <w:t>（4）</w:t>
      </w:r>
    </w:p>
    <w:p w14:paraId="22FA0C13">
      <w:pPr>
        <w:spacing w:line="360" w:lineRule="auto"/>
        <w:ind w:firstLine="420" w:firstLineChars="200"/>
        <w:rPr>
          <w:rFonts w:hint="eastAsia" w:ascii="黑体" w:hAnsi="黑体" w:eastAsia="黑体" w:cs="黑体"/>
          <w:sz w:val="24"/>
          <w:szCs w:val="24"/>
          <w:highlight w:val="none"/>
        </w:rPr>
      </w:pPr>
      <w:r>
        <w:rPr>
          <w:rFonts w:hint="eastAsia" w:ascii="黑体" w:hAnsi="黑体" w:eastAsia="黑体" w:cs="黑体"/>
          <w:szCs w:val="21"/>
          <w:highlight w:val="none"/>
        </w:rPr>
        <w:t>在覆盖阻隔工程和大气边界层交界面处满足浓度相等和通量连续的条件：</w:t>
      </w:r>
    </w:p>
    <w:p w14:paraId="760ECBCB">
      <w:pPr>
        <w:pStyle w:val="41"/>
        <w:jc w:val="right"/>
        <w:rPr>
          <w:rFonts w:hint="eastAsia" w:ascii="黑体" w:hAnsi="黑体" w:eastAsia="黑体" w:cs="黑体"/>
          <w:color w:val="000000"/>
          <w:sz w:val="24"/>
          <w:szCs w:val="24"/>
          <w:highlight w:val="none"/>
        </w:rPr>
      </w:pPr>
      <w:r>
        <w:rPr>
          <w:rFonts w:hint="eastAsia" w:ascii="黑体" w:hAnsi="黑体" w:eastAsia="黑体" w:cs="黑体"/>
          <w:sz w:val="24"/>
          <w:szCs w:val="24"/>
          <w:highlight w:val="none"/>
        </w:rPr>
        <w:tab/>
      </w:r>
      <w:r>
        <w:rPr>
          <w:rFonts w:hint="eastAsia" w:ascii="黑体" w:hAnsi="黑体" w:eastAsia="黑体" w:cs="黑体"/>
          <w:position w:val="-14"/>
          <w:sz w:val="24"/>
          <w:szCs w:val="24"/>
          <w:highlight w:val="none"/>
        </w:rPr>
        <w:object>
          <v:shape id="_x0000_i1035" o:spt="75" type="#_x0000_t75" style="height:17.65pt;width:78.8pt;" o:ole="t" filled="f" o:preferrelative="t" stroked="f" coordsize="21600,21600">
            <v:path/>
            <v:fill on="f" focussize="0,0"/>
            <v:stroke on="f" joinstyle="miter"/>
            <v:imagedata r:id="rId34" o:title=""/>
            <o:lock v:ext="edit" aspectratio="t"/>
            <w10:wrap type="none"/>
            <w10:anchorlock/>
          </v:shape>
          <o:OLEObject Type="Embed" ProgID="Equation.DSMT4" ShapeID="_x0000_i1035" DrawAspect="Content" ObjectID="_1468075735" r:id="rId33">
            <o:LockedField>false</o:LockedField>
          </o:OLEObject>
        </w:object>
      </w:r>
      <w:r>
        <w:rPr>
          <w:rFonts w:hint="eastAsia" w:ascii="黑体" w:hAnsi="黑体" w:eastAsia="黑体" w:cs="黑体"/>
          <w:sz w:val="24"/>
          <w:szCs w:val="24"/>
          <w:highlight w:val="none"/>
        </w:rPr>
        <w:tab/>
      </w:r>
      <w:r>
        <w:rPr>
          <w:rFonts w:hint="eastAsia" w:ascii="黑体" w:hAnsi="黑体" w:eastAsia="黑体" w:cs="黑体"/>
          <w:sz w:val="24"/>
          <w:szCs w:val="24"/>
          <w:highlight w:val="none"/>
        </w:rPr>
        <w:t xml:space="preserve"> </w:t>
      </w:r>
      <w:r>
        <w:rPr>
          <w:rFonts w:hint="eastAsia" w:ascii="黑体" w:hAnsi="黑体" w:eastAsia="黑体" w:cs="黑体"/>
          <w:color w:val="000000"/>
          <w:szCs w:val="21"/>
          <w:highlight w:val="none"/>
        </w:rPr>
        <w:t>（5）</w:t>
      </w:r>
    </w:p>
    <w:p w14:paraId="0AF03A9B">
      <w:pPr>
        <w:pStyle w:val="41"/>
        <w:jc w:val="right"/>
        <w:rPr>
          <w:rFonts w:hint="eastAsia" w:ascii="黑体" w:hAnsi="黑体" w:eastAsia="黑体" w:cs="黑体"/>
          <w:color w:val="000000"/>
          <w:sz w:val="24"/>
          <w:szCs w:val="24"/>
          <w:highlight w:val="none"/>
        </w:rPr>
      </w:pPr>
      <w:r>
        <w:rPr>
          <w:rFonts w:hint="eastAsia" w:ascii="黑体" w:hAnsi="黑体" w:eastAsia="黑体" w:cs="黑体"/>
          <w:sz w:val="24"/>
          <w:szCs w:val="24"/>
          <w:highlight w:val="none"/>
        </w:rPr>
        <w:tab/>
      </w:r>
      <w:r>
        <w:rPr>
          <w:rFonts w:hint="eastAsia" w:ascii="黑体" w:hAnsi="黑体" w:eastAsia="黑体" w:cs="黑体"/>
          <w:position w:val="-30"/>
          <w:sz w:val="24"/>
          <w:szCs w:val="24"/>
          <w:highlight w:val="none"/>
        </w:rPr>
        <w:object>
          <v:shape id="_x0000_i1036" o:spt="75" type="#_x0000_t75" style="height:34.65pt;width:149.45pt;" o:ole="t" filled="f" o:preferrelative="t" stroked="f" coordsize="21600,21600">
            <v:path/>
            <v:fill on="f" focussize="0,0"/>
            <v:stroke on="f" joinstyle="miter"/>
            <v:imagedata r:id="rId36" o:title=""/>
            <o:lock v:ext="edit" aspectratio="t"/>
            <w10:wrap type="none"/>
            <w10:anchorlock/>
          </v:shape>
          <o:OLEObject Type="Embed" ProgID="Equation.DSMT4" ShapeID="_x0000_i1036" DrawAspect="Content" ObjectID="_1468075736" r:id="rId35">
            <o:LockedField>false</o:LockedField>
          </o:OLEObject>
        </w:object>
      </w:r>
      <w:r>
        <w:rPr>
          <w:rFonts w:hint="eastAsia" w:ascii="黑体" w:hAnsi="黑体" w:eastAsia="黑体" w:cs="黑体"/>
          <w:sz w:val="24"/>
          <w:szCs w:val="24"/>
          <w:highlight w:val="none"/>
        </w:rPr>
        <w:tab/>
      </w:r>
      <w:r>
        <w:rPr>
          <w:rFonts w:hint="eastAsia" w:ascii="黑体" w:hAnsi="黑体" w:eastAsia="黑体" w:cs="黑体"/>
          <w:sz w:val="24"/>
          <w:szCs w:val="24"/>
          <w:highlight w:val="none"/>
        </w:rPr>
        <w:t xml:space="preserve"> </w:t>
      </w:r>
      <w:r>
        <w:rPr>
          <w:rFonts w:hint="eastAsia" w:ascii="黑体" w:hAnsi="黑体" w:eastAsia="黑体" w:cs="黑体"/>
          <w:color w:val="000000"/>
          <w:sz w:val="24"/>
          <w:szCs w:val="24"/>
          <w:highlight w:val="none"/>
        </w:rPr>
        <w:t>（6）</w:t>
      </w:r>
    </w:p>
    <w:p w14:paraId="10505F1E">
      <w:pPr>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联立式（1）~（6）可以得到模型的解为：</w:t>
      </w:r>
    </w:p>
    <w:p w14:paraId="6841608D">
      <w:pPr>
        <w:jc w:val="right"/>
        <w:rPr>
          <w:rFonts w:hint="eastAsia" w:ascii="黑体" w:hAnsi="黑体" w:eastAsia="黑体" w:cs="黑体"/>
          <w:sz w:val="24"/>
          <w:szCs w:val="24"/>
          <w:highlight w:val="none"/>
        </w:rPr>
      </w:pPr>
      <w:r>
        <w:rPr>
          <w:rFonts w:hint="eastAsia" w:ascii="黑体" w:hAnsi="黑体" w:eastAsia="黑体" w:cs="黑体"/>
          <w:position w:val="-46"/>
          <w:sz w:val="24"/>
          <w:szCs w:val="24"/>
          <w:highlight w:val="none"/>
        </w:rPr>
        <w:object>
          <v:shape id="_x0000_i1037" o:spt="75" type="#_x0000_t75" style="height:51.6pt;width:162.35pt;" o:ole="t" filled="f" o:preferrelative="t" stroked="f" coordsize="21600,21600">
            <v:path/>
            <v:fill on="f" focussize="0,0"/>
            <v:stroke on="f" joinstyle="miter"/>
            <v:imagedata r:id="rId38" o:title=""/>
            <o:lock v:ext="edit" aspectratio="t"/>
            <w10:wrap type="none"/>
            <w10:anchorlock/>
          </v:shape>
          <o:OLEObject Type="Embed" ProgID="Equation.DSMT4" ShapeID="_x0000_i1037" DrawAspect="Content" ObjectID="_1468075737" r:id="rId37">
            <o:LockedField>false</o:LockedField>
          </o:OLEObject>
        </w:object>
      </w:r>
      <w:r>
        <w:rPr>
          <w:rFonts w:hint="eastAsia" w:ascii="黑体" w:hAnsi="黑体" w:eastAsia="黑体" w:cs="黑体"/>
          <w:sz w:val="24"/>
          <w:szCs w:val="24"/>
          <w:highlight w:val="none"/>
        </w:rPr>
        <w:tab/>
      </w:r>
      <w:r>
        <w:rPr>
          <w:rFonts w:hint="eastAsia" w:ascii="黑体" w:hAnsi="黑体" w:eastAsia="黑体" w:cs="黑体"/>
          <w:sz w:val="24"/>
          <w:szCs w:val="24"/>
          <w:highlight w:val="none"/>
        </w:rPr>
        <w:tab/>
      </w:r>
      <w:r>
        <w:rPr>
          <w:rFonts w:hint="eastAsia" w:ascii="黑体" w:hAnsi="黑体" w:eastAsia="黑体" w:cs="黑体"/>
          <w:sz w:val="24"/>
          <w:szCs w:val="24"/>
          <w:highlight w:val="none"/>
        </w:rPr>
        <w:tab/>
      </w:r>
      <w:r>
        <w:rPr>
          <w:rFonts w:hint="eastAsia" w:ascii="黑体" w:hAnsi="黑体" w:eastAsia="黑体" w:cs="黑体"/>
          <w:sz w:val="24"/>
          <w:szCs w:val="24"/>
          <w:highlight w:val="none"/>
        </w:rPr>
        <w:tab/>
      </w:r>
      <w:r>
        <w:rPr>
          <w:rFonts w:hint="eastAsia" w:ascii="黑体" w:hAnsi="黑体" w:eastAsia="黑体" w:cs="黑体"/>
          <w:sz w:val="24"/>
          <w:szCs w:val="24"/>
          <w:highlight w:val="none"/>
        </w:rPr>
        <w:tab/>
      </w:r>
      <w:r>
        <w:rPr>
          <w:rFonts w:hint="eastAsia" w:ascii="黑体" w:hAnsi="黑体" w:eastAsia="黑体" w:cs="黑体"/>
          <w:szCs w:val="21"/>
          <w:highlight w:val="none"/>
        </w:rPr>
        <w:t>（7）</w:t>
      </w:r>
    </w:p>
    <w:p w14:paraId="7E936F1B">
      <w:pPr>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其中，</w:t>
      </w:r>
    </w:p>
    <w:p w14:paraId="7DCBDE87">
      <w:pPr>
        <w:jc w:val="right"/>
        <w:rPr>
          <w:rFonts w:hint="eastAsia" w:ascii="黑体" w:hAnsi="黑体" w:eastAsia="黑体" w:cs="黑体"/>
          <w:sz w:val="24"/>
          <w:szCs w:val="24"/>
          <w:highlight w:val="none"/>
        </w:rPr>
      </w:pPr>
      <w:r>
        <w:rPr>
          <w:rFonts w:hint="eastAsia" w:ascii="黑体" w:hAnsi="黑体" w:eastAsia="黑体" w:cs="黑体"/>
          <w:position w:val="-92"/>
          <w:sz w:val="24"/>
          <w:szCs w:val="24"/>
          <w:highlight w:val="none"/>
        </w:rPr>
        <w:object>
          <v:shape id="_x0000_i1038" o:spt="75" type="#_x0000_t75" style="height:90.35pt;width:378.35pt;" o:ole="t" filled="f" o:preferrelative="t" stroked="f" coordsize="21600,21600">
            <v:path/>
            <v:fill on="f" focussize="0,0"/>
            <v:stroke on="f" joinstyle="miter"/>
            <v:imagedata r:id="rId40" o:title=""/>
            <o:lock v:ext="edit" aspectratio="t"/>
            <w10:wrap type="none"/>
            <w10:anchorlock/>
          </v:shape>
          <o:OLEObject Type="Embed" ProgID="Equation.DSMT4" ShapeID="_x0000_i1038" DrawAspect="Content" ObjectID="_1468075738" r:id="rId39">
            <o:LockedField>false</o:LockedField>
          </o:OLEObject>
        </w:object>
      </w:r>
      <w:r>
        <w:rPr>
          <w:rFonts w:hint="eastAsia" w:ascii="黑体" w:hAnsi="黑体" w:eastAsia="黑体" w:cs="黑体"/>
          <w:szCs w:val="21"/>
          <w:highlight w:val="none"/>
        </w:rPr>
        <w:t>（8）</w:t>
      </w:r>
    </w:p>
    <w:p w14:paraId="502E5DBE">
      <w:pPr>
        <w:jc w:val="right"/>
        <w:rPr>
          <w:rFonts w:hint="eastAsia" w:ascii="黑体" w:hAnsi="黑体" w:eastAsia="黑体" w:cs="黑体"/>
          <w:highlight w:val="none"/>
        </w:rPr>
      </w:pPr>
      <w:r>
        <w:rPr>
          <w:rFonts w:hint="eastAsia" w:ascii="黑体" w:hAnsi="黑体" w:eastAsia="黑体" w:cs="黑体"/>
          <w:position w:val="-92"/>
          <w:szCs w:val="24"/>
          <w:highlight w:val="none"/>
        </w:rPr>
        <w:object>
          <v:shape id="_x0000_i1039" o:spt="75" type="#_x0000_t75" style="height:90.35pt;width:380.4pt;" o:ole="t" filled="f" o:preferrelative="t" stroked="f" coordsize="21600,21600">
            <v:path/>
            <v:fill on="f" focussize="0,0"/>
            <v:stroke on="f" joinstyle="miter"/>
            <v:imagedata r:id="rId42" o:title=""/>
            <o:lock v:ext="edit" aspectratio="t"/>
            <w10:wrap type="none"/>
            <w10:anchorlock/>
          </v:shape>
          <o:OLEObject Type="Embed" ProgID="Equation.DSMT4" ShapeID="_x0000_i1039" DrawAspect="Content" ObjectID="_1468075739" r:id="rId41">
            <o:LockedField>false</o:LockedField>
          </o:OLEObject>
        </w:object>
      </w:r>
      <w:r>
        <w:rPr>
          <w:rFonts w:hint="eastAsia" w:ascii="黑体" w:hAnsi="黑体" w:eastAsia="黑体" w:cs="黑体"/>
          <w:highlight w:val="none"/>
        </w:rPr>
        <w:t>（9）</w:t>
      </w:r>
    </w:p>
    <w:p w14:paraId="23BAA574">
      <w:pPr>
        <w:jc w:val="right"/>
        <w:rPr>
          <w:rFonts w:hint="eastAsia" w:ascii="黑体" w:hAnsi="黑体" w:eastAsia="黑体" w:cs="黑体"/>
          <w:highlight w:val="none"/>
        </w:rPr>
      </w:pPr>
      <w:r>
        <w:rPr>
          <w:rFonts w:hint="eastAsia" w:ascii="黑体" w:hAnsi="黑体" w:eastAsia="黑体" w:cs="黑体"/>
          <w:position w:val="-12"/>
          <w:szCs w:val="24"/>
          <w:highlight w:val="none"/>
        </w:rPr>
        <w:object>
          <v:shape id="_x0000_i1040" o:spt="75" type="#_x0000_t75" style="height:18.35pt;width:27.85pt;" o:ole="t" filled="f" o:preferrelative="t" stroked="f" coordsize="21600,21600">
            <v:path/>
            <v:fill on="f" focussize="0,0"/>
            <v:stroke on="f" joinstyle="miter"/>
            <v:imagedata r:id="rId44" o:title=""/>
            <o:lock v:ext="edit" aspectratio="t"/>
            <w10:wrap type="none"/>
            <w10:anchorlock/>
          </v:shape>
          <o:OLEObject Type="Embed" ProgID="Equation.DSMT4" ShapeID="_x0000_i1040" DrawAspect="Content" ObjectID="_1468075740" r:id="rId43">
            <o:LockedField>false</o:LockedField>
          </o:OLEObject>
        </w:object>
      </w:r>
      <w:r>
        <w:rPr>
          <w:rFonts w:hint="eastAsia" w:ascii="黑体" w:hAnsi="黑体" w:eastAsia="黑体" w:cs="黑体"/>
          <w:highlight w:val="none"/>
        </w:rPr>
        <w:t xml:space="preserve">                                （10）</w:t>
      </w:r>
    </w:p>
    <w:p w14:paraId="04B76CEB">
      <w:pPr>
        <w:jc w:val="right"/>
        <w:rPr>
          <w:rFonts w:hint="eastAsia" w:ascii="黑体" w:hAnsi="黑体" w:eastAsia="黑体" w:cs="黑体"/>
          <w:sz w:val="24"/>
          <w:szCs w:val="24"/>
          <w:highlight w:val="none"/>
        </w:rPr>
      </w:pPr>
      <w:r>
        <w:rPr>
          <w:rFonts w:hint="eastAsia" w:ascii="黑体" w:hAnsi="黑体" w:eastAsia="黑体" w:cs="黑体"/>
          <w:position w:val="-92"/>
          <w:sz w:val="24"/>
          <w:szCs w:val="24"/>
          <w:highlight w:val="none"/>
        </w:rPr>
        <w:object>
          <v:shape id="_x0000_i1041" o:spt="75" type="#_x0000_t75" style="height:85.6pt;width:380.4pt;" o:ole="t" filled="f" o:preferrelative="t" stroked="f" coordsize="21600,21600">
            <v:path/>
            <v:fill on="f" focussize="0,0"/>
            <v:stroke on="f" joinstyle="miter"/>
            <v:imagedata r:id="rId46" o:title=""/>
            <o:lock v:ext="edit" aspectratio="t"/>
            <w10:wrap type="none"/>
            <w10:anchorlock/>
          </v:shape>
          <o:OLEObject Type="Embed" ProgID="Equation.DSMT4" ShapeID="_x0000_i1041" DrawAspect="Content" ObjectID="_1468075741" r:id="rId45">
            <o:LockedField>false</o:LockedField>
          </o:OLEObject>
        </w:object>
      </w:r>
      <w:r>
        <w:rPr>
          <w:rFonts w:hint="eastAsia" w:ascii="黑体" w:hAnsi="黑体" w:eastAsia="黑体" w:cs="黑体"/>
          <w:szCs w:val="21"/>
          <w:highlight w:val="none"/>
        </w:rPr>
        <w:t>（11）</w:t>
      </w:r>
    </w:p>
    <w:p w14:paraId="7D7D4589">
      <w:pPr>
        <w:spacing w:line="360" w:lineRule="auto"/>
        <w:ind w:firstLine="420" w:firstLineChars="200"/>
        <w:jc w:val="left"/>
        <w:rPr>
          <w:rFonts w:ascii="黑体" w:hAnsi="黑体" w:eastAsia="黑体" w:cs="黑体"/>
          <w:b/>
          <w:bCs/>
          <w:sz w:val="18"/>
          <w:szCs w:val="18"/>
          <w:highlight w:val="none"/>
        </w:rPr>
      </w:pPr>
      <w:r>
        <w:rPr>
          <w:rFonts w:hint="eastAsia" w:ascii="黑体" w:hAnsi="黑体" w:eastAsia="黑体" w:cs="黑体"/>
          <w:szCs w:val="21"/>
          <w:highlight w:val="none"/>
        </w:rPr>
        <w:t>该解析解的结果得到了杭州天子岭填埋场覆盖层现场测试结果的验证</w:t>
      </w:r>
      <w:r>
        <w:rPr>
          <w:rFonts w:hint="eastAsia" w:ascii="黑体" w:hAnsi="黑体" w:eastAsia="黑体" w:cs="黑体"/>
          <w:szCs w:val="21"/>
          <w:highlight w:val="none"/>
          <w:lang w:eastAsia="zh-CN"/>
        </w:rPr>
        <w:t>。</w:t>
      </w:r>
    </w:p>
    <w:p w14:paraId="4635C00A">
      <w:pPr>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当污染气体通过覆盖阻隔进入大气的浓度达到或大于现行标准规定的无组织排放限值时，即认为覆盖屏障被污染气体击穿。覆盖阻隔层上方大气中的污染气体浓度需满足现行国家标准《大气污染物综合排放标准》GB 16297-1996、《挥发性有机物无组织排放控制标准》GB 37822-2019、《恶臭污染物排放标准》GB 14554-1994的相关规定等。</w:t>
      </w:r>
    </w:p>
    <w:p w14:paraId="0BB24F3F">
      <w:pPr>
        <w:spacing w:line="360" w:lineRule="auto"/>
        <w:ind w:firstLine="420" w:firstLineChars="200"/>
        <w:rPr>
          <w:rFonts w:ascii="黑体" w:hAnsi="黑体" w:eastAsia="黑体" w:cs="黑体"/>
          <w:szCs w:val="21"/>
          <w:highlight w:val="none"/>
        </w:rPr>
      </w:pPr>
      <w:r>
        <w:rPr>
          <w:rFonts w:hint="eastAsia" w:ascii="黑体" w:hAnsi="黑体" w:eastAsia="黑体" w:cs="黑体"/>
          <w:szCs w:val="21"/>
          <w:highlight w:val="none"/>
        </w:rPr>
        <w:t>对于挥发性有机物，参照《挥发性有机物无组织排放控制标准》GB 37822-2019，污染场地无组织排放限值如表1规定：</w:t>
      </w:r>
    </w:p>
    <w:p w14:paraId="683F5F8C">
      <w:pPr>
        <w:spacing w:line="360" w:lineRule="auto"/>
        <w:jc w:val="center"/>
        <w:rPr>
          <w:rFonts w:ascii="黑体" w:hAnsi="黑体" w:eastAsia="黑体" w:cs="黑体"/>
          <w:b/>
          <w:bCs/>
          <w:sz w:val="18"/>
          <w:szCs w:val="18"/>
          <w:highlight w:val="none"/>
        </w:rPr>
      </w:pPr>
      <w:r>
        <w:rPr>
          <w:rFonts w:hint="eastAsia" w:ascii="黑体" w:hAnsi="黑体" w:eastAsia="黑体" w:cs="黑体"/>
          <w:b/>
          <w:bCs/>
          <w:sz w:val="18"/>
          <w:szCs w:val="18"/>
          <w:highlight w:val="none"/>
        </w:rPr>
        <w:t>表1 污染场地内VOCs无组织排放限值</w:t>
      </w:r>
    </w:p>
    <w:p w14:paraId="4F7A5B8A">
      <w:pPr>
        <w:spacing w:line="360" w:lineRule="auto"/>
        <w:jc w:val="right"/>
        <w:rPr>
          <w:rFonts w:ascii="黑体" w:hAnsi="黑体" w:eastAsia="黑体" w:cs="黑体"/>
          <w:sz w:val="18"/>
          <w:szCs w:val="18"/>
          <w:highlight w:val="none"/>
        </w:rPr>
      </w:pPr>
      <w:r>
        <w:rPr>
          <w:rFonts w:hint="eastAsia" w:ascii="黑体" w:hAnsi="黑体" w:eastAsia="黑体" w:cs="黑体"/>
          <w:sz w:val="18"/>
          <w:szCs w:val="18"/>
          <w:highlight w:val="none"/>
        </w:rPr>
        <w:t>单位：mg/m</w:t>
      </w:r>
      <w:r>
        <w:rPr>
          <w:rFonts w:hint="eastAsia" w:ascii="黑体" w:hAnsi="黑体" w:eastAsia="黑体" w:cs="黑体"/>
          <w:sz w:val="18"/>
          <w:szCs w:val="18"/>
          <w:highlight w:val="none"/>
          <w:vertAlign w:val="superscript"/>
        </w:rPr>
        <w:t>3</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1081"/>
        <w:gridCol w:w="1498"/>
        <w:gridCol w:w="2461"/>
        <w:gridCol w:w="2247"/>
      </w:tblGrid>
      <w:tr w14:paraId="66591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Align w:val="center"/>
          </w:tcPr>
          <w:p w14:paraId="72F32C41">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污染物项目</w:t>
            </w:r>
          </w:p>
        </w:tc>
        <w:tc>
          <w:tcPr>
            <w:tcW w:w="634" w:type="pct"/>
            <w:vAlign w:val="center"/>
          </w:tcPr>
          <w:p w14:paraId="734D35F3">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排放限值</w:t>
            </w:r>
          </w:p>
        </w:tc>
        <w:tc>
          <w:tcPr>
            <w:tcW w:w="879" w:type="pct"/>
            <w:vAlign w:val="center"/>
          </w:tcPr>
          <w:p w14:paraId="44EC36D1">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特别排放限值</w:t>
            </w:r>
          </w:p>
        </w:tc>
        <w:tc>
          <w:tcPr>
            <w:tcW w:w="1444" w:type="pct"/>
            <w:vAlign w:val="center"/>
          </w:tcPr>
          <w:p w14:paraId="0E851C4F">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限值含义</w:t>
            </w:r>
          </w:p>
        </w:tc>
        <w:tc>
          <w:tcPr>
            <w:tcW w:w="1318" w:type="pct"/>
            <w:vAlign w:val="center"/>
          </w:tcPr>
          <w:p w14:paraId="0374D989">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无组织排放监控位置</w:t>
            </w:r>
          </w:p>
        </w:tc>
      </w:tr>
      <w:tr w14:paraId="25E5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723" w:type="pct"/>
            <w:vMerge w:val="restart"/>
            <w:vAlign w:val="center"/>
          </w:tcPr>
          <w:p w14:paraId="7B66E218">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非甲烷总烃（NMHC）</w:t>
            </w:r>
          </w:p>
        </w:tc>
        <w:tc>
          <w:tcPr>
            <w:tcW w:w="634" w:type="pct"/>
            <w:vAlign w:val="center"/>
          </w:tcPr>
          <w:p w14:paraId="1729D73C">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10</w:t>
            </w:r>
          </w:p>
        </w:tc>
        <w:tc>
          <w:tcPr>
            <w:tcW w:w="879" w:type="pct"/>
            <w:vAlign w:val="center"/>
          </w:tcPr>
          <w:p w14:paraId="0C057DB8">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6</w:t>
            </w:r>
          </w:p>
        </w:tc>
        <w:tc>
          <w:tcPr>
            <w:tcW w:w="1444" w:type="pct"/>
            <w:vAlign w:val="center"/>
          </w:tcPr>
          <w:p w14:paraId="22C612FE">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监控点处1h平均浓度值</w:t>
            </w:r>
          </w:p>
        </w:tc>
        <w:tc>
          <w:tcPr>
            <w:tcW w:w="1318" w:type="pct"/>
            <w:vMerge w:val="restart"/>
            <w:vAlign w:val="center"/>
          </w:tcPr>
          <w:p w14:paraId="14A22E6A">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在距离污染场地覆盖阻隔表面1.5m以上位置进行监测</w:t>
            </w:r>
          </w:p>
        </w:tc>
      </w:tr>
      <w:tr w14:paraId="5613D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pct"/>
            <w:vMerge w:val="continue"/>
            <w:vAlign w:val="center"/>
          </w:tcPr>
          <w:p w14:paraId="23FF529D">
            <w:pPr>
              <w:spacing w:line="360" w:lineRule="auto"/>
              <w:jc w:val="center"/>
              <w:rPr>
                <w:rFonts w:hint="eastAsia" w:ascii="黑体" w:hAnsi="黑体" w:eastAsia="黑体" w:cs="黑体"/>
                <w:sz w:val="18"/>
                <w:szCs w:val="18"/>
                <w:highlight w:val="none"/>
              </w:rPr>
            </w:pPr>
          </w:p>
        </w:tc>
        <w:tc>
          <w:tcPr>
            <w:tcW w:w="634" w:type="pct"/>
            <w:vAlign w:val="center"/>
          </w:tcPr>
          <w:p w14:paraId="73ADE3FD">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30</w:t>
            </w:r>
          </w:p>
        </w:tc>
        <w:tc>
          <w:tcPr>
            <w:tcW w:w="879" w:type="pct"/>
            <w:vAlign w:val="center"/>
          </w:tcPr>
          <w:p w14:paraId="6C9F4DA0">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20</w:t>
            </w:r>
          </w:p>
        </w:tc>
        <w:tc>
          <w:tcPr>
            <w:tcW w:w="1444" w:type="pct"/>
            <w:vAlign w:val="center"/>
          </w:tcPr>
          <w:p w14:paraId="2FDFAB4B">
            <w:pPr>
              <w:spacing w:line="360" w:lineRule="auto"/>
              <w:jc w:val="center"/>
              <w:rPr>
                <w:rFonts w:ascii="黑体" w:hAnsi="黑体" w:eastAsia="黑体" w:cs="黑体"/>
                <w:sz w:val="18"/>
                <w:szCs w:val="18"/>
                <w:highlight w:val="none"/>
              </w:rPr>
            </w:pPr>
            <w:r>
              <w:rPr>
                <w:rFonts w:hint="eastAsia" w:ascii="黑体" w:hAnsi="黑体" w:eastAsia="黑体" w:cs="黑体"/>
                <w:sz w:val="18"/>
                <w:szCs w:val="18"/>
                <w:highlight w:val="none"/>
              </w:rPr>
              <w:t>监控点处任意一次浓度值</w:t>
            </w:r>
          </w:p>
        </w:tc>
        <w:tc>
          <w:tcPr>
            <w:tcW w:w="1318" w:type="pct"/>
            <w:vMerge w:val="continue"/>
            <w:vAlign w:val="center"/>
          </w:tcPr>
          <w:p w14:paraId="3E99BCAC">
            <w:pPr>
              <w:spacing w:line="360" w:lineRule="auto"/>
              <w:jc w:val="center"/>
              <w:rPr>
                <w:rFonts w:hint="eastAsia" w:ascii="黑体" w:hAnsi="黑体" w:eastAsia="黑体" w:cs="黑体"/>
                <w:sz w:val="18"/>
                <w:szCs w:val="18"/>
                <w:highlight w:val="none"/>
              </w:rPr>
            </w:pPr>
          </w:p>
        </w:tc>
      </w:tr>
    </w:tbl>
    <w:p w14:paraId="1CC224DB">
      <w:pPr>
        <w:snapToGrid w:val="0"/>
        <w:spacing w:before="156" w:beforeLines="50" w:after="156" w:afterLines="50" w:line="360" w:lineRule="auto"/>
        <w:jc w:val="center"/>
        <w:outlineLvl w:val="1"/>
        <w:rPr>
          <w:rFonts w:ascii="黑体" w:hAnsi="黑体" w:eastAsia="黑体" w:cs="黑体"/>
          <w:szCs w:val="21"/>
          <w:highlight w:val="none"/>
        </w:rPr>
      </w:pPr>
      <w:bookmarkStart w:id="156" w:name="_Toc11258"/>
      <w:bookmarkStart w:id="157" w:name="_Toc10023"/>
      <w:r>
        <w:rPr>
          <w:rFonts w:hint="eastAsia" w:ascii="黑体" w:hAnsi="黑体" w:eastAsia="黑体" w:cs="黑体"/>
          <w:szCs w:val="21"/>
          <w:highlight w:val="none"/>
        </w:rPr>
        <w:t>5.7  覆盖阻隔屏障材料性能测试方法</w:t>
      </w:r>
      <w:bookmarkEnd w:id="156"/>
      <w:bookmarkEnd w:id="157"/>
    </w:p>
    <w:p w14:paraId="26F61314">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5</w:t>
      </w:r>
      <w:r>
        <w:rPr>
          <w:rFonts w:ascii="黑体" w:hAnsi="黑体" w:eastAsia="黑体" w:cs="黑体"/>
          <w:szCs w:val="21"/>
          <w:highlight w:val="none"/>
        </w:rPr>
        <w:t>.</w:t>
      </w:r>
      <w:r>
        <w:rPr>
          <w:rFonts w:hint="eastAsia" w:ascii="黑体" w:hAnsi="黑体" w:eastAsia="黑体" w:cs="黑体"/>
          <w:szCs w:val="21"/>
          <w:highlight w:val="none"/>
        </w:rPr>
        <w:t>7</w:t>
      </w:r>
      <w:r>
        <w:rPr>
          <w:rFonts w:ascii="黑体" w:hAnsi="黑体" w:eastAsia="黑体" w:cs="黑体"/>
          <w:szCs w:val="21"/>
          <w:highlight w:val="none"/>
        </w:rPr>
        <w:t xml:space="preserve">.3  </w:t>
      </w:r>
      <w:r>
        <w:rPr>
          <w:rFonts w:hint="eastAsia" w:ascii="黑体" w:hAnsi="黑体" w:eastAsia="黑体" w:cs="黑体"/>
          <w:szCs w:val="21"/>
          <w:highlight w:val="none"/>
        </w:rPr>
        <w:t>现行国家标准《土工试验方法标准》GB/T 50123-2019中第9章指出，土的液限测定可采用液塑限联合测定法、碟式仪液限法。为尽可能避免污染物对实验人员的人体健康、仪器腐蚀等影响，本规范建议采用液塑限联合测定法。</w:t>
      </w:r>
    </w:p>
    <w:p w14:paraId="56222DAA">
      <w:pPr>
        <w:widowControl/>
        <w:jc w:val="left"/>
        <w:rPr>
          <w:rFonts w:hint="eastAsia" w:ascii="黑体" w:hAnsi="黑体" w:eastAsia="黑体" w:cs="黑体"/>
          <w:highlight w:val="none"/>
        </w:rPr>
      </w:pPr>
      <w:r>
        <w:rPr>
          <w:rFonts w:hint="eastAsia" w:ascii="黑体" w:hAnsi="黑体" w:eastAsia="黑体" w:cs="黑体"/>
          <w:highlight w:val="none"/>
        </w:rPr>
        <w:br w:type="page"/>
      </w:r>
    </w:p>
    <w:p w14:paraId="4EE8491E">
      <w:pPr>
        <w:snapToGrid w:val="0"/>
        <w:spacing w:line="360" w:lineRule="auto"/>
        <w:jc w:val="center"/>
        <w:outlineLvl w:val="0"/>
        <w:rPr>
          <w:rFonts w:hint="eastAsia" w:ascii="黑体" w:hAnsi="黑体" w:eastAsia="黑体" w:cs="黑体"/>
          <w:sz w:val="28"/>
          <w:szCs w:val="28"/>
          <w:highlight w:val="none"/>
        </w:rPr>
      </w:pPr>
      <w:bookmarkStart w:id="158" w:name="_Toc1289"/>
      <w:bookmarkStart w:id="159" w:name="_Toc14559"/>
      <w:r>
        <w:rPr>
          <w:rFonts w:hint="eastAsia" w:ascii="黑体" w:hAnsi="黑体" w:eastAsia="黑体" w:cs="黑体"/>
          <w:sz w:val="28"/>
          <w:szCs w:val="28"/>
          <w:highlight w:val="none"/>
        </w:rPr>
        <w:t>6 覆盖阻隔工程施工</w:t>
      </w:r>
      <w:bookmarkEnd w:id="158"/>
      <w:bookmarkEnd w:id="159"/>
    </w:p>
    <w:p w14:paraId="2976BC17">
      <w:pPr>
        <w:jc w:val="left"/>
        <w:rPr>
          <w:rFonts w:hint="eastAsia" w:ascii="黑体" w:hAnsi="黑体" w:eastAsia="黑体" w:cs="黑体"/>
          <w:highlight w:val="none"/>
          <w:lang w:val="en-US" w:eastAsia="zh-CN"/>
        </w:rPr>
      </w:pPr>
    </w:p>
    <w:p w14:paraId="5C4E9AE5">
      <w:pPr>
        <w:snapToGrid w:val="0"/>
        <w:spacing w:before="156" w:beforeLines="50" w:after="156" w:afterLines="50" w:line="360" w:lineRule="auto"/>
        <w:jc w:val="center"/>
        <w:outlineLvl w:val="1"/>
        <w:rPr>
          <w:rFonts w:ascii="黑体" w:hAnsi="黑体" w:eastAsia="黑体" w:cs="黑体"/>
          <w:szCs w:val="21"/>
          <w:highlight w:val="none"/>
        </w:rPr>
      </w:pPr>
      <w:bookmarkStart w:id="160" w:name="_Toc32358"/>
      <w:bookmarkStart w:id="161" w:name="_Toc22624"/>
      <w:r>
        <w:rPr>
          <w:rFonts w:hint="eastAsia" w:ascii="黑体" w:hAnsi="黑体" w:eastAsia="黑体" w:cs="黑体"/>
          <w:szCs w:val="21"/>
          <w:highlight w:val="none"/>
        </w:rPr>
        <w:t>6.1  一 般 规 定</w:t>
      </w:r>
      <w:bookmarkEnd w:id="160"/>
      <w:bookmarkEnd w:id="161"/>
    </w:p>
    <w:p w14:paraId="5F63BF45">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 xml:space="preserve">.1.1  </w:t>
      </w:r>
      <w:r>
        <w:rPr>
          <w:rFonts w:hint="eastAsia" w:ascii="黑体" w:hAnsi="黑体" w:eastAsia="黑体" w:cs="黑体"/>
          <w:szCs w:val="21"/>
          <w:highlight w:val="none"/>
        </w:rPr>
        <w:t>规定了覆盖阻隔工程施工前准备工作的要求；综合参考了现行国家标准《建筑地基基础工程施工规范》GB51004-2015中3.0.2、现行行业标准《污染地块地下水修复和风险管控技术导则》HJ25.6-2019中8.2的规定。第1款和第2款所要求的相关资料分别是本规范第4章和第5章的成果。施工原材料的施工质量检验资料可包括供货商自检资料、施工单位验收与抽检资料，并整理质量证明文件等工作资料。此外，应结合场地周边的潜在风险源制定项目环境管理目标。应因地制宜、根据场地特点建立起环境管理的组织机构，进行环境保护方面的资源配置；明确有关应急方案；制定环境保护的控制措施；建立现场的环境检查制度，以确保施工作业过程中现场环境管理符合国家、地方法律法规的要求。环境安全措施应包括：(1)施工渣土、废液等的临时储存与清理；(2)施工扬尘控制；(3)施工噪音控制措施。施工前应进行原材料验收及抽检。</w:t>
      </w:r>
    </w:p>
    <w:p w14:paraId="47ED77F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w:t>
      </w:r>
      <w:r>
        <w:rPr>
          <w:rFonts w:ascii="黑体" w:hAnsi="黑体" w:eastAsia="黑体" w:cs="黑体"/>
          <w:szCs w:val="21"/>
          <w:highlight w:val="none"/>
        </w:rPr>
        <w:t xml:space="preserve">.1.2  </w:t>
      </w:r>
      <w:r>
        <w:rPr>
          <w:rFonts w:hint="eastAsia" w:ascii="黑体" w:hAnsi="黑体" w:eastAsia="黑体" w:cs="黑体"/>
          <w:szCs w:val="21"/>
          <w:highlight w:val="none"/>
        </w:rPr>
        <w:t>覆盖阻隔屏障的施工方案应根据场地地质条件、设计要求、屏障材料种类、施工作业条件等因素综合确定。施工作业条件资料应符合本规范6.1.3的规定。测量作业资料具体可包括施工测量方案的编制、测量数据的准备、施工图纸的校核、平面控制点及水准控制点的确定、测量仪器的矫正与维护、施工场地测量等内容。测量工作开始前，建设单位应提供施工厂区的既有测绘成果和工程勘察报告。施工准备阶段，应根据工程规模、施工难度等因素，组织测量人员进驻现场。施工组织设计应符合现行国家标准《建筑施工组织设计规范》GB/T 50502-2009的相关规定，根据工业污染场地特点，指导施工的技术、经济和管理，重点设计施工方法及工艺要求等施工方案；具体应包括材料配置、人员配置、设备配置、施工过程质量保障措施、进度安排与保障措施、安全施工保障措施、工程应急预案、环境保护措施等。</w:t>
      </w:r>
    </w:p>
    <w:p w14:paraId="2BC33D08">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6.1.3  第1款、第2款主要针对在产企业的工业污染场地阻隔工程；这类场地施工条件复杂、施工作业面相对狭小。资料获取与整理中，可对照设计图纸进行放线,核实设计线路及两侧有无妨碍施工和影响安全的障碍物。如遇有上水管、下水管、电缆线、煤气管、人防工程、旧建筑基础和其他地下埋设物等障碍物影响施工时，则应与有关单位协商，尽可能地清除或搬移障碍物。</w:t>
      </w:r>
    </w:p>
    <w:p w14:paraId="67337D0D">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6.1.4  有别于常规施工场地，工业污染场地地基土物理力学性质复杂，极易受污染物作用导致地基承载力下降；另一方面，在产的工业污染场地由于既有建筑规划和管线、管廊布置，施工空间往往得不到保证。因此，工程需要时，应提出合理的地基处理设计与施工方案。主要工程措施是对线路两侧的施工作业面进行平整、稳固。</w:t>
      </w:r>
    </w:p>
    <w:p w14:paraId="0A3039C4">
      <w:pPr>
        <w:widowControl/>
        <w:spacing w:line="360" w:lineRule="auto"/>
        <w:jc w:val="left"/>
        <w:rPr>
          <w:rFonts w:ascii="黑体" w:hAnsi="黑体" w:eastAsia="黑体" w:cs="黑体"/>
          <w:szCs w:val="21"/>
          <w:highlight w:val="none"/>
        </w:rPr>
      </w:pPr>
      <w:r>
        <w:rPr>
          <w:rFonts w:hint="eastAsia" w:ascii="黑体" w:hAnsi="黑体" w:eastAsia="黑体" w:cs="黑体"/>
          <w:szCs w:val="21"/>
          <w:highlight w:val="none"/>
        </w:rPr>
        <w:t>6.1.7  屏障交接面的连续、完整是影响覆盖阻隔屏障阻隔效果的重要因素。对于采用多种覆盖阻隔屏障材料时，尤其需要重视；例如，采用压实黏土、土工膜或压实黏土、膨润土防水毯、土工膜复合覆盖阻隔屏障等。</w:t>
      </w:r>
    </w:p>
    <w:p w14:paraId="4F27A99E">
      <w:pPr>
        <w:snapToGrid w:val="0"/>
        <w:spacing w:line="360" w:lineRule="auto"/>
        <w:rPr>
          <w:rFonts w:ascii="黑体" w:hAnsi="黑体" w:eastAsia="黑体" w:cs="黑体"/>
          <w:szCs w:val="21"/>
          <w:highlight w:val="none"/>
        </w:rPr>
      </w:pPr>
      <w:r>
        <w:rPr>
          <w:rFonts w:hint="eastAsia" w:ascii="黑体" w:hAnsi="黑体" w:eastAsia="黑体" w:cs="黑体"/>
          <w:szCs w:val="21"/>
          <w:highlight w:val="none"/>
        </w:rPr>
        <w:t>6.1.9  工业污染场地覆盖阻隔工程中可能存在的特殊施工情况主要涉及施工引起污染扩散等。施工过程中出现有机物异味等污染扩散情况时，应立即停止施工，确保施工人员离场，并查明原因及时采取临时性覆盖等应急措施。</w:t>
      </w:r>
    </w:p>
    <w:p w14:paraId="1E2BA54A">
      <w:pPr>
        <w:snapToGrid w:val="0"/>
        <w:spacing w:line="360" w:lineRule="auto"/>
        <w:rPr>
          <w:rFonts w:ascii="黑体" w:hAnsi="黑体" w:eastAsia="黑体" w:cs="黑体"/>
          <w:szCs w:val="21"/>
          <w:highlight w:val="none"/>
        </w:rPr>
      </w:pPr>
    </w:p>
    <w:p w14:paraId="7C8BBAB5">
      <w:pPr>
        <w:widowControl/>
        <w:jc w:val="left"/>
        <w:rPr>
          <w:rFonts w:hint="eastAsia" w:ascii="黑体" w:hAnsi="黑体" w:eastAsia="黑体" w:cs="黑体"/>
          <w:highlight w:val="none"/>
        </w:rPr>
      </w:pPr>
      <w:r>
        <w:rPr>
          <w:rFonts w:hint="eastAsia" w:ascii="黑体" w:hAnsi="黑体" w:eastAsia="黑体" w:cs="黑体"/>
          <w:highlight w:val="none"/>
        </w:rPr>
        <w:br w:type="page"/>
      </w:r>
    </w:p>
    <w:p w14:paraId="4F29AE48">
      <w:pPr>
        <w:snapToGrid w:val="0"/>
        <w:spacing w:line="360" w:lineRule="auto"/>
        <w:jc w:val="center"/>
        <w:outlineLvl w:val="0"/>
        <w:rPr>
          <w:rFonts w:hint="eastAsia" w:ascii="黑体" w:hAnsi="黑体" w:eastAsia="黑体" w:cs="黑体"/>
          <w:sz w:val="28"/>
          <w:szCs w:val="28"/>
          <w:highlight w:val="none"/>
        </w:rPr>
      </w:pPr>
      <w:bookmarkStart w:id="162" w:name="_Toc18787"/>
      <w:bookmarkStart w:id="163" w:name="_Toc27219"/>
      <w:r>
        <w:rPr>
          <w:rFonts w:hint="eastAsia" w:ascii="黑体" w:hAnsi="黑体" w:eastAsia="黑体" w:cs="黑体"/>
          <w:sz w:val="28"/>
          <w:szCs w:val="28"/>
          <w:highlight w:val="none"/>
        </w:rPr>
        <w:t>7 工程效果评估及工后监测</w:t>
      </w:r>
      <w:bookmarkEnd w:id="162"/>
      <w:bookmarkEnd w:id="163"/>
    </w:p>
    <w:p w14:paraId="74281D51">
      <w:pPr>
        <w:jc w:val="left"/>
        <w:rPr>
          <w:rFonts w:hint="eastAsia" w:ascii="黑体" w:hAnsi="黑体" w:eastAsia="黑体" w:cs="黑体"/>
          <w:highlight w:val="none"/>
          <w:lang w:val="en-US" w:eastAsia="zh-CN"/>
        </w:rPr>
      </w:pPr>
    </w:p>
    <w:p w14:paraId="215D8568">
      <w:pPr>
        <w:snapToGrid w:val="0"/>
        <w:spacing w:before="156" w:beforeLines="50" w:after="156" w:afterLines="50" w:line="360" w:lineRule="auto"/>
        <w:jc w:val="center"/>
        <w:outlineLvl w:val="1"/>
        <w:rPr>
          <w:rFonts w:ascii="黑体" w:hAnsi="黑体" w:eastAsia="黑体" w:cs="黑体"/>
          <w:szCs w:val="21"/>
          <w:highlight w:val="none"/>
        </w:rPr>
      </w:pPr>
      <w:bookmarkStart w:id="164" w:name="_Toc13600"/>
      <w:bookmarkStart w:id="165" w:name="_Toc22474"/>
      <w:r>
        <w:rPr>
          <w:rFonts w:hint="eastAsia" w:ascii="黑体" w:hAnsi="黑体" w:eastAsia="黑体" w:cs="黑体"/>
          <w:szCs w:val="21"/>
          <w:highlight w:val="none"/>
        </w:rPr>
        <w:t>7.1  一 般 规 定</w:t>
      </w:r>
      <w:bookmarkEnd w:id="164"/>
      <w:bookmarkEnd w:id="165"/>
    </w:p>
    <w:p w14:paraId="69D8B8DF">
      <w:pPr>
        <w:widowControl/>
        <w:spacing w:line="360" w:lineRule="auto"/>
        <w:jc w:val="left"/>
        <w:rPr>
          <w:rFonts w:ascii="黑体" w:hAnsi="黑体" w:eastAsia="黑体" w:cs="黑体"/>
          <w:szCs w:val="21"/>
          <w:highlight w:val="none"/>
        </w:rPr>
      </w:pPr>
      <w:r>
        <w:rPr>
          <w:rFonts w:hint="eastAsia" w:ascii="黑体" w:hAnsi="黑体" w:eastAsia="黑体" w:cs="黑体"/>
          <w:szCs w:val="21"/>
          <w:highlight w:val="none"/>
        </w:rPr>
        <w:t>7.1.1 对工程效果评估内容及开展时间进行了原则性规定。现行行业标准《污染地块风险管控与土壤修复效果评估技术导则》HJ 25.5-2018中4.3.3规定:对于风险管控效果，若工程性能指标和污染物指标均达到评估标准，则判断风险管控达到预期效果，可继续开展运行与维护；若工程性能指标或污染物指标未达到评估标准，则判断风险管控未达到预期效果，须对风险管控措施进行优化或调整。6.3.1.5规定，风险管控效果评估指标包括工程性能指标和污染物指标。工程性能指标包括抗压强度、渗透性能、阻隔性能、工程设施连续性与完整性；污染物指标包括关注污染物浓度、浸出浓度、土壤气体、室内空气等。</w:t>
      </w:r>
    </w:p>
    <w:p w14:paraId="493489C1">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7.1.2  对工程效果评估工作的时间进行了规定。现行行业标准《污染地块风险管控与土壤修复效果评估技术导则(试行)》HJ 25.5-2018中6.2对土壤风险管控效果评估方法进行了规定，并指出：风险管控效果评估的目的是评估工程措施是否有效，一般在工程设施完工1年内开展。通常情况下，与施工质量评估相关的验收工作可在施工后开展；而依据HJ 25.5-2018，工程效果评估则一般在工程设施完工后经4个季度完成(见本规范7.2.13)。</w:t>
      </w:r>
    </w:p>
    <w:p w14:paraId="4D76ACF7">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7.1.4  现行行业标准《污染地块风险管控与土壤修复效果评估技术导则(试行)》HJ 25.5-2018中8.1的规定：实施风险管控的地块，应提出后期环境监管建议。后期环境监管的方式一般包括长期环境监测与制度控制，两种方式可结合使用。为此，本条对工后监测的工作内容进行原则性规定。覆盖阻隔工程的制度控制是指利用管理手段对工业有机污染场地的潜在风险进行控制；工程管理是指针对覆盖阻隔屏障必要的定期工程维护。</w:t>
      </w:r>
    </w:p>
    <w:p w14:paraId="12026A39">
      <w:pPr>
        <w:snapToGrid w:val="0"/>
        <w:spacing w:before="156" w:beforeLines="50" w:after="156" w:afterLines="50" w:line="360" w:lineRule="auto"/>
        <w:jc w:val="center"/>
        <w:outlineLvl w:val="1"/>
        <w:rPr>
          <w:rFonts w:ascii="黑体" w:hAnsi="黑体" w:eastAsia="黑体" w:cs="黑体"/>
          <w:szCs w:val="21"/>
          <w:highlight w:val="none"/>
        </w:rPr>
      </w:pPr>
      <w:bookmarkStart w:id="166" w:name="_Toc1892"/>
      <w:r>
        <w:rPr>
          <w:rFonts w:hint="eastAsia" w:ascii="黑体" w:hAnsi="黑体" w:eastAsia="黑体" w:cs="黑体"/>
          <w:szCs w:val="21"/>
          <w:highlight w:val="none"/>
        </w:rPr>
        <w:t>7.2  工程效果评估</w:t>
      </w:r>
      <w:bookmarkEnd w:id="166"/>
    </w:p>
    <w:p w14:paraId="4525C3EC">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7.2.1  规定了工程效果评估标准。本条第1款对工程效果评估的基础资料进行了原则性规定。第2款至第4款属于施工质量验收，包括原材料验收、施工工序质量控制，依据了现行国家标准《建筑工程施工质量验收统一标准》GB 50300-2013的相关规定。第5款规定了风险管控效果评估中污染物指标要求，参考了现行行业标准《污染地块风险管控与土壤修复效果评估技术导则(试行)》HJ 25.5-2018中7.2.1和现行地方标准《污染场地挥发性有机物调查与风险评估技术导则》DB11/T 1278-2015中附录B的规定。</w:t>
      </w:r>
    </w:p>
    <w:p w14:paraId="10854572">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7.2.2  对工程全流程资料进行了规定，参考了现行国家标准《建筑工程施工质量验收统-标准》GB 50300-2013、《建筑地基基础工程施工质量验收标准》GB 50202-2018的相关规定。与设计及施工相关的其他资料可包括工程环境影响评价及其批复、施工方案变更协议、运输与接收的协议和记录、施工管理文件等。相关资料可在施工质量验收时整理完成。</w:t>
      </w:r>
    </w:p>
    <w:p w14:paraId="7D06D859">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7.2.12  抽检防渗阻气层上方土壤气体的目标污染物浓度是确认覆盖阻隔屏障是否实现风险管控目标的依据。</w:t>
      </w:r>
      <w:bookmarkStart w:id="167" w:name="OLE_LINK1"/>
      <w:r>
        <w:rPr>
          <w:rFonts w:hint="eastAsia" w:ascii="黑体" w:hAnsi="黑体" w:eastAsia="黑体" w:cs="黑体"/>
          <w:szCs w:val="21"/>
          <w:highlight w:val="none"/>
        </w:rPr>
        <w:t>参考了</w:t>
      </w:r>
      <w:bookmarkEnd w:id="167"/>
      <w:r>
        <w:rPr>
          <w:rFonts w:hint="eastAsia" w:ascii="黑体" w:hAnsi="黑体" w:eastAsia="黑体" w:cs="黑体"/>
          <w:szCs w:val="21"/>
          <w:highlight w:val="none"/>
        </w:rPr>
        <w:t>现行行业标准《污染地块风险管控与土壤修复效果评估技术导则(试行)》HJ 25.5-2018中7.1.2的规定。</w:t>
      </w:r>
    </w:p>
    <w:p w14:paraId="1AB71C9E">
      <w:pPr>
        <w:widowControl/>
        <w:spacing w:line="360" w:lineRule="auto"/>
        <w:rPr>
          <w:rFonts w:hint="eastAsia" w:ascii="黑体" w:hAnsi="黑体" w:eastAsia="黑体" w:cs="黑体"/>
          <w:szCs w:val="21"/>
          <w:highlight w:val="none"/>
        </w:rPr>
      </w:pPr>
      <w:r>
        <w:rPr>
          <w:rFonts w:hint="eastAsia" w:ascii="黑体" w:hAnsi="黑体" w:eastAsia="黑体" w:cs="黑体"/>
          <w:szCs w:val="21"/>
          <w:highlight w:val="none"/>
        </w:rPr>
        <w:t>7.2.13  对抽检防渗阻气层上方土壤气体的工作量进行了规定，参考了现行行业标准《污染地块风险管控与土壤修复效果评估技术导则(试行)》HJ 25.5-2018中6.2.1的规定。</w:t>
      </w:r>
    </w:p>
    <w:p w14:paraId="5717955E">
      <w:pPr>
        <w:widowControl/>
        <w:spacing w:line="360" w:lineRule="auto"/>
        <w:rPr>
          <w:rFonts w:hint="default" w:ascii="黑体" w:hAnsi="黑体" w:eastAsia="黑体" w:cs="黑体"/>
          <w:szCs w:val="21"/>
          <w:highlight w:val="none"/>
          <w:lang w:val="en-US" w:eastAsia="zh-CN"/>
        </w:rPr>
      </w:pPr>
      <w:r>
        <w:rPr>
          <w:rFonts w:hint="eastAsia" w:ascii="黑体" w:hAnsi="黑体" w:eastAsia="黑体" w:cs="黑体"/>
          <w:szCs w:val="21"/>
          <w:highlight w:val="none"/>
        </w:rPr>
        <w:t>7.2.1</w:t>
      </w:r>
      <w:r>
        <w:rPr>
          <w:rFonts w:hint="eastAsia" w:ascii="黑体" w:hAnsi="黑体" w:eastAsia="黑体" w:cs="黑体"/>
          <w:szCs w:val="21"/>
          <w:highlight w:val="none"/>
          <w:lang w:val="en-US" w:eastAsia="zh-CN"/>
        </w:rPr>
        <w:t>5</w:t>
      </w:r>
      <w:r>
        <w:rPr>
          <w:rFonts w:hint="eastAsia" w:ascii="黑体" w:hAnsi="黑体" w:eastAsia="黑体" w:cs="黑体"/>
          <w:szCs w:val="21"/>
          <w:highlight w:val="none"/>
        </w:rPr>
        <w:t xml:space="preserve">  </w:t>
      </w:r>
      <w:bookmarkStart w:id="168" w:name="OLE_LINK59"/>
      <w:r>
        <w:rPr>
          <w:rFonts w:hint="eastAsia" w:ascii="黑体" w:hAnsi="黑体" w:eastAsia="黑体" w:cs="黑体"/>
          <w:szCs w:val="21"/>
          <w:highlight w:val="none"/>
        </w:rPr>
        <w:t>静态箱测试</w:t>
      </w:r>
      <w:bookmarkEnd w:id="168"/>
      <w:r>
        <w:rPr>
          <w:rFonts w:hint="eastAsia" w:ascii="黑体" w:hAnsi="黑体" w:eastAsia="黑体" w:cs="黑体"/>
          <w:szCs w:val="21"/>
          <w:highlight w:val="none"/>
        </w:rPr>
        <w:t>原理：静态箱测试方法通过将静态箱放置于覆盖阻隔</w:t>
      </w:r>
      <w:r>
        <w:rPr>
          <w:rFonts w:hint="eastAsia" w:ascii="黑体" w:hAnsi="黑体" w:eastAsia="黑体" w:cs="黑体"/>
          <w:szCs w:val="21"/>
          <w:highlight w:val="none"/>
          <w:lang w:val="en-US" w:eastAsia="zh-CN"/>
        </w:rPr>
        <w:t>屏障</w:t>
      </w:r>
      <w:r>
        <w:rPr>
          <w:rFonts w:hint="eastAsia" w:ascii="黑体" w:hAnsi="黑体" w:eastAsia="黑体" w:cs="黑体"/>
          <w:szCs w:val="21"/>
          <w:highlight w:val="none"/>
        </w:rPr>
        <w:t>表面，获得箱内气体浓度</w:t>
      </w:r>
      <w:r>
        <w:rPr>
          <w:rFonts w:hint="eastAsia" w:ascii="黑体" w:hAnsi="黑体" w:eastAsia="黑体" w:cs="黑体"/>
          <w:szCs w:val="21"/>
          <w:highlight w:val="none"/>
          <w:lang w:val="en-US" w:eastAsia="zh-CN"/>
        </w:rPr>
        <w:t>随</w:t>
      </w:r>
      <w:r>
        <w:rPr>
          <w:rFonts w:hint="eastAsia" w:ascii="黑体" w:hAnsi="黑体" w:eastAsia="黑体" w:cs="黑体"/>
          <w:szCs w:val="21"/>
          <w:highlight w:val="none"/>
        </w:rPr>
        <w:t>时间</w:t>
      </w:r>
      <w:r>
        <w:rPr>
          <w:rFonts w:hint="eastAsia" w:ascii="黑体" w:hAnsi="黑体" w:eastAsia="黑体" w:cs="黑体"/>
          <w:szCs w:val="21"/>
          <w:highlight w:val="none"/>
          <w:lang w:val="en-US" w:eastAsia="zh-CN"/>
        </w:rPr>
        <w:t>的</w:t>
      </w:r>
      <w:r>
        <w:rPr>
          <w:rFonts w:hint="eastAsia" w:ascii="黑体" w:hAnsi="黑体" w:eastAsia="黑体" w:cs="黑体"/>
          <w:szCs w:val="21"/>
          <w:highlight w:val="none"/>
        </w:rPr>
        <w:t>数据，进一步拟合得到△t时刻</w:t>
      </w:r>
      <w:r>
        <w:rPr>
          <w:rFonts w:hint="eastAsia" w:ascii="黑体" w:hAnsi="黑体" w:eastAsia="黑体" w:cs="黑体"/>
          <w:szCs w:val="21"/>
          <w:highlight w:val="none"/>
          <w:lang w:val="en-US" w:eastAsia="zh-CN"/>
        </w:rPr>
        <w:t>内</w:t>
      </w:r>
      <w:r>
        <w:rPr>
          <w:rFonts w:hint="eastAsia" w:ascii="黑体" w:hAnsi="黑体" w:eastAsia="黑体" w:cs="黑体"/>
          <w:szCs w:val="21"/>
          <w:highlight w:val="none"/>
        </w:rPr>
        <w:t>气体释放通量</w:t>
      </w:r>
      <w:r>
        <w:rPr>
          <w:rFonts w:hint="eastAsia" w:ascii="黑体" w:hAnsi="黑体" w:eastAsia="黑体" w:cs="黑体"/>
          <w:szCs w:val="21"/>
          <w:highlight w:val="none"/>
          <w:lang w:eastAsia="zh-CN"/>
        </w:rPr>
        <w:t>，</w:t>
      </w:r>
      <w:r>
        <w:rPr>
          <w:rFonts w:hint="eastAsia" w:ascii="黑体" w:hAnsi="黑体" w:eastAsia="黑体" w:cs="黑体"/>
          <w:szCs w:val="21"/>
          <w:highlight w:val="none"/>
          <w:lang w:val="en-US" w:eastAsia="zh-CN"/>
        </w:rPr>
        <w:t>如下所示：</w:t>
      </w:r>
    </w:p>
    <w:p w14:paraId="20E22700">
      <w:pPr>
        <w:widowControl/>
        <w:spacing w:line="360" w:lineRule="auto"/>
        <w:jc w:val="right"/>
        <w:rPr>
          <w:rFonts w:hint="eastAsia" w:ascii="黑体" w:hAnsi="黑体" w:eastAsia="黑体" w:cs="黑体"/>
          <w:szCs w:val="21"/>
          <w:highlight w:val="none"/>
        </w:rPr>
      </w:pPr>
      <w:r>
        <w:rPr>
          <w:rFonts w:hint="eastAsia" w:ascii="黑体" w:hAnsi="黑体" w:eastAsia="黑体" w:cs="黑体"/>
          <w:szCs w:val="21"/>
          <w:highlight w:val="none"/>
        </w:rPr>
        <w:object>
          <v:shape id="_x0000_i1042" o:spt="75" type="#_x0000_t75" style="height:20.05pt;width:100.35pt;" o:ole="t" filled="f" o:preferrelative="t" stroked="f" coordsize="21600,21600">
            <v:path/>
            <v:fill on="f" focussize="0,0"/>
            <v:stroke on="f" joinstyle="miter"/>
            <v:imagedata r:id="rId48" o:title=""/>
            <o:lock v:ext="edit" aspectratio="t"/>
            <w10:wrap type="none"/>
            <w10:anchorlock/>
          </v:shape>
          <o:OLEObject Type="Embed" ProgID="Equation.DSMT4" ShapeID="_x0000_i1042" DrawAspect="Content" ObjectID="_1468075742" r:id="rId47">
            <o:LockedField>false</o:LockedField>
          </o:OLEObject>
        </w:object>
      </w:r>
      <w:r>
        <w:rPr>
          <w:rFonts w:hint="eastAsia" w:ascii="黑体" w:hAnsi="黑体" w:eastAsia="黑体" w:cs="黑体"/>
          <w:szCs w:val="21"/>
          <w:highlight w:val="none"/>
          <w:lang w:val="en-US" w:eastAsia="zh-CN"/>
        </w:rPr>
        <w:t xml:space="preserve">                         </w:t>
      </w:r>
      <w:r>
        <w:rPr>
          <w:rFonts w:hint="eastAsia" w:ascii="黑体" w:hAnsi="黑体" w:eastAsia="黑体" w:cs="黑体"/>
          <w:szCs w:val="21"/>
          <w:highlight w:val="none"/>
        </w:rPr>
        <w:t>（1</w:t>
      </w:r>
      <w:r>
        <w:rPr>
          <w:rFonts w:hint="eastAsia" w:ascii="黑体" w:hAnsi="黑体" w:eastAsia="黑体" w:cs="黑体"/>
          <w:szCs w:val="21"/>
          <w:highlight w:val="none"/>
          <w:lang w:val="en-US" w:eastAsia="zh-CN"/>
        </w:rPr>
        <w:t>2</w:t>
      </w:r>
      <w:r>
        <w:rPr>
          <w:rFonts w:hint="eastAsia" w:ascii="黑体" w:hAnsi="黑体" w:eastAsia="黑体" w:cs="黑体"/>
          <w:szCs w:val="21"/>
          <w:highlight w:val="none"/>
        </w:rPr>
        <w:t>）</w:t>
      </w:r>
    </w:p>
    <w:p w14:paraId="59CA5948">
      <w:pPr>
        <w:widowControl/>
        <w:spacing w:line="360" w:lineRule="auto"/>
        <w:jc w:val="right"/>
        <w:rPr>
          <w:rFonts w:hint="eastAsia" w:ascii="黑体" w:hAnsi="黑体" w:eastAsia="黑体" w:cs="黑体"/>
          <w:szCs w:val="21"/>
          <w:highlight w:val="none"/>
        </w:rPr>
      </w:pPr>
      <w:r>
        <w:rPr>
          <w:rFonts w:hint="eastAsia" w:ascii="黑体" w:hAnsi="黑体" w:eastAsia="黑体" w:cs="黑体"/>
          <w:szCs w:val="21"/>
          <w:highlight w:val="none"/>
        </w:rPr>
        <w:object>
          <v:shape id="_x0000_i1043" o:spt="75" type="#_x0000_t75" style="height:30.25pt;width:48.45pt;" o:ole="t" filled="f" o:preferrelative="t" stroked="f" coordsize="21600,21600">
            <v:path/>
            <v:fill on="f" focussize="0,0"/>
            <v:stroke on="f" joinstyle="miter"/>
            <v:imagedata r:id="rId50" o:title=""/>
            <o:lock v:ext="edit" aspectratio="t"/>
            <w10:wrap type="none"/>
            <w10:anchorlock/>
          </v:shape>
          <o:OLEObject Type="Embed" ProgID="Equation.DSMT4" ShapeID="_x0000_i1043" DrawAspect="Content" ObjectID="_1468075743" r:id="rId49">
            <o:LockedField>false</o:LockedField>
          </o:OLEObject>
        </w:object>
      </w:r>
      <w:r>
        <w:rPr>
          <w:rFonts w:hint="eastAsia" w:ascii="黑体" w:hAnsi="黑体" w:eastAsia="黑体" w:cs="黑体"/>
          <w:szCs w:val="21"/>
          <w:highlight w:val="none"/>
          <w:lang w:val="en-US" w:eastAsia="zh-CN"/>
        </w:rPr>
        <w:t xml:space="preserve">                               </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13</w:t>
      </w:r>
      <w:r>
        <w:rPr>
          <w:rFonts w:hint="eastAsia" w:ascii="黑体" w:hAnsi="黑体" w:eastAsia="黑体" w:cs="黑体"/>
          <w:szCs w:val="21"/>
          <w:highlight w:val="none"/>
        </w:rPr>
        <w:t>）</w:t>
      </w:r>
    </w:p>
    <w:p w14:paraId="038E219B">
      <w:pPr>
        <w:widowControl/>
        <w:spacing w:line="360" w:lineRule="auto"/>
        <w:rPr>
          <w:rFonts w:hint="eastAsia" w:ascii="黑体" w:hAnsi="黑体" w:eastAsia="黑体" w:cs="黑体"/>
          <w:szCs w:val="21"/>
          <w:highlight w:val="none"/>
        </w:rPr>
      </w:pPr>
      <w:r>
        <w:rPr>
          <w:rFonts w:hint="eastAsia" w:ascii="黑体" w:hAnsi="黑体" w:eastAsia="黑体" w:cs="黑体"/>
          <w:szCs w:val="21"/>
          <w:highlight w:val="none"/>
        </w:rPr>
        <w:t>其中：</w:t>
      </w:r>
      <w:r>
        <w:rPr>
          <w:rFonts w:hint="eastAsia" w:ascii="黑体" w:hAnsi="黑体" w:eastAsia="黑体" w:cs="黑体"/>
          <w:i/>
          <w:iCs/>
          <w:szCs w:val="21"/>
          <w:highlight w:val="none"/>
        </w:rPr>
        <w:t>V</w:t>
      </w:r>
      <w:r>
        <w:rPr>
          <w:rFonts w:hint="eastAsia" w:ascii="黑体" w:hAnsi="黑体" w:eastAsia="黑体" w:cs="黑体"/>
          <w:szCs w:val="21"/>
          <w:highlight w:val="none"/>
        </w:rPr>
        <w:t>为箱体体积（m³）；</w:t>
      </w:r>
      <w:r>
        <w:rPr>
          <w:rFonts w:hint="eastAsia" w:ascii="黑体" w:hAnsi="黑体" w:eastAsia="黑体" w:cs="黑体"/>
          <w:i/>
          <w:iCs/>
          <w:szCs w:val="21"/>
          <w:highlight w:val="none"/>
        </w:rPr>
        <w:t>t</w:t>
      </w:r>
      <w:r>
        <w:rPr>
          <w:rFonts w:hint="eastAsia" w:ascii="黑体" w:hAnsi="黑体" w:eastAsia="黑体" w:cs="黑体"/>
          <w:szCs w:val="21"/>
          <w:highlight w:val="none"/>
        </w:rPr>
        <w:t>是时间(min)；</w:t>
      </w:r>
      <w:bookmarkStart w:id="169" w:name="OLE_LINK58"/>
      <w:r>
        <w:rPr>
          <w:rFonts w:hint="eastAsia" w:ascii="黑体" w:hAnsi="黑体" w:eastAsia="黑体" w:cs="黑体"/>
          <w:i/>
          <w:iCs/>
          <w:szCs w:val="21"/>
          <w:highlight w:val="none"/>
        </w:rPr>
        <w:t>C</w:t>
      </w:r>
      <w:r>
        <w:rPr>
          <w:rFonts w:hint="eastAsia" w:ascii="黑体" w:hAnsi="黑体" w:eastAsia="黑体" w:cs="黑体"/>
          <w:i w:val="0"/>
          <w:iCs w:val="0"/>
          <w:szCs w:val="21"/>
          <w:highlight w:val="none"/>
          <w:vertAlign w:val="subscript"/>
        </w:rPr>
        <w:t>t</w:t>
      </w:r>
      <w:bookmarkEnd w:id="169"/>
      <w:r>
        <w:rPr>
          <w:rFonts w:hint="eastAsia" w:ascii="黑体" w:hAnsi="黑体" w:eastAsia="黑体" w:cs="黑体"/>
          <w:szCs w:val="21"/>
          <w:highlight w:val="none"/>
        </w:rPr>
        <w:t>是</w:t>
      </w:r>
      <w:r>
        <w:rPr>
          <w:rFonts w:hint="eastAsia" w:ascii="黑体" w:hAnsi="黑体" w:eastAsia="黑体" w:cs="黑体"/>
          <w:i/>
          <w:iCs/>
          <w:szCs w:val="21"/>
          <w:highlight w:val="none"/>
        </w:rPr>
        <w:t>t</w:t>
      </w:r>
      <w:r>
        <w:rPr>
          <w:rFonts w:hint="eastAsia" w:ascii="黑体" w:hAnsi="黑体" w:eastAsia="黑体" w:cs="黑体"/>
          <w:szCs w:val="21"/>
          <w:highlight w:val="none"/>
        </w:rPr>
        <w:t>时刻的气体浓度(mg/m</w:t>
      </w:r>
      <w:r>
        <w:rPr>
          <w:rFonts w:hint="eastAsia" w:ascii="黑体" w:hAnsi="黑体" w:eastAsia="黑体" w:cs="黑体"/>
          <w:szCs w:val="21"/>
          <w:highlight w:val="none"/>
          <w:vertAlign w:val="superscript"/>
        </w:rPr>
        <w:t>3</w:t>
      </w:r>
      <w:r>
        <w:rPr>
          <w:rFonts w:hint="eastAsia" w:ascii="黑体" w:hAnsi="黑体" w:eastAsia="黑体" w:cs="黑体"/>
          <w:szCs w:val="21"/>
          <w:highlight w:val="none"/>
        </w:rPr>
        <w:t>)；△</w:t>
      </w:r>
      <w:r>
        <w:rPr>
          <w:rFonts w:hint="eastAsia" w:ascii="黑体" w:hAnsi="黑体" w:eastAsia="黑体" w:cs="黑体"/>
          <w:i/>
          <w:iCs/>
          <w:szCs w:val="21"/>
          <w:highlight w:val="none"/>
        </w:rPr>
        <w:t>t</w:t>
      </w:r>
      <w:r>
        <w:rPr>
          <w:rFonts w:hint="eastAsia" w:ascii="黑体" w:hAnsi="黑体" w:eastAsia="黑体" w:cs="黑体"/>
          <w:szCs w:val="21"/>
          <w:highlight w:val="none"/>
        </w:rPr>
        <w:t>是两次气体取样的时间间隔(min)；</w:t>
      </w:r>
      <w:r>
        <w:rPr>
          <w:rFonts w:hint="eastAsia" w:ascii="黑体" w:hAnsi="黑体" w:eastAsia="黑体" w:cs="黑体"/>
          <w:i/>
          <w:iCs/>
          <w:szCs w:val="21"/>
          <w:highlight w:val="none"/>
        </w:rPr>
        <w:t>C</w:t>
      </w:r>
      <w:r>
        <w:rPr>
          <w:rFonts w:hint="eastAsia" w:ascii="黑体" w:hAnsi="黑体" w:eastAsia="黑体" w:cs="黑体"/>
          <w:i w:val="0"/>
          <w:iCs w:val="0"/>
          <w:szCs w:val="21"/>
          <w:highlight w:val="none"/>
          <w:vertAlign w:val="subscript"/>
        </w:rPr>
        <w:t>t</w:t>
      </w:r>
      <w:r>
        <w:rPr>
          <w:rFonts w:hint="eastAsia" w:ascii="黑体" w:hAnsi="黑体" w:eastAsia="黑体" w:cs="黑体"/>
          <w:szCs w:val="21"/>
          <w:highlight w:val="none"/>
          <w:vertAlign w:val="subscript"/>
        </w:rPr>
        <w:t>+△</w:t>
      </w:r>
      <w:r>
        <w:rPr>
          <w:rFonts w:hint="eastAsia" w:ascii="黑体" w:hAnsi="黑体" w:eastAsia="黑体" w:cs="黑体"/>
          <w:i/>
          <w:iCs/>
          <w:szCs w:val="21"/>
          <w:highlight w:val="none"/>
          <w:vertAlign w:val="subscript"/>
        </w:rPr>
        <w:t>t</w:t>
      </w:r>
      <w:r>
        <w:rPr>
          <w:rFonts w:hint="eastAsia" w:ascii="黑体" w:hAnsi="黑体" w:eastAsia="黑体" w:cs="黑体"/>
          <w:szCs w:val="21"/>
          <w:highlight w:val="none"/>
        </w:rPr>
        <w:t>是</w:t>
      </w:r>
      <w:r>
        <w:rPr>
          <w:rFonts w:hint="eastAsia" w:ascii="黑体" w:hAnsi="黑体" w:eastAsia="黑体" w:cs="黑体"/>
          <w:i/>
          <w:iCs/>
          <w:szCs w:val="21"/>
          <w:highlight w:val="none"/>
        </w:rPr>
        <w:t>t</w:t>
      </w:r>
      <w:r>
        <w:rPr>
          <w:rFonts w:hint="eastAsia" w:ascii="黑体" w:hAnsi="黑体" w:eastAsia="黑体" w:cs="黑体"/>
          <w:szCs w:val="21"/>
          <w:highlight w:val="none"/>
        </w:rPr>
        <w:t>+△</w:t>
      </w:r>
      <w:r>
        <w:rPr>
          <w:rFonts w:hint="eastAsia" w:ascii="黑体" w:hAnsi="黑体" w:eastAsia="黑体" w:cs="黑体"/>
          <w:i/>
          <w:iCs/>
          <w:szCs w:val="21"/>
          <w:highlight w:val="none"/>
        </w:rPr>
        <w:t>t</w:t>
      </w:r>
      <w:r>
        <w:rPr>
          <w:rFonts w:hint="eastAsia" w:ascii="黑体" w:hAnsi="黑体" w:eastAsia="黑体" w:cs="黑体"/>
          <w:szCs w:val="21"/>
          <w:highlight w:val="none"/>
        </w:rPr>
        <w:t>时刻的气体浓度(mg/m</w:t>
      </w:r>
      <w:r>
        <w:rPr>
          <w:rFonts w:hint="eastAsia" w:ascii="黑体" w:hAnsi="黑体" w:eastAsia="黑体" w:cs="黑体"/>
          <w:szCs w:val="21"/>
          <w:highlight w:val="none"/>
          <w:vertAlign w:val="superscript"/>
        </w:rPr>
        <w:t>3</w:t>
      </w:r>
      <w:r>
        <w:rPr>
          <w:rFonts w:hint="eastAsia" w:ascii="黑体" w:hAnsi="黑体" w:eastAsia="黑体" w:cs="黑体"/>
          <w:szCs w:val="21"/>
          <w:highlight w:val="none"/>
        </w:rPr>
        <w:t>)；</w:t>
      </w:r>
      <w:r>
        <w:rPr>
          <w:rFonts w:hint="eastAsia" w:ascii="黑体" w:hAnsi="黑体" w:eastAsia="黑体" w:cs="黑体"/>
          <w:i/>
          <w:iCs/>
          <w:szCs w:val="21"/>
          <w:highlight w:val="none"/>
        </w:rPr>
        <w:t>S</w:t>
      </w:r>
      <w:r>
        <w:rPr>
          <w:rFonts w:hint="eastAsia" w:ascii="黑体" w:hAnsi="黑体" w:eastAsia="黑体" w:cs="黑体"/>
          <w:szCs w:val="21"/>
          <w:highlight w:val="none"/>
        </w:rPr>
        <w:t>是静态箱底面积 (m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 xml:space="preserve">)； </w:t>
      </w:r>
      <w:r>
        <w:rPr>
          <w:rFonts w:hint="eastAsia" w:ascii="黑体" w:hAnsi="黑体" w:eastAsia="黑体" w:cs="黑体"/>
          <w:i/>
          <w:iCs/>
          <w:szCs w:val="21"/>
          <w:highlight w:val="none"/>
        </w:rPr>
        <w:t>j</w:t>
      </w:r>
      <w:r>
        <w:rPr>
          <w:rFonts w:hint="eastAsia" w:ascii="黑体" w:hAnsi="黑体" w:eastAsia="黑体" w:cs="黑体"/>
          <w:szCs w:val="21"/>
          <w:highlight w:val="none"/>
        </w:rPr>
        <w:t>’是覆盖阻隔表面气体释放通量(mg/m</w:t>
      </w:r>
      <w:r>
        <w:rPr>
          <w:rFonts w:hint="eastAsia" w:ascii="黑体" w:hAnsi="黑体" w:eastAsia="黑体" w:cs="黑体"/>
          <w:szCs w:val="21"/>
          <w:highlight w:val="none"/>
          <w:vertAlign w:val="superscript"/>
        </w:rPr>
        <w:t>2</w:t>
      </w:r>
      <w:r>
        <w:rPr>
          <w:rFonts w:hint="eastAsia" w:ascii="黑体" w:hAnsi="黑体" w:eastAsia="黑体" w:cs="黑体"/>
          <w:szCs w:val="21"/>
          <w:highlight w:val="none"/>
        </w:rPr>
        <w:t>/h)；</w:t>
      </w:r>
    </w:p>
    <w:p w14:paraId="76FB37CC">
      <w:pPr>
        <w:widowControl/>
        <w:spacing w:line="360" w:lineRule="auto"/>
        <w:ind w:firstLine="420" w:firstLineChars="200"/>
        <w:rPr>
          <w:rFonts w:hint="eastAsia" w:ascii="黑体" w:hAnsi="黑体" w:eastAsia="黑体" w:cs="黑体"/>
          <w:szCs w:val="21"/>
          <w:highlight w:val="none"/>
        </w:rPr>
      </w:pPr>
      <w:r>
        <w:rPr>
          <w:rFonts w:hint="eastAsia" w:ascii="黑体" w:hAnsi="黑体" w:eastAsia="黑体" w:cs="黑体"/>
          <w:szCs w:val="21"/>
          <w:highlight w:val="none"/>
        </w:rPr>
        <w:t>结合环境温度</w:t>
      </w:r>
      <w:r>
        <w:rPr>
          <w:rFonts w:hint="eastAsia" w:ascii="黑体" w:hAnsi="黑体" w:eastAsia="黑体" w:cs="黑体"/>
          <w:i/>
          <w:iCs/>
          <w:szCs w:val="21"/>
          <w:highlight w:val="none"/>
          <w:lang w:val="en-US" w:eastAsia="zh-CN"/>
        </w:rPr>
        <w:t>T</w:t>
      </w:r>
      <w:r>
        <w:rPr>
          <w:rFonts w:hint="eastAsia" w:ascii="黑体" w:hAnsi="黑体" w:eastAsia="黑体" w:cs="黑体"/>
          <w:szCs w:val="21"/>
          <w:highlight w:val="none"/>
        </w:rPr>
        <w:t>对通量</w:t>
      </w:r>
      <w:r>
        <w:rPr>
          <w:rFonts w:hint="eastAsia" w:ascii="黑体" w:hAnsi="黑体" w:eastAsia="黑体" w:cs="黑体"/>
          <w:i/>
          <w:iCs/>
          <w:szCs w:val="21"/>
          <w:highlight w:val="none"/>
        </w:rPr>
        <w:t>j</w:t>
      </w:r>
      <w:r>
        <w:rPr>
          <w:rFonts w:hint="default" w:ascii="黑体" w:hAnsi="黑体" w:eastAsia="黑体" w:cs="黑体"/>
          <w:szCs w:val="21"/>
          <w:highlight w:val="none"/>
          <w:lang w:val="en-US" w:eastAsia="zh-CN"/>
        </w:rPr>
        <w:t>’</w:t>
      </w:r>
      <w:r>
        <w:rPr>
          <w:rFonts w:hint="eastAsia" w:ascii="黑体" w:hAnsi="黑体" w:eastAsia="黑体" w:cs="黑体"/>
          <w:szCs w:val="21"/>
          <w:highlight w:val="none"/>
        </w:rPr>
        <w:t>加以修正</w:t>
      </w:r>
      <w:r>
        <w:rPr>
          <w:rFonts w:hint="eastAsia" w:ascii="黑体" w:hAnsi="黑体" w:eastAsia="黑体" w:cs="黑体"/>
          <w:szCs w:val="21"/>
          <w:highlight w:val="none"/>
          <w:lang w:eastAsia="zh-CN"/>
        </w:rPr>
        <w:t>，</w:t>
      </w:r>
      <w:r>
        <w:rPr>
          <w:rFonts w:hint="eastAsia" w:ascii="黑体" w:hAnsi="黑体" w:eastAsia="黑体" w:cs="黑体"/>
          <w:szCs w:val="21"/>
          <w:highlight w:val="none"/>
          <w:lang w:val="en-US" w:eastAsia="zh-CN"/>
        </w:rPr>
        <w:t>实际通量</w:t>
      </w:r>
      <w:r>
        <w:rPr>
          <w:rFonts w:hint="eastAsia" w:ascii="黑体" w:hAnsi="黑体" w:eastAsia="黑体" w:cs="黑体"/>
          <w:i/>
          <w:iCs/>
          <w:szCs w:val="21"/>
          <w:highlight w:val="none"/>
          <w:lang w:val="en-US" w:eastAsia="zh-CN"/>
        </w:rPr>
        <w:t>j</w:t>
      </w:r>
      <w:r>
        <w:rPr>
          <w:rFonts w:hint="eastAsia" w:ascii="黑体" w:hAnsi="黑体" w:eastAsia="黑体" w:cs="黑体"/>
          <w:szCs w:val="21"/>
          <w:highlight w:val="none"/>
          <w:lang w:val="en-US" w:eastAsia="zh-CN"/>
        </w:rPr>
        <w:t>如下所示</w:t>
      </w:r>
      <w:r>
        <w:rPr>
          <w:rFonts w:hint="eastAsia" w:ascii="黑体" w:hAnsi="黑体" w:eastAsia="黑体" w:cs="黑体"/>
          <w:szCs w:val="21"/>
          <w:highlight w:val="none"/>
        </w:rPr>
        <w:t>：</w:t>
      </w:r>
    </w:p>
    <w:p w14:paraId="1693B3F4">
      <w:pPr>
        <w:widowControl/>
        <w:spacing w:line="360" w:lineRule="auto"/>
        <w:jc w:val="right"/>
        <w:rPr>
          <w:rFonts w:hint="eastAsia" w:ascii="黑体" w:hAnsi="黑体" w:eastAsia="黑体" w:cs="黑体"/>
          <w:szCs w:val="21"/>
          <w:highlight w:val="none"/>
        </w:rPr>
      </w:pPr>
      <w:r>
        <w:rPr>
          <w:rFonts w:hint="eastAsia" w:ascii="黑体" w:hAnsi="黑体" w:eastAsia="黑体" w:cs="黑体"/>
          <w:position w:val="-24"/>
          <w:szCs w:val="21"/>
          <w:highlight w:val="none"/>
        </w:rPr>
        <w:object>
          <v:shape id="_x0000_i1044" o:spt="75" type="#_x0000_t75" style="height:31pt;width:78pt;" o:ole="t" filled="f" o:preferrelative="t" stroked="f" coordsize="21600,21600">
            <v:path/>
            <v:fill on="f" focussize="0,0"/>
            <v:stroke on="f"/>
            <v:imagedata r:id="rId52" o:title=""/>
            <o:lock v:ext="edit" aspectratio="t"/>
            <w10:wrap type="none"/>
            <w10:anchorlock/>
          </v:shape>
          <o:OLEObject Type="Embed" ProgID="Equation.KSEE3" ShapeID="_x0000_i1044" DrawAspect="Content" ObjectID="_1468075744" r:id="rId51">
            <o:LockedField>false</o:LockedField>
          </o:OLEObject>
        </w:object>
      </w:r>
      <w:r>
        <w:rPr>
          <w:rFonts w:hint="eastAsia" w:ascii="黑体" w:hAnsi="黑体" w:eastAsia="黑体" w:cs="黑体"/>
          <w:szCs w:val="21"/>
          <w:highlight w:val="none"/>
          <w:lang w:val="en-US" w:eastAsia="zh-CN"/>
        </w:rPr>
        <w:t xml:space="preserve">                            </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14</w:t>
      </w:r>
      <w:r>
        <w:rPr>
          <w:rFonts w:hint="eastAsia" w:ascii="黑体" w:hAnsi="黑体" w:eastAsia="黑体" w:cs="黑体"/>
          <w:szCs w:val="21"/>
          <w:highlight w:val="none"/>
        </w:rPr>
        <w:t>）</w:t>
      </w:r>
    </w:p>
    <w:p w14:paraId="227F47C9">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szCs w:val="21"/>
          <w:highlight w:val="none"/>
        </w:rPr>
        <w:t>静态箱</w:t>
      </w:r>
      <w:r>
        <w:rPr>
          <w:rFonts w:hint="eastAsia" w:ascii="黑体" w:hAnsi="黑体" w:eastAsia="黑体" w:cs="黑体"/>
          <w:kern w:val="0"/>
          <w:szCs w:val="21"/>
          <w:highlight w:val="none"/>
        </w:rPr>
        <w:t>现场测试操作步骤如下：</w:t>
      </w:r>
    </w:p>
    <w:p w14:paraId="5CEBA5F3">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（1）将金属底座压入覆盖阻隔</w:t>
      </w:r>
      <w:r>
        <w:rPr>
          <w:rFonts w:hint="eastAsia" w:ascii="黑体" w:hAnsi="黑体" w:eastAsia="黑体" w:cs="黑体"/>
          <w:kern w:val="0"/>
          <w:szCs w:val="21"/>
          <w:highlight w:val="none"/>
          <w:lang w:val="en-US" w:eastAsia="zh-CN"/>
        </w:rPr>
        <w:t>屏障</w:t>
      </w:r>
      <w:r>
        <w:rPr>
          <w:rFonts w:hint="eastAsia" w:ascii="黑体" w:hAnsi="黑体" w:eastAsia="黑体" w:cs="黑体"/>
          <w:kern w:val="0"/>
          <w:szCs w:val="21"/>
          <w:highlight w:val="none"/>
        </w:rPr>
        <w:t>中一定深度，再将静态箱放置在金属底座上。如果测试区域为HDPE膜覆盖区域，底座难以压入，则可以舍弃底座，直接用玻璃胶将静态箱密闭固定在测试面上。</w:t>
      </w:r>
    </w:p>
    <w:p w14:paraId="7CBB17C7">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（2）在底座的槽中加水使箱体和金属槽之间密闭，开启箱内侧壁风扇，等待30</w:t>
      </w:r>
      <w:r>
        <w:rPr>
          <w:rFonts w:hint="eastAsia" w:ascii="黑体" w:hAnsi="黑体" w:eastAsia="黑体" w:cs="黑体"/>
          <w:kern w:val="0"/>
          <w:szCs w:val="21"/>
          <w:highlight w:val="none"/>
          <w:lang w:val="en-US" w:eastAsia="zh-CN"/>
        </w:rPr>
        <w:t xml:space="preserve"> </w:t>
      </w:r>
      <w:r>
        <w:rPr>
          <w:rFonts w:hint="eastAsia" w:ascii="黑体" w:hAnsi="黑体" w:eastAsia="黑体" w:cs="黑体"/>
          <w:kern w:val="0"/>
          <w:szCs w:val="21"/>
          <w:highlight w:val="none"/>
        </w:rPr>
        <w:t>min</w:t>
      </w:r>
      <w:r>
        <w:rPr>
          <w:rFonts w:hint="eastAsia" w:ascii="黑体" w:hAnsi="黑体" w:eastAsia="黑体" w:cs="黑体"/>
          <w:kern w:val="0"/>
          <w:szCs w:val="21"/>
          <w:highlight w:val="none"/>
          <w:lang w:val="en-US" w:eastAsia="zh-CN"/>
        </w:rPr>
        <w:t>使</w:t>
      </w:r>
      <w:r>
        <w:rPr>
          <w:rFonts w:hint="eastAsia" w:ascii="黑体" w:hAnsi="黑体" w:eastAsia="黑体" w:cs="黑体"/>
          <w:kern w:val="0"/>
          <w:szCs w:val="21"/>
          <w:highlight w:val="none"/>
        </w:rPr>
        <w:t>静态箱内气体混合均匀；</w:t>
      </w:r>
    </w:p>
    <w:p w14:paraId="28E6C36B">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（3）气体采样泵通过顶部的取样口将0.5</w:t>
      </w:r>
      <w:r>
        <w:rPr>
          <w:rFonts w:hint="eastAsia" w:ascii="黑体" w:hAnsi="黑体" w:eastAsia="黑体" w:cs="黑体"/>
          <w:kern w:val="0"/>
          <w:szCs w:val="21"/>
          <w:highlight w:val="none"/>
          <w:lang w:val="en-US" w:eastAsia="zh-CN"/>
        </w:rPr>
        <w:t xml:space="preserve"> </w:t>
      </w:r>
      <w:r>
        <w:rPr>
          <w:rFonts w:hint="eastAsia" w:ascii="黑体" w:hAnsi="黑体" w:eastAsia="黑体" w:cs="黑体"/>
          <w:kern w:val="0"/>
          <w:szCs w:val="21"/>
          <w:highlight w:val="none"/>
        </w:rPr>
        <w:t>L气样泵入到Tedlar气袋中，对应0时刻的气</w:t>
      </w:r>
      <w:r>
        <w:rPr>
          <w:rFonts w:hint="eastAsia" w:ascii="黑体" w:hAnsi="黑体" w:eastAsia="黑体" w:cs="黑体"/>
          <w:kern w:val="0"/>
          <w:szCs w:val="21"/>
          <w:highlight w:val="none"/>
          <w:lang w:val="en-US" w:eastAsia="zh-CN"/>
        </w:rPr>
        <w:t>体浓度</w:t>
      </w:r>
      <w:r>
        <w:rPr>
          <w:rFonts w:hint="eastAsia" w:ascii="黑体" w:hAnsi="黑体" w:eastAsia="黑体" w:cs="黑体"/>
          <w:i/>
          <w:iCs/>
          <w:kern w:val="0"/>
          <w:szCs w:val="21"/>
          <w:highlight w:val="none"/>
        </w:rPr>
        <w:t>C</w:t>
      </w:r>
      <w:r>
        <w:rPr>
          <w:rFonts w:hint="eastAsia" w:ascii="黑体" w:hAnsi="黑体" w:eastAsia="黑体" w:cs="黑体"/>
          <w:kern w:val="0"/>
          <w:szCs w:val="21"/>
          <w:highlight w:val="none"/>
          <w:vertAlign w:val="subscript"/>
        </w:rPr>
        <w:t>0</w:t>
      </w:r>
      <w:r>
        <w:rPr>
          <w:rFonts w:hint="eastAsia" w:ascii="黑体" w:hAnsi="黑体" w:eastAsia="黑体" w:cs="黑体"/>
          <w:kern w:val="0"/>
          <w:szCs w:val="21"/>
          <w:highlight w:val="none"/>
        </w:rPr>
        <w:t xml:space="preserve">； </w:t>
      </w:r>
    </w:p>
    <w:p w14:paraId="304F88CE">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（4）关闭所有阀门，箱体内浓度开始累积；</w:t>
      </w:r>
    </w:p>
    <w:p w14:paraId="45BCF060">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（5）分别在0.5</w:t>
      </w:r>
      <w:r>
        <w:rPr>
          <w:rFonts w:hint="eastAsia" w:ascii="黑体" w:hAnsi="黑体" w:eastAsia="黑体" w:cs="黑体"/>
          <w:kern w:val="0"/>
          <w:szCs w:val="21"/>
          <w:highlight w:val="none"/>
          <w:lang w:eastAsia="zh-CN"/>
        </w:rPr>
        <w:t>、</w:t>
      </w:r>
      <w:r>
        <w:rPr>
          <w:rFonts w:hint="eastAsia" w:ascii="黑体" w:hAnsi="黑体" w:eastAsia="黑体" w:cs="黑体"/>
          <w:kern w:val="0"/>
          <w:szCs w:val="21"/>
          <w:highlight w:val="none"/>
        </w:rPr>
        <w:t>1</w:t>
      </w:r>
      <w:r>
        <w:rPr>
          <w:rFonts w:hint="eastAsia" w:ascii="黑体" w:hAnsi="黑体" w:eastAsia="黑体" w:cs="黑体"/>
          <w:kern w:val="0"/>
          <w:szCs w:val="21"/>
          <w:highlight w:val="none"/>
          <w:lang w:eastAsia="zh-CN"/>
        </w:rPr>
        <w:t>、</w:t>
      </w:r>
      <w:r>
        <w:rPr>
          <w:rFonts w:hint="eastAsia" w:ascii="黑体" w:hAnsi="黑体" w:eastAsia="黑体" w:cs="黑体"/>
          <w:kern w:val="0"/>
          <w:szCs w:val="21"/>
          <w:highlight w:val="none"/>
        </w:rPr>
        <w:t>1.5</w:t>
      </w:r>
      <w:r>
        <w:rPr>
          <w:rFonts w:hint="eastAsia" w:ascii="黑体" w:hAnsi="黑体" w:eastAsia="黑体" w:cs="黑体"/>
          <w:kern w:val="0"/>
          <w:szCs w:val="21"/>
          <w:highlight w:val="none"/>
          <w:lang w:val="en-US" w:eastAsia="zh-CN"/>
        </w:rPr>
        <w:t xml:space="preserve"> </w:t>
      </w:r>
      <w:r>
        <w:rPr>
          <w:rFonts w:hint="eastAsia" w:ascii="黑体" w:hAnsi="黑体" w:eastAsia="黑体" w:cs="黑体"/>
          <w:kern w:val="0"/>
          <w:szCs w:val="21"/>
          <w:highlight w:val="none"/>
        </w:rPr>
        <w:t>h三个时刻采集气样，同时需记录采样时间。对应气体浓度为：</w:t>
      </w:r>
      <w:r>
        <w:rPr>
          <w:rFonts w:hint="eastAsia" w:ascii="黑体" w:hAnsi="黑体" w:eastAsia="黑体" w:cs="黑体"/>
          <w:i/>
          <w:iCs/>
          <w:kern w:val="0"/>
          <w:szCs w:val="21"/>
          <w:highlight w:val="none"/>
        </w:rPr>
        <w:t>C</w:t>
      </w:r>
      <w:r>
        <w:rPr>
          <w:rFonts w:hint="eastAsia" w:ascii="黑体" w:hAnsi="黑体" w:eastAsia="黑体" w:cs="黑体"/>
          <w:kern w:val="0"/>
          <w:szCs w:val="21"/>
          <w:highlight w:val="none"/>
          <w:vertAlign w:val="subscript"/>
        </w:rPr>
        <w:t>1</w:t>
      </w:r>
      <w:r>
        <w:rPr>
          <w:rFonts w:hint="eastAsia" w:ascii="黑体" w:hAnsi="黑体" w:eastAsia="黑体" w:cs="黑体"/>
          <w:kern w:val="0"/>
          <w:szCs w:val="21"/>
          <w:highlight w:val="none"/>
          <w:lang w:eastAsia="zh-CN"/>
        </w:rPr>
        <w:t>、</w:t>
      </w:r>
      <w:r>
        <w:rPr>
          <w:rFonts w:hint="eastAsia" w:ascii="黑体" w:hAnsi="黑体" w:eastAsia="黑体" w:cs="黑体"/>
          <w:i/>
          <w:iCs/>
          <w:kern w:val="0"/>
          <w:szCs w:val="21"/>
          <w:highlight w:val="none"/>
        </w:rPr>
        <w:t>C</w:t>
      </w:r>
      <w:r>
        <w:rPr>
          <w:rFonts w:hint="eastAsia" w:ascii="黑体" w:hAnsi="黑体" w:eastAsia="黑体" w:cs="黑体"/>
          <w:kern w:val="0"/>
          <w:szCs w:val="21"/>
          <w:highlight w:val="none"/>
          <w:vertAlign w:val="subscript"/>
        </w:rPr>
        <w:t>2</w:t>
      </w:r>
      <w:r>
        <w:rPr>
          <w:rFonts w:hint="eastAsia" w:ascii="黑体" w:hAnsi="黑体" w:eastAsia="黑体" w:cs="黑体"/>
          <w:kern w:val="0"/>
          <w:szCs w:val="21"/>
          <w:highlight w:val="none"/>
          <w:lang w:eastAsia="zh-CN"/>
        </w:rPr>
        <w:t>、</w:t>
      </w:r>
      <w:r>
        <w:rPr>
          <w:rFonts w:hint="eastAsia" w:ascii="黑体" w:hAnsi="黑体" w:eastAsia="黑体" w:cs="黑体"/>
          <w:i/>
          <w:iCs/>
          <w:kern w:val="0"/>
          <w:szCs w:val="21"/>
          <w:highlight w:val="none"/>
        </w:rPr>
        <w:t>C</w:t>
      </w:r>
      <w:r>
        <w:rPr>
          <w:rFonts w:hint="eastAsia" w:ascii="黑体" w:hAnsi="黑体" w:eastAsia="黑体" w:cs="黑体"/>
          <w:kern w:val="0"/>
          <w:szCs w:val="21"/>
          <w:highlight w:val="none"/>
          <w:vertAlign w:val="subscript"/>
        </w:rPr>
        <w:t>3</w:t>
      </w:r>
      <w:r>
        <w:rPr>
          <w:rFonts w:hint="eastAsia" w:ascii="黑体" w:hAnsi="黑体" w:eastAsia="黑体" w:cs="黑体"/>
          <w:kern w:val="0"/>
          <w:szCs w:val="21"/>
          <w:highlight w:val="none"/>
        </w:rPr>
        <w:t>。气体采样时间间隔可以根据现场具体情况进行调整，若气体释放量较大，可适当缩短采样间隔至10</w:t>
      </w:r>
      <w:r>
        <w:rPr>
          <w:rFonts w:hint="eastAsia" w:ascii="黑体" w:hAnsi="黑体" w:eastAsia="黑体" w:cs="黑体"/>
          <w:kern w:val="0"/>
          <w:szCs w:val="21"/>
          <w:highlight w:val="none"/>
          <w:lang w:val="en-US" w:eastAsia="zh-CN"/>
        </w:rPr>
        <w:t xml:space="preserve"> </w:t>
      </w:r>
      <w:r>
        <w:rPr>
          <w:rFonts w:hint="eastAsia" w:ascii="黑体" w:hAnsi="黑体" w:eastAsia="黑体" w:cs="黑体"/>
          <w:kern w:val="0"/>
          <w:szCs w:val="21"/>
          <w:highlight w:val="none"/>
        </w:rPr>
        <w:t>min</w:t>
      </w:r>
      <w:r>
        <w:rPr>
          <w:rFonts w:hint="eastAsia" w:ascii="黑体" w:hAnsi="黑体" w:eastAsia="黑体" w:cs="黑体"/>
          <w:kern w:val="0"/>
          <w:szCs w:val="21"/>
          <w:highlight w:val="none"/>
          <w:lang w:eastAsia="zh-CN"/>
        </w:rPr>
        <w:t>；</w:t>
      </w:r>
      <w:r>
        <w:rPr>
          <w:rFonts w:hint="eastAsia" w:ascii="黑体" w:hAnsi="黑体" w:eastAsia="黑体" w:cs="黑体"/>
          <w:kern w:val="0"/>
          <w:szCs w:val="21"/>
          <w:highlight w:val="none"/>
        </w:rPr>
        <w:t>若气体释放通量较小，可以延长采样间隔至1</w:t>
      </w:r>
      <w:r>
        <w:rPr>
          <w:rFonts w:hint="eastAsia" w:ascii="黑体" w:hAnsi="黑体" w:eastAsia="黑体" w:cs="黑体"/>
          <w:kern w:val="0"/>
          <w:szCs w:val="21"/>
          <w:highlight w:val="none"/>
          <w:lang w:val="en-US" w:eastAsia="zh-CN"/>
        </w:rPr>
        <w:t xml:space="preserve"> </w:t>
      </w:r>
      <w:r>
        <w:rPr>
          <w:rFonts w:hint="eastAsia" w:ascii="黑体" w:hAnsi="黑体" w:eastAsia="黑体" w:cs="黑体"/>
          <w:kern w:val="0"/>
          <w:szCs w:val="21"/>
          <w:highlight w:val="none"/>
        </w:rPr>
        <w:t>h甚至2</w:t>
      </w:r>
      <w:r>
        <w:rPr>
          <w:rFonts w:hint="eastAsia" w:ascii="黑体" w:hAnsi="黑体" w:eastAsia="黑体" w:cs="黑体"/>
          <w:kern w:val="0"/>
          <w:szCs w:val="21"/>
          <w:highlight w:val="none"/>
          <w:lang w:val="en-US" w:eastAsia="zh-CN"/>
        </w:rPr>
        <w:t xml:space="preserve"> </w:t>
      </w:r>
      <w:r>
        <w:rPr>
          <w:rFonts w:hint="eastAsia" w:ascii="黑体" w:hAnsi="黑体" w:eastAsia="黑体" w:cs="黑体"/>
          <w:kern w:val="0"/>
          <w:szCs w:val="21"/>
          <w:highlight w:val="none"/>
        </w:rPr>
        <w:t>h。</w:t>
      </w:r>
    </w:p>
    <w:p w14:paraId="797BC1C7">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（6）采样当天将气袋带回实验室，利用</w:t>
      </w:r>
      <w:r>
        <w:rPr>
          <w:rFonts w:hint="eastAsia" w:ascii="黑体" w:hAnsi="黑体" w:eastAsia="黑体" w:cs="黑体"/>
          <w:kern w:val="0"/>
          <w:szCs w:val="21"/>
          <w:highlight w:val="none"/>
          <w:lang w:val="en-US" w:eastAsia="zh-CN"/>
        </w:rPr>
        <w:t>气相</w:t>
      </w:r>
      <w:r>
        <w:rPr>
          <w:rFonts w:hint="eastAsia" w:ascii="黑体" w:hAnsi="黑体" w:eastAsia="黑体" w:cs="黑体"/>
          <w:kern w:val="0"/>
          <w:szCs w:val="21"/>
          <w:highlight w:val="none"/>
        </w:rPr>
        <w:t>色谱仪分析气样浓度。</w:t>
      </w:r>
    </w:p>
    <w:p w14:paraId="01D331CA">
      <w:pPr>
        <w:widowControl/>
        <w:spacing w:line="360" w:lineRule="auto"/>
        <w:ind w:firstLine="420" w:firstLineChars="200"/>
        <w:jc w:val="left"/>
        <w:rPr>
          <w:rFonts w:hint="eastAsia" w:ascii="黑体" w:hAnsi="黑体" w:eastAsia="黑体" w:cs="黑体"/>
          <w:kern w:val="0"/>
          <w:szCs w:val="21"/>
          <w:highlight w:val="none"/>
        </w:rPr>
      </w:pPr>
      <w:r>
        <w:rPr>
          <w:rFonts w:hint="eastAsia" w:ascii="黑体" w:hAnsi="黑体" w:eastAsia="黑体" w:cs="黑体"/>
          <w:kern w:val="0"/>
          <w:szCs w:val="21"/>
          <w:highlight w:val="none"/>
        </w:rPr>
        <w:t>（7）通过</w:t>
      </w:r>
      <w:r>
        <w:rPr>
          <w:rFonts w:hint="eastAsia" w:ascii="黑体" w:hAnsi="黑体" w:eastAsia="黑体" w:cs="黑体"/>
          <w:kern w:val="0"/>
          <w:szCs w:val="21"/>
          <w:highlight w:val="none"/>
          <w:lang w:val="en-US" w:eastAsia="zh-CN"/>
        </w:rPr>
        <w:t>绘制</w:t>
      </w:r>
      <w:r>
        <w:rPr>
          <w:rFonts w:hint="eastAsia" w:ascii="黑体" w:hAnsi="黑体" w:eastAsia="黑体" w:cs="黑体"/>
          <w:kern w:val="0"/>
          <w:szCs w:val="21"/>
          <w:highlight w:val="none"/>
        </w:rPr>
        <w:t>污染气体浓度</w:t>
      </w:r>
      <w:r>
        <w:rPr>
          <w:rFonts w:hint="eastAsia" w:ascii="黑体" w:hAnsi="黑体" w:eastAsia="黑体" w:cs="黑体"/>
          <w:kern w:val="0"/>
          <w:szCs w:val="21"/>
          <w:highlight w:val="none"/>
          <w:lang w:val="en-US" w:eastAsia="zh-CN"/>
        </w:rPr>
        <w:t>随时间的关系</w:t>
      </w:r>
      <w:r>
        <w:rPr>
          <w:rFonts w:hint="eastAsia" w:ascii="黑体" w:hAnsi="黑体" w:eastAsia="黑体" w:cs="黑体"/>
          <w:kern w:val="0"/>
          <w:szCs w:val="21"/>
          <w:highlight w:val="none"/>
        </w:rPr>
        <w:t>图，拟合计算污染气体在覆盖阻隔</w:t>
      </w:r>
      <w:r>
        <w:rPr>
          <w:rFonts w:hint="eastAsia" w:ascii="黑体" w:hAnsi="黑体" w:eastAsia="黑体" w:cs="黑体"/>
          <w:kern w:val="0"/>
          <w:szCs w:val="21"/>
          <w:highlight w:val="none"/>
          <w:lang w:val="en-US" w:eastAsia="zh-CN"/>
        </w:rPr>
        <w:t>屏障</w:t>
      </w:r>
      <w:r>
        <w:rPr>
          <w:rFonts w:hint="eastAsia" w:ascii="黑体" w:hAnsi="黑体" w:eastAsia="黑体" w:cs="黑体"/>
          <w:kern w:val="0"/>
          <w:szCs w:val="21"/>
          <w:highlight w:val="none"/>
        </w:rPr>
        <w:t>表面的释放通量。</w:t>
      </w:r>
    </w:p>
    <w:p w14:paraId="5F7FF6B7">
      <w:pPr>
        <w:widowControl/>
        <w:spacing w:line="360" w:lineRule="auto"/>
        <w:ind w:firstLine="0" w:firstLineChars="0"/>
        <w:jc w:val="center"/>
        <w:rPr>
          <w:rFonts w:hint="eastAsia" w:ascii="黑体" w:hAnsi="黑体" w:eastAsia="黑体" w:cs="黑体"/>
          <w:kern w:val="0"/>
          <w:szCs w:val="21"/>
          <w:highlight w:val="none"/>
        </w:rPr>
      </w:pPr>
      <w:r>
        <w:rPr>
          <w:rFonts w:hint="eastAsia" w:ascii="黑体" w:hAnsi="黑体" w:eastAsia="黑体" w:cs="黑体"/>
          <w:szCs w:val="21"/>
          <w:highlight w:val="none"/>
        </w:rPr>
        <w:drawing>
          <wp:inline distT="0" distB="0" distL="0" distR="0">
            <wp:extent cx="2728595" cy="2077085"/>
            <wp:effectExtent l="0" t="0" r="14605" b="1841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2749090" cy="2092740"/>
                    </a:xfrm>
                    <a:prstGeom prst="rect">
                      <a:avLst/>
                    </a:prstGeom>
                    <a:noFill/>
                    <a:ln>
                      <a:noFill/>
                    </a:ln>
                  </pic:spPr>
                </pic:pic>
              </a:graphicData>
            </a:graphic>
          </wp:inline>
        </w:drawing>
      </w:r>
    </w:p>
    <w:p w14:paraId="34277D26">
      <w:pPr>
        <w:widowControl/>
        <w:spacing w:line="360" w:lineRule="auto"/>
        <w:ind w:firstLine="0" w:firstLineChars="0"/>
        <w:jc w:val="center"/>
        <w:rPr>
          <w:rFonts w:hint="eastAsia" w:ascii="黑体" w:hAnsi="黑体" w:eastAsia="黑体" w:cs="黑体"/>
          <w:kern w:val="0"/>
          <w:szCs w:val="21"/>
          <w:highlight w:val="none"/>
        </w:rPr>
      </w:pPr>
      <w:r>
        <w:rPr>
          <w:rFonts w:hint="eastAsia" w:ascii="黑体" w:hAnsi="黑体" w:eastAsia="黑体" w:cs="黑体"/>
          <w:b/>
          <w:bCs/>
          <w:kern w:val="2"/>
          <w:sz w:val="18"/>
          <w:szCs w:val="18"/>
          <w:highlight w:val="none"/>
        </w:rPr>
        <w:t>图</w:t>
      </w:r>
      <w:r>
        <w:rPr>
          <w:rFonts w:hint="eastAsia" w:ascii="黑体" w:hAnsi="黑体" w:eastAsia="黑体" w:cs="黑体"/>
          <w:b/>
          <w:bCs/>
          <w:kern w:val="2"/>
          <w:sz w:val="18"/>
          <w:szCs w:val="18"/>
          <w:highlight w:val="none"/>
          <w:lang w:val="en-US" w:eastAsia="zh-CN"/>
        </w:rPr>
        <w:t>2</w:t>
      </w:r>
      <w:r>
        <w:rPr>
          <w:rFonts w:hint="eastAsia" w:ascii="黑体" w:hAnsi="黑体" w:eastAsia="黑体" w:cs="黑体"/>
          <w:b/>
          <w:bCs/>
          <w:kern w:val="2"/>
          <w:sz w:val="18"/>
          <w:szCs w:val="18"/>
          <w:highlight w:val="none"/>
        </w:rPr>
        <w:t xml:space="preserve"> </w:t>
      </w:r>
      <w:r>
        <w:rPr>
          <w:rFonts w:hint="eastAsia" w:ascii="黑体" w:hAnsi="黑体" w:eastAsia="黑体" w:cs="黑体"/>
          <w:b/>
          <w:bCs/>
          <w:kern w:val="2"/>
          <w:sz w:val="18"/>
          <w:szCs w:val="18"/>
          <w:highlight w:val="none"/>
          <w:lang w:val="en-US" w:eastAsia="zh-CN"/>
        </w:rPr>
        <w:t xml:space="preserve"> </w:t>
      </w:r>
      <w:r>
        <w:rPr>
          <w:rFonts w:hint="eastAsia" w:ascii="黑体" w:hAnsi="黑体" w:eastAsia="黑体" w:cs="黑体"/>
          <w:b/>
          <w:bCs/>
          <w:kern w:val="2"/>
          <w:sz w:val="18"/>
          <w:szCs w:val="18"/>
          <w:highlight w:val="none"/>
        </w:rPr>
        <w:t>静态箱示意图</w:t>
      </w:r>
    </w:p>
    <w:p w14:paraId="206666E5">
      <w:pPr>
        <w:widowControl/>
        <w:spacing w:line="360" w:lineRule="auto"/>
        <w:ind w:firstLine="420" w:firstLineChars="200"/>
        <w:jc w:val="left"/>
        <w:rPr>
          <w:rFonts w:hint="eastAsia" w:ascii="黑体" w:hAnsi="黑体" w:eastAsia="黑体" w:cs="黑体"/>
          <w:szCs w:val="21"/>
          <w:highlight w:val="none"/>
        </w:rPr>
      </w:pPr>
      <w:r>
        <w:rPr>
          <w:rFonts w:hint="eastAsia" w:ascii="黑体" w:hAnsi="黑体" w:eastAsia="黑体" w:cs="黑体"/>
          <w:kern w:val="0"/>
          <w:szCs w:val="21"/>
          <w:highlight w:val="none"/>
        </w:rPr>
        <w:t>静态箱法对杭州天子岭城市生活垃圾填埋场作业面及中间覆盖层表面的硫化氢气体释放通量进行了</w:t>
      </w:r>
      <w:r>
        <w:rPr>
          <w:rFonts w:hint="eastAsia" w:ascii="黑体" w:hAnsi="黑体" w:eastAsia="黑体" w:cs="黑体"/>
          <w:kern w:val="0"/>
          <w:szCs w:val="21"/>
          <w:highlight w:val="none"/>
          <w:lang w:val="en-US" w:eastAsia="zh-CN"/>
        </w:rPr>
        <w:t>广泛的</w:t>
      </w:r>
      <w:r>
        <w:rPr>
          <w:rFonts w:hint="eastAsia" w:ascii="黑体" w:hAnsi="黑体" w:eastAsia="黑体" w:cs="黑体"/>
          <w:kern w:val="0"/>
          <w:szCs w:val="21"/>
          <w:highlight w:val="none"/>
        </w:rPr>
        <w:t>现场监测。</w:t>
      </w:r>
    </w:p>
    <w:p w14:paraId="4267B114">
      <w:pPr>
        <w:snapToGrid w:val="0"/>
        <w:spacing w:before="156" w:beforeLines="50" w:after="156" w:afterLines="50" w:line="360" w:lineRule="auto"/>
        <w:jc w:val="center"/>
        <w:outlineLvl w:val="1"/>
        <w:rPr>
          <w:rFonts w:ascii="黑体" w:hAnsi="黑体" w:eastAsia="黑体" w:cs="黑体"/>
          <w:szCs w:val="21"/>
          <w:highlight w:val="none"/>
        </w:rPr>
      </w:pPr>
      <w:bookmarkStart w:id="170" w:name="_Toc10948"/>
      <w:r>
        <w:rPr>
          <w:rFonts w:hint="eastAsia" w:ascii="黑体" w:hAnsi="黑体" w:eastAsia="黑体" w:cs="黑体"/>
          <w:szCs w:val="21"/>
          <w:highlight w:val="none"/>
        </w:rPr>
        <w:t>7.3  工 后 监 测</w:t>
      </w:r>
      <w:bookmarkEnd w:id="170"/>
    </w:p>
    <w:p w14:paraId="68D85CE0">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7.3.1  规定了覆盖阻隔工程的工后监测内容。环境监测目的是在覆盖阻隔工程效果评估后，特定时间范围内，为评估阻隔效果开展的验证性监测。环境监测的对象为土壤气体。监测项目应根据土污染状况调查、场地修复情况综合确定，可包括水与土的pH、电导率等物理及化学性质指标、污染气体浓度等。环境(降雨、冻融等)及人为因素所产生的浅层开裂情况是覆盖阻隔屏障的完整性监测重点。依据现行国家标准《建筑基坑工程监测技术标准》GB 50497-2019的规定，对邻近建(构)筑物和地下管线变形进行监测；建(构)筑物变形包括竖向位移、倾斜、水平位移及裂缝。</w:t>
      </w:r>
    </w:p>
    <w:p w14:paraId="334FE0AE">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7.3.3  对覆盖阻隔工程中场地环境质量监测的工作点位进行了规定，参考了现行行业标准《污染地块风险管控与土壤修复效果评估技术导则(试行)》HJ 25.5-2018中10.3.2的规定。监测点位应邻近覆盖阻隔屏障，目的是及时掌握污染物击穿屏障引起的失效情况。监测井设置不仅须达到监测阻隔效果的目的，同时应考虑场地规划用途和用地红线范围。</w:t>
      </w:r>
    </w:p>
    <w:p w14:paraId="6B12718C">
      <w:pPr>
        <w:widowControl/>
        <w:spacing w:line="360" w:lineRule="auto"/>
        <w:rPr>
          <w:rFonts w:hint="eastAsia" w:ascii="黑体" w:hAnsi="黑体" w:eastAsia="黑体" w:cs="黑体"/>
          <w:szCs w:val="21"/>
          <w:highlight w:val="none"/>
        </w:rPr>
      </w:pPr>
      <w:r>
        <w:rPr>
          <w:rFonts w:hint="eastAsia" w:ascii="黑体" w:hAnsi="黑体" w:eastAsia="黑体" w:cs="黑体"/>
          <w:szCs w:val="21"/>
          <w:highlight w:val="none"/>
        </w:rPr>
        <w:t>7.3.4  参考了现行地方标准《污染场地挥发性有机物调查与风险评估技术导则》DB11/T 1278-2015中附录F的规定，对土壤气体监测井的结构进行了规定。</w:t>
      </w:r>
    </w:p>
    <w:p w14:paraId="4DD60A85">
      <w:pPr>
        <w:widowControl/>
        <w:spacing w:line="360" w:lineRule="auto"/>
        <w:rPr>
          <w:rFonts w:hint="default" w:ascii="黑体" w:hAnsi="黑体" w:eastAsia="黑体" w:cs="黑体"/>
          <w:szCs w:val="21"/>
          <w:highlight w:val="none"/>
          <w:lang w:val="en-US" w:eastAsia="zh-CN"/>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6  屏障表面气体通量监测点数目的布置参考美国环保署《使用封闭式气体释放通量室测量地表的气体排放通量限值：用户指南》（</w:t>
      </w:r>
      <w:r>
        <w:rPr>
          <w:rFonts w:hint="eastAsia" w:ascii="黑体" w:hAnsi="黑体" w:eastAsia="黑体" w:cs="黑体"/>
          <w:szCs w:val="21"/>
          <w:highlight w:val="none"/>
        </w:rPr>
        <w:t>Measurement of Gaseous Emission rated from Land Surfaces using an Emission Isolation Flux Chamber. User’s  guide</w:t>
      </w:r>
      <w:r>
        <w:rPr>
          <w:rFonts w:hint="eastAsia" w:ascii="黑体" w:hAnsi="黑体" w:eastAsia="黑体" w:cs="黑体"/>
          <w:szCs w:val="21"/>
          <w:highlight w:val="none"/>
          <w:lang w:eastAsia="zh-CN"/>
        </w:rPr>
        <w:t>，</w:t>
      </w:r>
      <w:r>
        <w:rPr>
          <w:rFonts w:hint="eastAsia" w:ascii="黑体" w:hAnsi="黑体" w:eastAsia="黑体" w:cs="黑体"/>
          <w:szCs w:val="21"/>
          <w:highlight w:val="none"/>
        </w:rPr>
        <w:t>EPA</w:t>
      </w:r>
      <w:bookmarkStart w:id="171" w:name="OLE_LINK50"/>
      <w:r>
        <w:rPr>
          <w:rFonts w:hint="eastAsia" w:ascii="黑体" w:hAnsi="黑体" w:eastAsia="黑体" w:cs="黑体"/>
          <w:szCs w:val="21"/>
          <w:highlight w:val="none"/>
        </w:rPr>
        <w:t>/</w:t>
      </w:r>
      <w:bookmarkEnd w:id="171"/>
      <w:r>
        <w:rPr>
          <w:rFonts w:hint="eastAsia" w:ascii="黑体" w:hAnsi="黑体" w:eastAsia="黑体" w:cs="黑体"/>
          <w:szCs w:val="21"/>
          <w:highlight w:val="none"/>
        </w:rPr>
        <w:t>600/8-86/008</w:t>
      </w:r>
      <w:r>
        <w:rPr>
          <w:rFonts w:hint="eastAsia" w:ascii="黑体" w:hAnsi="黑体" w:eastAsia="黑体" w:cs="黑体"/>
          <w:szCs w:val="21"/>
          <w:highlight w:val="none"/>
          <w:lang w:val="en-US" w:eastAsia="zh-CN"/>
        </w:rPr>
        <w:t>）的相关规定。</w:t>
      </w:r>
    </w:p>
    <w:p w14:paraId="672AD734">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7</w:t>
      </w:r>
      <w:r>
        <w:rPr>
          <w:rFonts w:hint="eastAsia" w:ascii="黑体" w:hAnsi="黑体" w:eastAsia="黑体" w:cs="黑体"/>
          <w:szCs w:val="21"/>
          <w:highlight w:val="none"/>
        </w:rPr>
        <w:t xml:space="preserve">  覆盖阻隔工程在工业污染场地岩土工程勘察基础上开展，因此，覆盖阻隔工程的工后监测原则上应充分利用勘察阶段监测成果和既有设施。地下水质量及地下水水文条件的监测井结构要求可依据现行行业标准《污染场地岩土工程勘察标准》HG/T 20717的相关规定。</w:t>
      </w:r>
    </w:p>
    <w:p w14:paraId="7DF39D52">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8</w:t>
      </w:r>
      <w:r>
        <w:rPr>
          <w:rFonts w:hint="eastAsia" w:ascii="黑体" w:hAnsi="黑体" w:eastAsia="黑体" w:cs="黑体"/>
          <w:szCs w:val="21"/>
          <w:highlight w:val="none"/>
        </w:rPr>
        <w:t xml:space="preserve">  依据现行国家标准《建筑基坑工程监测技术标准》GB 50497-2019中5.1.1的规定。</w:t>
      </w:r>
    </w:p>
    <w:p w14:paraId="2F0FF1B4">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9</w:t>
      </w:r>
      <w:r>
        <w:rPr>
          <w:rFonts w:hint="eastAsia" w:ascii="黑体" w:hAnsi="黑体" w:eastAsia="黑体" w:cs="黑体"/>
          <w:szCs w:val="21"/>
          <w:highlight w:val="none"/>
        </w:rPr>
        <w:t xml:space="preserve">  主要的监测异常可包括监测到土壤气体中目标污染物浓度出现增大趋势等。如果定期监测结果表明阻隔措施未能达到预期效果，则需对屏障进行必要的工程修复。可能的突发事件包括降雨引起场地内涝、地震、监测污染浓度异常反弹等。覆盖阻隔工程的工后监测还应考虑场地的最终利用类型，监测系统应与开发建设合理衔接。</w:t>
      </w:r>
    </w:p>
    <w:p w14:paraId="25A0CDEC">
      <w:pPr>
        <w:widowControl/>
        <w:spacing w:line="360" w:lineRule="auto"/>
        <w:rPr>
          <w:rFonts w:ascii="黑体" w:hAnsi="黑体" w:eastAsia="黑体" w:cs="黑体"/>
          <w:szCs w:val="21"/>
          <w:highlight w:val="none"/>
        </w:rPr>
      </w:pPr>
      <w:r>
        <w:rPr>
          <w:rFonts w:hint="eastAsia" w:ascii="黑体" w:hAnsi="黑体" w:eastAsia="黑体" w:cs="黑体"/>
          <w:szCs w:val="21"/>
          <w:highlight w:val="none"/>
        </w:rPr>
        <w:t>7.3.</w:t>
      </w:r>
      <w:r>
        <w:rPr>
          <w:rFonts w:hint="eastAsia" w:ascii="黑体" w:hAnsi="黑体" w:eastAsia="黑体" w:cs="黑体"/>
          <w:szCs w:val="21"/>
          <w:highlight w:val="none"/>
          <w:lang w:val="en-US" w:eastAsia="zh-CN"/>
        </w:rPr>
        <w:t>10</w:t>
      </w:r>
      <w:r>
        <w:rPr>
          <w:rFonts w:hint="eastAsia" w:ascii="黑体" w:hAnsi="黑体" w:eastAsia="黑体" w:cs="黑体"/>
          <w:szCs w:val="21"/>
          <w:highlight w:val="none"/>
        </w:rPr>
        <w:t xml:space="preserve">  规定了覆盖阻隔工程的工后监测方法及监测频次。现行行业标准《污染地块风险管控与土壤修复效果评估技术导则(试行)》HJ 25.5-2018中7.2.4对长期环境监测规定如下:“原则上长期监测1~2年开展一次，可根据实际情况进行调整”。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2384C">
    <w:pPr>
      <w:pStyle w:val="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01C8B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401C8B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752CD">
    <w:pPr>
      <w:pStyle w:val="7"/>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804372">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8804372">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55030">
    <w:pPr>
      <w:pStyle w:val="7"/>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65B5F">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07265B5F">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52319">
    <w:pPr>
      <w:pStyle w:val="7"/>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27F883">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727F883">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04853">
    <w:pPr>
      <w:spacing w:before="120"/>
      <w:ind w:left="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3F47A">
    <w:pPr>
      <w:pStyle w:val="8"/>
      <w:spacing w:before="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3D3B0"/>
    <w:multiLevelType w:val="singleLevel"/>
    <w:tmpl w:val="FCD3D3B0"/>
    <w:lvl w:ilvl="0" w:tentative="0">
      <w:start w:val="1"/>
      <w:numFmt w:val="decimal"/>
      <w:suff w:val="nothing"/>
      <w:lvlText w:val="%1）"/>
      <w:lvlJc w:val="left"/>
      <w:pPr>
        <w:ind w:left="735" w:firstLine="0"/>
      </w:pPr>
    </w:lvl>
  </w:abstractNum>
  <w:abstractNum w:abstractNumId="1">
    <w:nsid w:val="584BBA1B"/>
    <w:multiLevelType w:val="singleLevel"/>
    <w:tmpl w:val="584BBA1B"/>
    <w:lvl w:ilvl="0" w:tentative="0">
      <w:start w:val="1"/>
      <w:numFmt w:val="decimal"/>
      <w:suff w:val="nothing"/>
      <w:lvlText w:val="%1）"/>
      <w:lvlJc w:val="left"/>
      <w:pPr>
        <w:ind w:left="735"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zZDU3YjJiOTk2YjAyMTAyNzk5MTdkMDY2OTJiN2YifQ=="/>
  </w:docVars>
  <w:rsids>
    <w:rsidRoot w:val="54FC0E51"/>
    <w:rsid w:val="000242D8"/>
    <w:rsid w:val="0003191E"/>
    <w:rsid w:val="00064781"/>
    <w:rsid w:val="000778D2"/>
    <w:rsid w:val="000A3599"/>
    <w:rsid w:val="000C5092"/>
    <w:rsid w:val="000D3E62"/>
    <w:rsid w:val="000D4A1F"/>
    <w:rsid w:val="000D73A0"/>
    <w:rsid w:val="000E4FB0"/>
    <w:rsid w:val="00191D7B"/>
    <w:rsid w:val="00196355"/>
    <w:rsid w:val="001C4883"/>
    <w:rsid w:val="001C7B83"/>
    <w:rsid w:val="001F5256"/>
    <w:rsid w:val="00232144"/>
    <w:rsid w:val="00232516"/>
    <w:rsid w:val="0024699A"/>
    <w:rsid w:val="00253BC0"/>
    <w:rsid w:val="002571A9"/>
    <w:rsid w:val="00261C7C"/>
    <w:rsid w:val="002A051F"/>
    <w:rsid w:val="002E37B5"/>
    <w:rsid w:val="002E5A9C"/>
    <w:rsid w:val="0034232A"/>
    <w:rsid w:val="003559BB"/>
    <w:rsid w:val="003720AF"/>
    <w:rsid w:val="00372226"/>
    <w:rsid w:val="00383E0C"/>
    <w:rsid w:val="003A1666"/>
    <w:rsid w:val="003C070A"/>
    <w:rsid w:val="003C6D4F"/>
    <w:rsid w:val="003D5DF4"/>
    <w:rsid w:val="003F081F"/>
    <w:rsid w:val="003F2A7E"/>
    <w:rsid w:val="00416B50"/>
    <w:rsid w:val="00422863"/>
    <w:rsid w:val="00432C07"/>
    <w:rsid w:val="00447BB1"/>
    <w:rsid w:val="0048073F"/>
    <w:rsid w:val="004C5EB3"/>
    <w:rsid w:val="004C72D7"/>
    <w:rsid w:val="004E64C2"/>
    <w:rsid w:val="004F54CE"/>
    <w:rsid w:val="00504C2E"/>
    <w:rsid w:val="00584DAD"/>
    <w:rsid w:val="005F769D"/>
    <w:rsid w:val="006003F3"/>
    <w:rsid w:val="00615EF7"/>
    <w:rsid w:val="00621CE5"/>
    <w:rsid w:val="00631BBA"/>
    <w:rsid w:val="00645430"/>
    <w:rsid w:val="006A5B84"/>
    <w:rsid w:val="006A5DDA"/>
    <w:rsid w:val="007333CA"/>
    <w:rsid w:val="007B5ABC"/>
    <w:rsid w:val="008027B8"/>
    <w:rsid w:val="008243C1"/>
    <w:rsid w:val="008315F5"/>
    <w:rsid w:val="00891FCD"/>
    <w:rsid w:val="008B0491"/>
    <w:rsid w:val="008B26D1"/>
    <w:rsid w:val="008C3DF6"/>
    <w:rsid w:val="008E215A"/>
    <w:rsid w:val="008F5D16"/>
    <w:rsid w:val="00911C50"/>
    <w:rsid w:val="0092752A"/>
    <w:rsid w:val="00983B3F"/>
    <w:rsid w:val="009B1623"/>
    <w:rsid w:val="009D6F44"/>
    <w:rsid w:val="009E1CD3"/>
    <w:rsid w:val="009F06EF"/>
    <w:rsid w:val="00A05D16"/>
    <w:rsid w:val="00A07686"/>
    <w:rsid w:val="00A102E9"/>
    <w:rsid w:val="00A11CA3"/>
    <w:rsid w:val="00A2511C"/>
    <w:rsid w:val="00A36DD3"/>
    <w:rsid w:val="00A5341B"/>
    <w:rsid w:val="00A5459F"/>
    <w:rsid w:val="00A74AAC"/>
    <w:rsid w:val="00A870FC"/>
    <w:rsid w:val="00AA11BB"/>
    <w:rsid w:val="00AD4617"/>
    <w:rsid w:val="00AE2677"/>
    <w:rsid w:val="00B350AC"/>
    <w:rsid w:val="00B90136"/>
    <w:rsid w:val="00BD1839"/>
    <w:rsid w:val="00BE272F"/>
    <w:rsid w:val="00C411DD"/>
    <w:rsid w:val="00C54306"/>
    <w:rsid w:val="00C80000"/>
    <w:rsid w:val="00C82367"/>
    <w:rsid w:val="00C87574"/>
    <w:rsid w:val="00CA0D03"/>
    <w:rsid w:val="00CB5625"/>
    <w:rsid w:val="00CE1FCC"/>
    <w:rsid w:val="00CE3824"/>
    <w:rsid w:val="00D16DF7"/>
    <w:rsid w:val="00D20FAE"/>
    <w:rsid w:val="00D4449F"/>
    <w:rsid w:val="00D51A1F"/>
    <w:rsid w:val="00D64C71"/>
    <w:rsid w:val="00D65297"/>
    <w:rsid w:val="00D96D3B"/>
    <w:rsid w:val="00DB18D7"/>
    <w:rsid w:val="00DB2EBF"/>
    <w:rsid w:val="00DB7690"/>
    <w:rsid w:val="00DC1CEB"/>
    <w:rsid w:val="00DC2A9D"/>
    <w:rsid w:val="00DE050B"/>
    <w:rsid w:val="00DF1F22"/>
    <w:rsid w:val="00E536B5"/>
    <w:rsid w:val="00E67012"/>
    <w:rsid w:val="00E768E1"/>
    <w:rsid w:val="00E951A0"/>
    <w:rsid w:val="00EB0DD1"/>
    <w:rsid w:val="00EC6AC0"/>
    <w:rsid w:val="00F1344F"/>
    <w:rsid w:val="00F26EC6"/>
    <w:rsid w:val="00F915EB"/>
    <w:rsid w:val="00FA5308"/>
    <w:rsid w:val="00FF1684"/>
    <w:rsid w:val="018008AF"/>
    <w:rsid w:val="01846F0B"/>
    <w:rsid w:val="01B110AA"/>
    <w:rsid w:val="01BB4FEF"/>
    <w:rsid w:val="02716043"/>
    <w:rsid w:val="02C36BA7"/>
    <w:rsid w:val="03043FD3"/>
    <w:rsid w:val="03C33390"/>
    <w:rsid w:val="03F3343D"/>
    <w:rsid w:val="047F0FEB"/>
    <w:rsid w:val="04DD3F64"/>
    <w:rsid w:val="05611D35"/>
    <w:rsid w:val="05A625A8"/>
    <w:rsid w:val="06175254"/>
    <w:rsid w:val="062419FC"/>
    <w:rsid w:val="0628503E"/>
    <w:rsid w:val="06565D7C"/>
    <w:rsid w:val="069470D4"/>
    <w:rsid w:val="069528D3"/>
    <w:rsid w:val="06BA455D"/>
    <w:rsid w:val="07832BA1"/>
    <w:rsid w:val="08425F6F"/>
    <w:rsid w:val="08D86F1C"/>
    <w:rsid w:val="095E5D5B"/>
    <w:rsid w:val="09690232"/>
    <w:rsid w:val="0A053D41"/>
    <w:rsid w:val="0A5F22B9"/>
    <w:rsid w:val="0B215C0E"/>
    <w:rsid w:val="0B601950"/>
    <w:rsid w:val="0B696551"/>
    <w:rsid w:val="0C3449DA"/>
    <w:rsid w:val="0C9475FE"/>
    <w:rsid w:val="0CE73909"/>
    <w:rsid w:val="0D94342B"/>
    <w:rsid w:val="0E151F6C"/>
    <w:rsid w:val="0ED36288"/>
    <w:rsid w:val="0F1B7B63"/>
    <w:rsid w:val="106912C5"/>
    <w:rsid w:val="109D1177"/>
    <w:rsid w:val="10EE35F9"/>
    <w:rsid w:val="123F1DBA"/>
    <w:rsid w:val="125B19A9"/>
    <w:rsid w:val="125E1331"/>
    <w:rsid w:val="12740077"/>
    <w:rsid w:val="128123D2"/>
    <w:rsid w:val="12D85FAB"/>
    <w:rsid w:val="133833D9"/>
    <w:rsid w:val="13743CE5"/>
    <w:rsid w:val="13D36C5E"/>
    <w:rsid w:val="14EE2811"/>
    <w:rsid w:val="15325751"/>
    <w:rsid w:val="15453B8B"/>
    <w:rsid w:val="158E0D96"/>
    <w:rsid w:val="16492F37"/>
    <w:rsid w:val="167C4C1F"/>
    <w:rsid w:val="16AA639C"/>
    <w:rsid w:val="16FA2753"/>
    <w:rsid w:val="172724D4"/>
    <w:rsid w:val="17DF3570"/>
    <w:rsid w:val="181661E4"/>
    <w:rsid w:val="182172C5"/>
    <w:rsid w:val="18240320"/>
    <w:rsid w:val="18A230A3"/>
    <w:rsid w:val="18BC6F05"/>
    <w:rsid w:val="18E954B4"/>
    <w:rsid w:val="192D0BBE"/>
    <w:rsid w:val="1A390833"/>
    <w:rsid w:val="1B1A0F11"/>
    <w:rsid w:val="1B204976"/>
    <w:rsid w:val="1B7C2DBF"/>
    <w:rsid w:val="1C6B39BE"/>
    <w:rsid w:val="1CBA09BB"/>
    <w:rsid w:val="1D2E3157"/>
    <w:rsid w:val="1D400606"/>
    <w:rsid w:val="1D594A9C"/>
    <w:rsid w:val="1DC37DD3"/>
    <w:rsid w:val="1F326FE2"/>
    <w:rsid w:val="1FA5014C"/>
    <w:rsid w:val="1FE25A83"/>
    <w:rsid w:val="1FF45575"/>
    <w:rsid w:val="200247CB"/>
    <w:rsid w:val="204A6BC1"/>
    <w:rsid w:val="20757367"/>
    <w:rsid w:val="20983709"/>
    <w:rsid w:val="222021B9"/>
    <w:rsid w:val="22BB723B"/>
    <w:rsid w:val="23583E82"/>
    <w:rsid w:val="23B07C48"/>
    <w:rsid w:val="250A25E5"/>
    <w:rsid w:val="26105AEF"/>
    <w:rsid w:val="262E47AD"/>
    <w:rsid w:val="26BC4A0A"/>
    <w:rsid w:val="26DE5BEE"/>
    <w:rsid w:val="27201D62"/>
    <w:rsid w:val="27700540"/>
    <w:rsid w:val="279F09D9"/>
    <w:rsid w:val="27A02EA3"/>
    <w:rsid w:val="27DC1F61"/>
    <w:rsid w:val="283E71EE"/>
    <w:rsid w:val="28507441"/>
    <w:rsid w:val="28B673D6"/>
    <w:rsid w:val="29455AB0"/>
    <w:rsid w:val="29790F3B"/>
    <w:rsid w:val="297E64F9"/>
    <w:rsid w:val="29833A9C"/>
    <w:rsid w:val="29C94933"/>
    <w:rsid w:val="2A1A59A4"/>
    <w:rsid w:val="2BCD020C"/>
    <w:rsid w:val="2D012636"/>
    <w:rsid w:val="2D0B0DBF"/>
    <w:rsid w:val="2D177764"/>
    <w:rsid w:val="2D535E5B"/>
    <w:rsid w:val="2DB52A8A"/>
    <w:rsid w:val="2E0D2351"/>
    <w:rsid w:val="2EF67098"/>
    <w:rsid w:val="2F120B2A"/>
    <w:rsid w:val="2F9E52CC"/>
    <w:rsid w:val="30797D93"/>
    <w:rsid w:val="30993F38"/>
    <w:rsid w:val="30B70026"/>
    <w:rsid w:val="30D556F9"/>
    <w:rsid w:val="30F23291"/>
    <w:rsid w:val="311477D8"/>
    <w:rsid w:val="316F516B"/>
    <w:rsid w:val="3173557B"/>
    <w:rsid w:val="32333292"/>
    <w:rsid w:val="32CF5408"/>
    <w:rsid w:val="32E97DF4"/>
    <w:rsid w:val="32EE540A"/>
    <w:rsid w:val="32F10A57"/>
    <w:rsid w:val="332A36B5"/>
    <w:rsid w:val="337922F1"/>
    <w:rsid w:val="33A62102"/>
    <w:rsid w:val="34480F06"/>
    <w:rsid w:val="34851C66"/>
    <w:rsid w:val="34FE4F26"/>
    <w:rsid w:val="35643762"/>
    <w:rsid w:val="361B6516"/>
    <w:rsid w:val="366627E2"/>
    <w:rsid w:val="37A95DA4"/>
    <w:rsid w:val="37C87FD8"/>
    <w:rsid w:val="39181A9C"/>
    <w:rsid w:val="392E47B3"/>
    <w:rsid w:val="39306175"/>
    <w:rsid w:val="39572DFC"/>
    <w:rsid w:val="398B226D"/>
    <w:rsid w:val="3A601EC6"/>
    <w:rsid w:val="3A704957"/>
    <w:rsid w:val="3AAB61BC"/>
    <w:rsid w:val="3ACB6B19"/>
    <w:rsid w:val="3B0D21A6"/>
    <w:rsid w:val="3B227EA4"/>
    <w:rsid w:val="3B6B4C83"/>
    <w:rsid w:val="3BFE10B5"/>
    <w:rsid w:val="3C3A7F31"/>
    <w:rsid w:val="3C610A34"/>
    <w:rsid w:val="3CE0703B"/>
    <w:rsid w:val="3D87623F"/>
    <w:rsid w:val="3DD75419"/>
    <w:rsid w:val="3DF104C0"/>
    <w:rsid w:val="3E1E46AB"/>
    <w:rsid w:val="3E217F69"/>
    <w:rsid w:val="3E375879"/>
    <w:rsid w:val="3E5C5FE9"/>
    <w:rsid w:val="3FA736DE"/>
    <w:rsid w:val="403C6755"/>
    <w:rsid w:val="40586684"/>
    <w:rsid w:val="41474664"/>
    <w:rsid w:val="41756634"/>
    <w:rsid w:val="41FD4E8B"/>
    <w:rsid w:val="426377C2"/>
    <w:rsid w:val="429702FD"/>
    <w:rsid w:val="42F223AD"/>
    <w:rsid w:val="42F26727"/>
    <w:rsid w:val="431E3A97"/>
    <w:rsid w:val="43645797"/>
    <w:rsid w:val="4436276D"/>
    <w:rsid w:val="445D7CFA"/>
    <w:rsid w:val="45737BDF"/>
    <w:rsid w:val="45BB117C"/>
    <w:rsid w:val="46A460B4"/>
    <w:rsid w:val="46E50C5D"/>
    <w:rsid w:val="473272FF"/>
    <w:rsid w:val="47633879"/>
    <w:rsid w:val="47D253E2"/>
    <w:rsid w:val="47EF5488"/>
    <w:rsid w:val="48295CD0"/>
    <w:rsid w:val="48853CC3"/>
    <w:rsid w:val="49C53584"/>
    <w:rsid w:val="49CD40D5"/>
    <w:rsid w:val="4A203CA4"/>
    <w:rsid w:val="4A353642"/>
    <w:rsid w:val="4B650DC4"/>
    <w:rsid w:val="4B7A3887"/>
    <w:rsid w:val="4BA12E78"/>
    <w:rsid w:val="4C013655"/>
    <w:rsid w:val="4D690E27"/>
    <w:rsid w:val="4D6D5452"/>
    <w:rsid w:val="4E352352"/>
    <w:rsid w:val="4E434405"/>
    <w:rsid w:val="4E726A98"/>
    <w:rsid w:val="4E881E17"/>
    <w:rsid w:val="4EB470B0"/>
    <w:rsid w:val="4EE76C69"/>
    <w:rsid w:val="4EF9611F"/>
    <w:rsid w:val="4F2A1121"/>
    <w:rsid w:val="4F911760"/>
    <w:rsid w:val="4FA602F0"/>
    <w:rsid w:val="4FAD35F3"/>
    <w:rsid w:val="4FC60521"/>
    <w:rsid w:val="4FC6709B"/>
    <w:rsid w:val="500831FE"/>
    <w:rsid w:val="50291A6D"/>
    <w:rsid w:val="50316F07"/>
    <w:rsid w:val="503A5393"/>
    <w:rsid w:val="50546455"/>
    <w:rsid w:val="5063318C"/>
    <w:rsid w:val="50CF3D2E"/>
    <w:rsid w:val="50F934A0"/>
    <w:rsid w:val="51425954"/>
    <w:rsid w:val="51C810D0"/>
    <w:rsid w:val="51D972B0"/>
    <w:rsid w:val="5229107A"/>
    <w:rsid w:val="52B94C95"/>
    <w:rsid w:val="52CC32A3"/>
    <w:rsid w:val="52FF45DE"/>
    <w:rsid w:val="53193837"/>
    <w:rsid w:val="531F75B0"/>
    <w:rsid w:val="538057B3"/>
    <w:rsid w:val="53AC47FA"/>
    <w:rsid w:val="53CF1414"/>
    <w:rsid w:val="53D31D87"/>
    <w:rsid w:val="54E43158"/>
    <w:rsid w:val="54FC0E51"/>
    <w:rsid w:val="55CD4BC0"/>
    <w:rsid w:val="56C94028"/>
    <w:rsid w:val="56D34CC0"/>
    <w:rsid w:val="57CB7753"/>
    <w:rsid w:val="58931AE5"/>
    <w:rsid w:val="58E10AA2"/>
    <w:rsid w:val="592A44C4"/>
    <w:rsid w:val="596D621F"/>
    <w:rsid w:val="5A55521F"/>
    <w:rsid w:val="5AA21673"/>
    <w:rsid w:val="5B58092E"/>
    <w:rsid w:val="5CED2431"/>
    <w:rsid w:val="5D214A5E"/>
    <w:rsid w:val="5DBF674B"/>
    <w:rsid w:val="5DC944B4"/>
    <w:rsid w:val="5EC073AC"/>
    <w:rsid w:val="5EEF6167"/>
    <w:rsid w:val="5F1C2437"/>
    <w:rsid w:val="5F9C4984"/>
    <w:rsid w:val="5FA52B88"/>
    <w:rsid w:val="6045496F"/>
    <w:rsid w:val="60EE1FAE"/>
    <w:rsid w:val="61091396"/>
    <w:rsid w:val="610B1F6E"/>
    <w:rsid w:val="616D3FE4"/>
    <w:rsid w:val="61880D08"/>
    <w:rsid w:val="61E6263A"/>
    <w:rsid w:val="62682234"/>
    <w:rsid w:val="62B22FEC"/>
    <w:rsid w:val="62E23B7D"/>
    <w:rsid w:val="63E43B3C"/>
    <w:rsid w:val="642503DD"/>
    <w:rsid w:val="642D09F0"/>
    <w:rsid w:val="64A77044"/>
    <w:rsid w:val="65654809"/>
    <w:rsid w:val="657B0E14"/>
    <w:rsid w:val="658904F7"/>
    <w:rsid w:val="660B1EDD"/>
    <w:rsid w:val="662A7F2C"/>
    <w:rsid w:val="664C4D8A"/>
    <w:rsid w:val="6721173E"/>
    <w:rsid w:val="67E47720"/>
    <w:rsid w:val="67F95ED8"/>
    <w:rsid w:val="68025740"/>
    <w:rsid w:val="68394457"/>
    <w:rsid w:val="68637551"/>
    <w:rsid w:val="687A5E9B"/>
    <w:rsid w:val="68D47B83"/>
    <w:rsid w:val="69513A22"/>
    <w:rsid w:val="69DA2765"/>
    <w:rsid w:val="69E71C90"/>
    <w:rsid w:val="69F44299"/>
    <w:rsid w:val="6A4900C4"/>
    <w:rsid w:val="6AC344AB"/>
    <w:rsid w:val="6AC8467F"/>
    <w:rsid w:val="6B532CD0"/>
    <w:rsid w:val="6B556706"/>
    <w:rsid w:val="6BE77E8A"/>
    <w:rsid w:val="6BF44EAF"/>
    <w:rsid w:val="6CE55DEA"/>
    <w:rsid w:val="6CF062D3"/>
    <w:rsid w:val="6DF10A88"/>
    <w:rsid w:val="6F080727"/>
    <w:rsid w:val="6FD607DD"/>
    <w:rsid w:val="70C112AB"/>
    <w:rsid w:val="7164117D"/>
    <w:rsid w:val="71AA7714"/>
    <w:rsid w:val="720F6228"/>
    <w:rsid w:val="725E4ABA"/>
    <w:rsid w:val="72A0354C"/>
    <w:rsid w:val="72BE0029"/>
    <w:rsid w:val="7318735E"/>
    <w:rsid w:val="73BE3A62"/>
    <w:rsid w:val="73DE0228"/>
    <w:rsid w:val="73F20825"/>
    <w:rsid w:val="743B3304"/>
    <w:rsid w:val="75A91E7D"/>
    <w:rsid w:val="75B21E95"/>
    <w:rsid w:val="75E14A34"/>
    <w:rsid w:val="75EB1C30"/>
    <w:rsid w:val="76DD4B47"/>
    <w:rsid w:val="770C1BD5"/>
    <w:rsid w:val="777728A5"/>
    <w:rsid w:val="77F162D0"/>
    <w:rsid w:val="781771A2"/>
    <w:rsid w:val="788E7FD5"/>
    <w:rsid w:val="78B673FD"/>
    <w:rsid w:val="79226841"/>
    <w:rsid w:val="793B4DAE"/>
    <w:rsid w:val="799C2A97"/>
    <w:rsid w:val="7A42371D"/>
    <w:rsid w:val="7B0A1B69"/>
    <w:rsid w:val="7B59255B"/>
    <w:rsid w:val="7BC450DC"/>
    <w:rsid w:val="7BF87D2D"/>
    <w:rsid w:val="7C286864"/>
    <w:rsid w:val="7C6463B8"/>
    <w:rsid w:val="7C89012C"/>
    <w:rsid w:val="7D34105D"/>
    <w:rsid w:val="7D631882"/>
    <w:rsid w:val="7E21356B"/>
    <w:rsid w:val="7E25725A"/>
    <w:rsid w:val="7E2B66DB"/>
    <w:rsid w:val="7E5C45A3"/>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5"/>
    <w:qFormat/>
    <w:uiPriority w:val="0"/>
    <w:pPr>
      <w:keepNext/>
      <w:keepLines/>
      <w:spacing w:before="340" w:after="330" w:line="578" w:lineRule="auto"/>
      <w:outlineLvl w:val="0"/>
    </w:pPr>
    <w:rPr>
      <w:b/>
      <w:bCs/>
      <w:kern w:val="44"/>
      <w:sz w:val="44"/>
      <w:szCs w:val="44"/>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unhideWhenUsed/>
    <w:qFormat/>
    <w:uiPriority w:val="35"/>
    <w:rPr>
      <w:rFonts w:eastAsia="黑体" w:asciiTheme="majorHAnsi" w:hAnsiTheme="majorHAnsi" w:cstheme="majorBidi"/>
      <w:szCs w:val="20"/>
    </w:rPr>
  </w:style>
  <w:style w:type="paragraph" w:styleId="4">
    <w:name w:val="annotation text"/>
    <w:basedOn w:val="1"/>
    <w:link w:val="39"/>
    <w:qFormat/>
    <w:uiPriority w:val="0"/>
    <w:pPr>
      <w:jc w:val="left"/>
    </w:pPr>
  </w:style>
  <w:style w:type="paragraph" w:styleId="5">
    <w:name w:val="toc 3"/>
    <w:basedOn w:val="1"/>
    <w:next w:val="1"/>
    <w:unhideWhenUsed/>
    <w:qFormat/>
    <w:uiPriority w:val="39"/>
    <w:pPr>
      <w:widowControl/>
      <w:spacing w:after="100" w:line="259" w:lineRule="auto"/>
      <w:ind w:left="440"/>
      <w:jc w:val="left"/>
    </w:pPr>
    <w:rPr>
      <w:rFonts w:cs="Times New Roman"/>
      <w:kern w:val="0"/>
      <w:sz w:val="22"/>
    </w:rPr>
  </w:style>
  <w:style w:type="paragraph" w:styleId="6">
    <w:name w:val="Balloon Text"/>
    <w:basedOn w:val="1"/>
    <w:link w:val="43"/>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annotation subject"/>
    <w:basedOn w:val="4"/>
    <w:next w:val="4"/>
    <w:link w:val="40"/>
    <w:qFormat/>
    <w:uiPriority w:val="0"/>
    <w:rPr>
      <w:b/>
      <w:bCs/>
    </w:rPr>
  </w:style>
  <w:style w:type="table" w:styleId="13">
    <w:name w:val="Table Grid"/>
    <w:basedOn w:val="12"/>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Strong"/>
    <w:basedOn w:val="14"/>
    <w:qFormat/>
    <w:uiPriority w:val="0"/>
    <w:rPr>
      <w:b/>
    </w:rPr>
  </w:style>
  <w:style w:type="character" w:styleId="16">
    <w:name w:val="annotation reference"/>
    <w:basedOn w:val="14"/>
    <w:qFormat/>
    <w:uiPriority w:val="0"/>
    <w:rPr>
      <w:sz w:val="21"/>
      <w:szCs w:val="21"/>
    </w:rPr>
  </w:style>
  <w:style w:type="paragraph" w:customStyle="1" w:styleId="17">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8">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9">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2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1">
    <w:name w:val="封面标准英文名称"/>
    <w:basedOn w:val="20"/>
    <w:qFormat/>
    <w:uiPriority w:val="0"/>
    <w:pPr>
      <w:framePr w:wrap="around"/>
      <w:spacing w:before="370" w:line="400" w:lineRule="exact"/>
    </w:pPr>
    <w:rPr>
      <w:rFonts w:ascii="Times New Roman"/>
      <w:sz w:val="28"/>
      <w:szCs w:val="28"/>
    </w:rPr>
  </w:style>
  <w:style w:type="paragraph" w:customStyle="1" w:styleId="22">
    <w:name w:val="封面一致性程度标识"/>
    <w:basedOn w:val="21"/>
    <w:qFormat/>
    <w:uiPriority w:val="0"/>
    <w:pPr>
      <w:framePr w:wrap="around"/>
      <w:spacing w:before="440"/>
    </w:pPr>
    <w:rPr>
      <w:rFonts w:ascii="宋体" w:eastAsia="宋体"/>
    </w:rPr>
  </w:style>
  <w:style w:type="paragraph" w:customStyle="1" w:styleId="23">
    <w:name w:val="封面标准文稿类别"/>
    <w:basedOn w:val="22"/>
    <w:qFormat/>
    <w:uiPriority w:val="0"/>
    <w:pPr>
      <w:framePr w:wrap="around"/>
      <w:spacing w:after="160" w:line="240" w:lineRule="auto"/>
    </w:pPr>
    <w:rPr>
      <w:sz w:val="24"/>
    </w:rPr>
  </w:style>
  <w:style w:type="paragraph" w:customStyle="1" w:styleId="24">
    <w:name w:val="封面标准文稿编辑信息"/>
    <w:basedOn w:val="23"/>
    <w:qFormat/>
    <w:uiPriority w:val="0"/>
    <w:pPr>
      <w:framePr w:wrap="around"/>
      <w:spacing w:before="180" w:line="180" w:lineRule="exact"/>
    </w:pPr>
    <w:rPr>
      <w:sz w:val="21"/>
    </w:rPr>
  </w:style>
  <w:style w:type="paragraph" w:customStyle="1" w:styleId="25">
    <w:name w:val="其他发布部门"/>
    <w:basedOn w:val="26"/>
    <w:qFormat/>
    <w:uiPriority w:val="0"/>
    <w:pPr>
      <w:framePr w:wrap="around" w:y="15310"/>
      <w:spacing w:line="0" w:lineRule="atLeast"/>
    </w:pPr>
    <w:rPr>
      <w:rFonts w:ascii="黑体" w:eastAsia="黑体"/>
      <w:b w:val="0"/>
    </w:rPr>
  </w:style>
  <w:style w:type="paragraph" w:customStyle="1" w:styleId="26">
    <w:name w:val="发布部门"/>
    <w:next w:val="2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2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8">
    <w:name w:val="发布"/>
    <w:basedOn w:val="14"/>
    <w:qFormat/>
    <w:uiPriority w:val="0"/>
    <w:rPr>
      <w:rFonts w:ascii="黑体" w:eastAsia="黑体"/>
      <w:spacing w:val="85"/>
      <w:w w:val="100"/>
      <w:position w:val="3"/>
      <w:sz w:val="28"/>
      <w:szCs w:val="28"/>
    </w:rPr>
  </w:style>
  <w:style w:type="paragraph" w:customStyle="1" w:styleId="29">
    <w:name w:val="其他发布日期"/>
    <w:basedOn w:val="30"/>
    <w:qFormat/>
    <w:uiPriority w:val="0"/>
    <w:pPr>
      <w:framePr w:wrap="around" w:vAnchor="page" w:hAnchor="text" w:x="1419"/>
    </w:pPr>
  </w:style>
  <w:style w:type="paragraph" w:customStyle="1" w:styleId="3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31">
    <w:name w:val="其他实施日期"/>
    <w:basedOn w:val="32"/>
    <w:qFormat/>
    <w:uiPriority w:val="0"/>
    <w:pPr>
      <w:framePr w:wrap="around"/>
    </w:pPr>
  </w:style>
  <w:style w:type="paragraph" w:customStyle="1" w:styleId="32">
    <w:name w:val="实施日期"/>
    <w:basedOn w:val="30"/>
    <w:qFormat/>
    <w:uiPriority w:val="0"/>
    <w:pPr>
      <w:framePr w:wrap="around" w:vAnchor="page" w:hAnchor="text"/>
      <w:jc w:val="right"/>
    </w:pPr>
  </w:style>
  <w:style w:type="paragraph" w:customStyle="1" w:styleId="3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35">
    <w:name w:val="WPSOffice手动目录 1"/>
    <w:qFormat/>
    <w:uiPriority w:val="0"/>
    <w:rPr>
      <w:rFonts w:asciiTheme="minorHAnsi" w:hAnsiTheme="minorHAnsi" w:eastAsiaTheme="minorEastAsia" w:cstheme="minorBidi"/>
      <w:lang w:val="en-US" w:eastAsia="zh-CN" w:bidi="ar-SA"/>
    </w:rPr>
  </w:style>
  <w:style w:type="paragraph" w:customStyle="1" w:styleId="36">
    <w:name w:val="WPSOffice手动目录 2"/>
    <w:qFormat/>
    <w:uiPriority w:val="0"/>
    <w:pPr>
      <w:ind w:left="200" w:leftChars="200"/>
    </w:pPr>
    <w:rPr>
      <w:rFonts w:asciiTheme="minorHAnsi" w:hAnsiTheme="minorHAnsi" w:eastAsiaTheme="minorEastAsia" w:cstheme="minorBidi"/>
      <w:lang w:val="en-US" w:eastAsia="zh-CN" w:bidi="ar-SA"/>
    </w:rPr>
  </w:style>
  <w:style w:type="paragraph" w:styleId="37">
    <w:name w:val="List Paragraph"/>
    <w:basedOn w:val="1"/>
    <w:qFormat/>
    <w:uiPriority w:val="99"/>
    <w:pPr>
      <w:ind w:firstLine="420" w:firstLineChars="200"/>
    </w:pPr>
  </w:style>
  <w:style w:type="paragraph" w:customStyle="1" w:styleId="38">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9">
    <w:name w:val="批注文字 字符"/>
    <w:basedOn w:val="14"/>
    <w:link w:val="4"/>
    <w:qFormat/>
    <w:uiPriority w:val="0"/>
    <w:rPr>
      <w:rFonts w:asciiTheme="minorHAnsi" w:hAnsiTheme="minorHAnsi" w:eastAsiaTheme="minorEastAsia" w:cstheme="minorBidi"/>
      <w:kern w:val="2"/>
      <w:sz w:val="21"/>
      <w:szCs w:val="22"/>
    </w:rPr>
  </w:style>
  <w:style w:type="character" w:customStyle="1" w:styleId="40">
    <w:name w:val="批注主题 字符"/>
    <w:basedOn w:val="39"/>
    <w:link w:val="11"/>
    <w:qFormat/>
    <w:uiPriority w:val="0"/>
    <w:rPr>
      <w:rFonts w:asciiTheme="minorHAnsi" w:hAnsiTheme="minorHAnsi" w:eastAsiaTheme="minorEastAsia" w:cstheme="minorBidi"/>
      <w:b/>
      <w:bCs/>
      <w:kern w:val="2"/>
      <w:sz w:val="21"/>
      <w:szCs w:val="22"/>
    </w:rPr>
  </w:style>
  <w:style w:type="paragraph" w:customStyle="1" w:styleId="41">
    <w:name w:val="MTDisplayEquation"/>
    <w:basedOn w:val="1"/>
    <w:next w:val="1"/>
    <w:qFormat/>
    <w:uiPriority w:val="0"/>
    <w:pPr>
      <w:widowControl/>
      <w:tabs>
        <w:tab w:val="center" w:pos="4160"/>
        <w:tab w:val="right" w:pos="8300"/>
      </w:tabs>
      <w:spacing w:line="360" w:lineRule="auto"/>
      <w:jc w:val="center"/>
    </w:pPr>
  </w:style>
  <w:style w:type="table" w:customStyle="1" w:styleId="42">
    <w:name w:val="网格型1"/>
    <w:basedOn w:val="12"/>
    <w:qFormat/>
    <w:uiPriority w:val="39"/>
    <w:rPr>
      <w:rFonts w:eastAsia="等线"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3">
    <w:name w:val="批注框文本 字符"/>
    <w:basedOn w:val="14"/>
    <w:link w:val="6"/>
    <w:qFormat/>
    <w:uiPriority w:val="0"/>
    <w:rPr>
      <w:rFonts w:asciiTheme="minorHAnsi" w:hAnsiTheme="minorHAnsi" w:eastAsiaTheme="minorEastAsia" w:cstheme="minorBidi"/>
      <w:kern w:val="2"/>
      <w:sz w:val="18"/>
      <w:szCs w:val="18"/>
    </w:rPr>
  </w:style>
  <w:style w:type="character" w:styleId="44">
    <w:name w:val="Placeholder Text"/>
    <w:basedOn w:val="14"/>
    <w:semiHidden/>
    <w:qFormat/>
    <w:uiPriority w:val="99"/>
    <w:rPr>
      <w:color w:val="808080"/>
    </w:rPr>
  </w:style>
  <w:style w:type="character" w:customStyle="1" w:styleId="45">
    <w:name w:val="标题 1 字符"/>
    <w:basedOn w:val="14"/>
    <w:link w:val="2"/>
    <w:qFormat/>
    <w:uiPriority w:val="0"/>
    <w:rPr>
      <w:rFonts w:asciiTheme="minorHAnsi" w:hAnsiTheme="minorHAnsi" w:eastAsiaTheme="minorEastAsia" w:cstheme="minorBidi"/>
      <w:b/>
      <w:bCs/>
      <w:kern w:val="44"/>
      <w:sz w:val="44"/>
      <w:szCs w:val="44"/>
    </w:rPr>
  </w:style>
  <w:style w:type="paragraph" w:customStyle="1" w:styleId="4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54A1"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7" Type="http://schemas.openxmlformats.org/officeDocument/2006/relationships/fontTable" Target="fontTable.xml"/><Relationship Id="rId56" Type="http://schemas.openxmlformats.org/officeDocument/2006/relationships/customXml" Target="../customXml/item2.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24.jpeg"/><Relationship Id="rId52" Type="http://schemas.openxmlformats.org/officeDocument/2006/relationships/image" Target="media/image23.wmf"/><Relationship Id="rId51" Type="http://schemas.openxmlformats.org/officeDocument/2006/relationships/oleObject" Target="embeddings/oleObject20.bin"/><Relationship Id="rId50" Type="http://schemas.openxmlformats.org/officeDocument/2006/relationships/image" Target="media/image22.wmf"/><Relationship Id="rId5" Type="http://schemas.openxmlformats.org/officeDocument/2006/relationships/footer" Target="footer1.xml"/><Relationship Id="rId49" Type="http://schemas.openxmlformats.org/officeDocument/2006/relationships/oleObject" Target="embeddings/oleObject19.bin"/><Relationship Id="rId48" Type="http://schemas.openxmlformats.org/officeDocument/2006/relationships/image" Target="media/image21.wmf"/><Relationship Id="rId47" Type="http://schemas.openxmlformats.org/officeDocument/2006/relationships/oleObject" Target="embeddings/oleObject18.bin"/><Relationship Id="rId46" Type="http://schemas.openxmlformats.org/officeDocument/2006/relationships/image" Target="media/image20.wmf"/><Relationship Id="rId45" Type="http://schemas.openxmlformats.org/officeDocument/2006/relationships/oleObject" Target="embeddings/oleObject17.bin"/><Relationship Id="rId44" Type="http://schemas.openxmlformats.org/officeDocument/2006/relationships/image" Target="media/image19.wmf"/><Relationship Id="rId43" Type="http://schemas.openxmlformats.org/officeDocument/2006/relationships/oleObject" Target="embeddings/oleObject16.bin"/><Relationship Id="rId42" Type="http://schemas.openxmlformats.org/officeDocument/2006/relationships/image" Target="media/image18.wmf"/><Relationship Id="rId41" Type="http://schemas.openxmlformats.org/officeDocument/2006/relationships/oleObject" Target="embeddings/oleObject15.bin"/><Relationship Id="rId40" Type="http://schemas.openxmlformats.org/officeDocument/2006/relationships/image" Target="media/image17.wmf"/><Relationship Id="rId4" Type="http://schemas.openxmlformats.org/officeDocument/2006/relationships/header" Target="header2.xml"/><Relationship Id="rId39" Type="http://schemas.openxmlformats.org/officeDocument/2006/relationships/oleObject" Target="embeddings/oleObject14.bin"/><Relationship Id="rId38" Type="http://schemas.openxmlformats.org/officeDocument/2006/relationships/image" Target="media/image16.wmf"/><Relationship Id="rId37" Type="http://schemas.openxmlformats.org/officeDocument/2006/relationships/oleObject" Target="embeddings/oleObject13.bin"/><Relationship Id="rId36" Type="http://schemas.openxmlformats.org/officeDocument/2006/relationships/image" Target="media/image15.wmf"/><Relationship Id="rId35" Type="http://schemas.openxmlformats.org/officeDocument/2006/relationships/oleObject" Target="embeddings/oleObject12.bin"/><Relationship Id="rId34" Type="http://schemas.openxmlformats.org/officeDocument/2006/relationships/image" Target="media/image14.wmf"/><Relationship Id="rId33" Type="http://schemas.openxmlformats.org/officeDocument/2006/relationships/oleObject" Target="embeddings/oleObject11.bin"/><Relationship Id="rId32" Type="http://schemas.openxmlformats.org/officeDocument/2006/relationships/image" Target="media/image13.wmf"/><Relationship Id="rId31" Type="http://schemas.openxmlformats.org/officeDocument/2006/relationships/oleObject" Target="embeddings/oleObject10.bin"/><Relationship Id="rId30" Type="http://schemas.openxmlformats.org/officeDocument/2006/relationships/image" Target="media/image12.wmf"/><Relationship Id="rId3" Type="http://schemas.openxmlformats.org/officeDocument/2006/relationships/header" Target="header1.xml"/><Relationship Id="rId29" Type="http://schemas.openxmlformats.org/officeDocument/2006/relationships/oleObject" Target="embeddings/oleObject9.bin"/><Relationship Id="rId28" Type="http://schemas.openxmlformats.org/officeDocument/2006/relationships/image" Target="media/image11.wmf"/><Relationship Id="rId27" Type="http://schemas.openxmlformats.org/officeDocument/2006/relationships/oleObject" Target="embeddings/oleObject8.bin"/><Relationship Id="rId26" Type="http://schemas.openxmlformats.org/officeDocument/2006/relationships/image" Target="media/image10.wmf"/><Relationship Id="rId25" Type="http://schemas.openxmlformats.org/officeDocument/2006/relationships/oleObject" Target="embeddings/oleObject7.bin"/><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wmf"/><Relationship Id="rId21" Type="http://schemas.openxmlformats.org/officeDocument/2006/relationships/oleObject" Target="embeddings/oleObject6.bin"/><Relationship Id="rId20" Type="http://schemas.openxmlformats.org/officeDocument/2006/relationships/image" Target="media/image6.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5.wmf"/><Relationship Id="rId17" Type="http://schemas.openxmlformats.org/officeDocument/2006/relationships/oleObject" Target="embeddings/oleObject4.bin"/><Relationship Id="rId16" Type="http://schemas.openxmlformats.org/officeDocument/2006/relationships/image" Target="media/image4.wmf"/><Relationship Id="rId15" Type="http://schemas.openxmlformats.org/officeDocument/2006/relationships/oleObject" Target="embeddings/oleObject3.bin"/><Relationship Id="rId14" Type="http://schemas.openxmlformats.org/officeDocument/2006/relationships/image" Target="media/image3.wmf"/><Relationship Id="rId13" Type="http://schemas.openxmlformats.org/officeDocument/2006/relationships/oleObject" Target="embeddings/oleObject2.bin"/><Relationship Id="rId12" Type="http://schemas.openxmlformats.org/officeDocument/2006/relationships/image" Target="media/image2.w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324C80-92B0-4214-A530-47403F9A7939}">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12452</Words>
  <Characters>14862</Characters>
  <Lines>257</Lines>
  <Paragraphs>72</Paragraphs>
  <TotalTime>0</TotalTime>
  <ScaleCrop>false</ScaleCrop>
  <LinksUpToDate>false</LinksUpToDate>
  <CharactersWithSpaces>16167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2024-10-14T02:42:00Z</dcterms:created>
  <dc:creator>qzuser</dc:creator>
  <cp:lastModifiedBy>田小野</cp:lastModifiedBy>
  <dcterms:modified xsi:type="dcterms:W3CDTF">2024-10-24T02:22:21Z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5F13EFDF72654292A3B8CF0C843ED6A6</vt:lpwstr>
  </property>
  <property fmtid="{D5CDD505-2E9C-101B-9397-08002B2CF9AE}" pid="4" name="MTWinEqns">
    <vt:bool>true</vt:bool>
  </property>
</Properties>
</file>