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cs="宋体"/>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备案号：</w:t>
      </w:r>
      <w:r>
        <w:rPr>
          <w:rFonts w:hint="eastAsia" w:ascii="宋体" w:hAnsi="宋体" w:cs="宋体"/>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w:t>
      </w:r>
    </w:p>
    <w:p>
      <w:pPr>
        <w:rPr>
          <w:color w:val="000000" w:themeColor="text1"/>
          <w:sz w:val="28"/>
          <w:szCs w:val="28"/>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66432" behindDoc="0" locked="0" layoutInCell="1" allowOverlap="1">
            <wp:simplePos x="0" y="0"/>
            <wp:positionH relativeFrom="column">
              <wp:posOffset>4686300</wp:posOffset>
            </wp:positionH>
            <wp:positionV relativeFrom="paragraph">
              <wp:posOffset>58420</wp:posOffset>
            </wp:positionV>
            <wp:extent cx="1028700" cy="693420"/>
            <wp:effectExtent l="0" t="0" r="0" b="0"/>
            <wp:wrapNone/>
            <wp:docPr id="18119977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997752"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028700" cy="693420"/>
                    </a:xfrm>
                    <a:prstGeom prst="rect">
                      <a:avLst/>
                    </a:prstGeom>
                    <a:noFill/>
                    <a:ln>
                      <a:noFill/>
                    </a:ln>
                  </pic:spPr>
                </pic:pic>
              </a:graphicData>
            </a:graphic>
          </wp:anchor>
        </w:drawing>
      </w:r>
    </w:p>
    <w:p>
      <w:pPr>
        <w:jc w:val="center"/>
        <w:rPr>
          <w:rFonts w:ascii="黑体" w:eastAsia="黑体"/>
          <w:color w:val="000000" w:themeColor="text1"/>
          <w:sz w:val="40"/>
          <w14:textFill>
            <w14:solidFill>
              <w14:schemeClr w14:val="tx1"/>
            </w14:solidFill>
          </w14:textFill>
        </w:rPr>
      </w:pPr>
      <w:r>
        <w:rPr>
          <w:rFonts w:hint="eastAsia" w:ascii="黑体" w:eastAsia="黑体"/>
          <w:color w:val="000000" w:themeColor="text1"/>
          <w:sz w:val="40"/>
          <w14:textFill>
            <w14:solidFill>
              <w14:schemeClr w14:val="tx1"/>
            </w14:solidFill>
          </w14:textFill>
        </w:rPr>
        <w:t xml:space="preserve">中华人民共和国化工行业标准 </w:t>
      </w:r>
    </w:p>
    <w:p>
      <w:pPr>
        <w:jc w:val="right"/>
        <w:rPr>
          <w:rFonts w:ascii="黑体" w:eastAsia="黑体"/>
          <w:color w:val="000000" w:themeColor="text1"/>
          <w14:textFill>
            <w14:solidFill>
              <w14:schemeClr w14:val="tx1"/>
            </w14:solidFill>
          </w14:textFill>
        </w:rPr>
      </w:pPr>
    </w:p>
    <w:p>
      <w:pPr>
        <w:jc w:val="center"/>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14:textFill>
            <w14:solidFill>
              <w14:schemeClr w14:val="tx1"/>
            </w14:solidFill>
          </w14:textFill>
        </w:rPr>
        <w:t xml:space="preserve">                                                 </w:t>
      </w:r>
      <w:r>
        <w:rPr>
          <w:rFonts w:hint="eastAsia" w:ascii="黑体" w:eastAsia="黑体"/>
          <w:color w:val="000000" w:themeColor="text1"/>
          <w:sz w:val="32"/>
          <w:szCs w:val="32"/>
          <w14:textFill>
            <w14:solidFill>
              <w14:schemeClr w14:val="tx1"/>
            </w14:solidFill>
          </w14:textFill>
        </w:rPr>
        <w:t xml:space="preserve"> HG/T ×××××—20</w:t>
      </w:r>
      <w:r>
        <w:rPr>
          <w:rFonts w:ascii="黑体" w:eastAsia="黑体"/>
          <w:color w:val="000000" w:themeColor="text1"/>
          <w:sz w:val="32"/>
          <w:szCs w:val="32"/>
          <w14:textFill>
            <w14:solidFill>
              <w14:schemeClr w14:val="tx1"/>
            </w14:solidFill>
          </w14:textFill>
        </w:rPr>
        <w:t>2</w:t>
      </w:r>
      <w:r>
        <w:rPr>
          <w:rFonts w:hint="eastAsia" w:ascii="黑体" w:eastAsia="黑体"/>
          <w:color w:val="000000" w:themeColor="text1"/>
          <w:sz w:val="32"/>
          <w:szCs w:val="32"/>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-14605</wp:posOffset>
                </wp:positionH>
                <wp:positionV relativeFrom="paragraph">
                  <wp:posOffset>8255</wp:posOffset>
                </wp:positionV>
                <wp:extent cx="5767070" cy="635"/>
                <wp:effectExtent l="19050" t="24765" r="24130" b="22225"/>
                <wp:wrapNone/>
                <wp:docPr id="1225902920"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767070" cy="635"/>
                        </a:xfrm>
                        <a:prstGeom prst="line">
                          <a:avLst/>
                        </a:prstGeom>
                        <a:noFill/>
                        <a:ln w="38100">
                          <a:solidFill>
                            <a:srgbClr val="000000"/>
                          </a:solidFill>
                          <a:round/>
                        </a:ln>
                      </wps:spPr>
                      <wps:bodyPr/>
                    </wps:wsp>
                  </a:graphicData>
                </a:graphic>
              </wp:anchor>
            </w:drawing>
          </mc:Choice>
          <mc:Fallback>
            <w:pict>
              <v:line id="直接连接符 3" o:spid="_x0000_s1026" o:spt="20" style="position:absolute;left:0pt;margin-left:-1.15pt;margin-top:0.65pt;height:0.05pt;width:454.1pt;z-index:251668480;mso-width-relative:page;mso-height-relative:page;" filled="f" stroked="t" coordsize="21600,21600" o:gfxdata="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5k2z9&#10;0QAAAAYBAAAPAAAAAAAAAAEAIAAAACIAAABkcnMvZG93bnJldi54bWxQSwECFAAUAAAACACHTuJA&#10;J3IHt+8BAAC2AwAADgAAAAAAAAABACAAAAAgAQAAZHJzL2Uyb0RvYy54bWxQSwUGAAAAAAYABgBZ&#10;AQAAgQUAAAAA&#10;">
                <v:fill on="f" focussize="0,0"/>
                <v:stroke weight="3pt" color="#000000" joinstyle="round"/>
                <v:imagedata o:title=""/>
                <o:lock v:ext="edit" aspectratio="f"/>
              </v:line>
            </w:pict>
          </mc:Fallback>
        </mc:AlternateContent>
      </w:r>
    </w:p>
    <w:p>
      <w:pPr>
        <w:rPr>
          <w:color w:val="000000" w:themeColor="text1"/>
          <w14:textFill>
            <w14:solidFill>
              <w14:schemeClr w14:val="tx1"/>
            </w14:solidFill>
          </w14:textFill>
        </w:rPr>
      </w:pPr>
    </w:p>
    <w:p>
      <w:pPr>
        <w:spacing w:before="156" w:beforeLines="50"/>
        <w:jc w:val="center"/>
        <w:rPr>
          <w:rFonts w:ascii="宋体" w:hAnsi="宋体"/>
          <w:b/>
          <w:color w:val="000000" w:themeColor="text1"/>
          <w:sz w:val="52"/>
          <w14:textFill>
            <w14:solidFill>
              <w14:schemeClr w14:val="tx1"/>
            </w14:solidFill>
          </w14:textFill>
        </w:rPr>
      </w:pPr>
      <w:bookmarkStart w:id="0" w:name="_Hlk152858596"/>
      <w:bookmarkStart w:id="1" w:name="_Hlk526840203"/>
      <w:r>
        <w:rPr>
          <w:rFonts w:hint="eastAsia" w:ascii="宋体" w:hAnsi="宋体"/>
          <w:b/>
          <w:color w:val="000000" w:themeColor="text1"/>
          <w:sz w:val="52"/>
          <w14:textFill>
            <w14:solidFill>
              <w14:schemeClr w14:val="tx1"/>
            </w14:solidFill>
          </w14:textFill>
        </w:rPr>
        <w:t>工程基桩自锚测试技术规范</w:t>
      </w:r>
    </w:p>
    <w:bookmarkEnd w:id="0"/>
    <w:p>
      <w:pPr>
        <w:spacing w:before="156" w:beforeLines="50"/>
        <w:jc w:val="center"/>
        <w:rPr>
          <w:color w:val="000000" w:themeColor="text1"/>
          <w:sz w:val="36"/>
          <w14:textFill>
            <w14:solidFill>
              <w14:schemeClr w14:val="tx1"/>
            </w14:solidFill>
          </w14:textFill>
        </w:rPr>
      </w:pPr>
      <w:bookmarkStart w:id="2" w:name="_Hlk152858576"/>
      <w:r>
        <w:rPr>
          <w:color w:val="000000" w:themeColor="text1"/>
          <w:sz w:val="36"/>
          <w14:textFill>
            <w14:solidFill>
              <w14:schemeClr w14:val="tx1"/>
            </w14:solidFill>
          </w14:textFill>
        </w:rPr>
        <w:t>Technical code for self-anchored testing of engineering foundation pile</w:t>
      </w:r>
      <w:bookmarkEnd w:id="1"/>
    </w:p>
    <w:bookmarkEnd w:id="2"/>
    <w:p>
      <w:pPr>
        <w:spacing w:before="156" w:beforeLines="50"/>
        <w:jc w:val="center"/>
        <w:rPr>
          <w:b/>
          <w:color w:val="000000" w:themeColor="text1"/>
          <w:sz w:val="36"/>
          <w:szCs w:val="36"/>
          <w14:textFill>
            <w14:solidFill>
              <w14:schemeClr w14:val="tx1"/>
            </w14:solidFill>
          </w14:textFill>
        </w:rPr>
      </w:pPr>
      <w:r>
        <w:rPr>
          <w:rFonts w:hint="eastAsia"/>
          <w:b/>
          <w:color w:val="000000" w:themeColor="text1"/>
          <w:sz w:val="36"/>
          <w:szCs w:val="36"/>
          <w14:textFill>
            <w14:solidFill>
              <w14:schemeClr w14:val="tx1"/>
            </w14:solidFill>
          </w14:textFill>
        </w:rPr>
        <w:t>（征求意见稿）</w:t>
      </w:r>
    </w:p>
    <w:p>
      <w:pPr>
        <w:jc w:val="cente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rFonts w:ascii="黑体" w:eastAsia="黑体"/>
          <w:color w:val="000000" w:themeColor="text1"/>
          <w14:textFill>
            <w14:solidFill>
              <w14:schemeClr w14:val="tx1"/>
            </w14:solidFill>
          </w14:textFill>
        </w:rPr>
      </w:pPr>
    </w:p>
    <w:p>
      <w:pPr>
        <w:rPr>
          <w:rFonts w:ascii="黑体" w:eastAsia="黑体"/>
          <w:color w:val="000000" w:themeColor="text1"/>
          <w14:textFill>
            <w14:solidFill>
              <w14:schemeClr w14:val="tx1"/>
            </w14:solidFill>
          </w14:textFill>
        </w:rPr>
      </w:pPr>
    </w:p>
    <w:p>
      <w:pPr>
        <w:rPr>
          <w:rFonts w:ascii="黑体" w:eastAsia="黑体"/>
          <w:color w:val="000000" w:themeColor="text1"/>
          <w14:textFill>
            <w14:solidFill>
              <w14:schemeClr w14:val="tx1"/>
            </w14:solidFill>
          </w14:textFill>
        </w:rPr>
      </w:pPr>
    </w:p>
    <w:p>
      <w:pPr>
        <w:rPr>
          <w:rFonts w:ascii="黑体" w:eastAsia="黑体"/>
          <w:color w:val="000000" w:themeColor="text1"/>
          <w14:textFill>
            <w14:solidFill>
              <w14:schemeClr w14:val="tx1"/>
            </w14:solidFill>
          </w14:textFill>
        </w:rPr>
      </w:pPr>
    </w:p>
    <w:p>
      <w:pPr>
        <w:rPr>
          <w:rFonts w:ascii="黑体" w:eastAsia="黑体"/>
          <w:color w:val="000000" w:themeColor="text1"/>
          <w14:textFill>
            <w14:solidFill>
              <w14:schemeClr w14:val="tx1"/>
            </w14:solidFill>
          </w14:textFill>
        </w:rPr>
      </w:pPr>
    </w:p>
    <w:p>
      <w:pPr>
        <w:rPr>
          <w:rFonts w:ascii="黑体" w:eastAsia="黑体"/>
          <w:color w:val="000000" w:themeColor="text1"/>
          <w14:textFill>
            <w14:solidFill>
              <w14:schemeClr w14:val="tx1"/>
            </w14:solidFill>
          </w14:textFill>
        </w:rPr>
      </w:pPr>
    </w:p>
    <w:p>
      <w:pPr>
        <w:rPr>
          <w:rFonts w:ascii="黑体" w:eastAsia="黑体"/>
          <w:color w:val="000000" w:themeColor="text1"/>
          <w14:textFill>
            <w14:solidFill>
              <w14:schemeClr w14:val="tx1"/>
            </w14:solidFill>
          </w14:textFill>
        </w:rPr>
      </w:pPr>
    </w:p>
    <w:p>
      <w:pPr>
        <w:rPr>
          <w:rFonts w:ascii="黑体" w:eastAsia="黑体"/>
          <w:color w:val="000000" w:themeColor="text1"/>
          <w14:textFill>
            <w14:solidFill>
              <w14:schemeClr w14:val="tx1"/>
            </w14:solidFill>
          </w14:textFill>
        </w:rPr>
      </w:pPr>
    </w:p>
    <w:p>
      <w:pPr>
        <w:rPr>
          <w:rFonts w:ascii="黑体" w:eastAsia="黑体"/>
          <w:color w:val="000000" w:themeColor="text1"/>
          <w14:textFill>
            <w14:solidFill>
              <w14:schemeClr w14:val="tx1"/>
            </w14:solidFill>
          </w14:textFill>
        </w:rPr>
      </w:pPr>
    </w:p>
    <w:p>
      <w:pPr>
        <w:rPr>
          <w:rFonts w:ascii="黑体" w:eastAsia="黑体"/>
          <w:color w:val="000000" w:themeColor="text1"/>
          <w14:textFill>
            <w14:solidFill>
              <w14:schemeClr w14:val="tx1"/>
            </w14:solidFill>
          </w14:textFill>
        </w:rPr>
      </w:pPr>
    </w:p>
    <w:p>
      <w:pPr>
        <w:rPr>
          <w:rFonts w:ascii="黑体" w:eastAsia="黑体"/>
          <w:color w:val="000000" w:themeColor="text1"/>
          <w14:textFill>
            <w14:solidFill>
              <w14:schemeClr w14:val="tx1"/>
            </w14:solidFill>
          </w14:textFill>
        </w:rPr>
      </w:pPr>
    </w:p>
    <w:p>
      <w:pPr>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×××—××—××发布           ×××—××—××实施</w:t>
      </w:r>
    </w:p>
    <w:p>
      <w:pPr>
        <w:rPr>
          <w:rFonts w:ascii="黑体" w:eastAsia="黑体"/>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-14605</wp:posOffset>
                </wp:positionH>
                <wp:positionV relativeFrom="paragraph">
                  <wp:posOffset>21590</wp:posOffset>
                </wp:positionV>
                <wp:extent cx="5695950" cy="0"/>
                <wp:effectExtent l="19050" t="19050" r="19050" b="19050"/>
                <wp:wrapNone/>
                <wp:docPr id="2057845335" name="直接连接符 2"/>
                <wp:cNvGraphicFramePr/>
                <a:graphic xmlns:a="http://schemas.openxmlformats.org/drawingml/2006/main">
                  <a:graphicData uri="http://schemas.microsoft.com/office/word/2010/wordprocessingShape">
                    <wps:wsp>
                      <wps:cNvCnPr>
                        <a:cxnSpLocks noChangeShapeType="1"/>
                      </wps:cNvCnPr>
                      <wps:spPr bwMode="auto">
                        <a:xfrm flipV="1">
                          <a:off x="0" y="0"/>
                          <a:ext cx="5695950" cy="0"/>
                        </a:xfrm>
                        <a:prstGeom prst="line">
                          <a:avLst/>
                        </a:prstGeom>
                        <a:noFill/>
                        <a:ln w="38100">
                          <a:solidFill>
                            <a:srgbClr val="000000"/>
                          </a:solidFill>
                          <a:round/>
                        </a:ln>
                      </wps:spPr>
                      <wps:bodyPr/>
                    </wps:wsp>
                  </a:graphicData>
                </a:graphic>
              </wp:anchor>
            </w:drawing>
          </mc:Choice>
          <mc:Fallback>
            <w:pict>
              <v:line id="直接连接符 2" o:spid="_x0000_s1026" o:spt="20" style="position:absolute;left:0pt;flip:y;margin-left:-1.15pt;margin-top:1.7pt;height:0pt;width:448.5pt;z-index:251667456;mso-width-relative:page;mso-height-relative:page;" filled="f" stroked="t" coordsize="21600,21600" o:gfxdata="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Sa339MAAAAGAQAADwAAAAAAAAABACAAAAAiAAAAZHJzL2Rvd25yZXYueG1sUEsBAhQAFAAA&#10;AAgAh07iQDG4TpX0AQAAvgMAAA4AAAAAAAAAAQAgAAAAIgEAAGRycy9lMm9Eb2MueG1sUEsFBgAA&#10;AAAGAAYAWQEAAIgFAAAAAA==&#10;">
                <v:fill on="f" focussize="0,0"/>
                <v:stroke weight="3pt" color="#000000" joinstyle="round"/>
                <v:imagedata o:title=""/>
                <o:lock v:ext="edit" aspectratio="f"/>
              </v:line>
            </w:pict>
          </mc:Fallback>
        </mc:AlternateContent>
      </w:r>
    </w:p>
    <w:p>
      <w:pPr>
        <w:jc w:val="center"/>
        <w:rPr>
          <w:color w:val="000000" w:themeColor="text1"/>
          <w:sz w:val="32"/>
          <w:szCs w:val="32"/>
          <w14:textFill>
            <w14:solidFill>
              <w14:schemeClr w14:val="tx1"/>
            </w14:solidFill>
          </w14:textFill>
        </w:rPr>
        <w:sectPr>
          <w:headerReference r:id="rId4" w:type="first"/>
          <w:footerReference r:id="rId6" w:type="first"/>
          <w:headerReference r:id="rId3" w:type="default"/>
          <w:footerReference r:id="rId5" w:type="even"/>
          <w:pgSz w:w="11906" w:h="16838"/>
          <w:pgMar w:top="851" w:right="1418" w:bottom="1440" w:left="1418" w:header="851" w:footer="992" w:gutter="0"/>
          <w:cols w:space="720" w:num="1"/>
          <w:docGrid w:type="linesAndChars" w:linePitch="312" w:charSpace="0"/>
        </w:sectPr>
      </w:pPr>
      <w:r>
        <w:rPr>
          <w:rFonts w:hint="eastAsia" w:ascii="黑体" w:eastAsia="黑体"/>
          <w:color w:val="000000" w:themeColor="text1"/>
          <w:sz w:val="32"/>
          <w:szCs w:val="32"/>
          <w14:textFill>
            <w14:solidFill>
              <w14:schemeClr w14:val="tx1"/>
            </w14:solidFill>
          </w14:textFill>
        </w:rPr>
        <w:t>××××××  发布</w:t>
      </w:r>
    </w:p>
    <w:p>
      <w:pPr>
        <w:jc w:val="center"/>
        <w:rPr>
          <w:rFonts w:ascii="宋体" w:hAnsi="宋体"/>
          <w:b/>
          <w:color w:val="000000" w:themeColor="text1"/>
          <w:sz w:val="32"/>
          <w:szCs w:val="32"/>
          <w14:textFill>
            <w14:solidFill>
              <w14:schemeClr w14:val="tx1"/>
            </w14:solidFill>
          </w14:textFill>
        </w:rPr>
      </w:pPr>
    </w:p>
    <w:p>
      <w:pPr>
        <w:jc w:val="center"/>
        <w:rPr>
          <w:rFonts w:ascii="宋体" w:hAnsi="宋体"/>
          <w:b/>
          <w:color w:val="000000" w:themeColor="text1"/>
          <w:sz w:val="38"/>
          <w14:textFill>
            <w14:solidFill>
              <w14:schemeClr w14:val="tx1"/>
            </w14:solidFill>
          </w14:textFill>
        </w:rPr>
      </w:pPr>
      <w:r>
        <w:rPr>
          <w:rFonts w:hint="eastAsia" w:ascii="宋体" w:hAnsi="宋体"/>
          <w:b/>
          <w:color w:val="000000" w:themeColor="text1"/>
          <w:sz w:val="38"/>
          <w14:textFill>
            <w14:solidFill>
              <w14:schemeClr w14:val="tx1"/>
            </w14:solidFill>
          </w14:textFill>
        </w:rPr>
        <w:t>中华人民共和国化工行业标准</w:t>
      </w:r>
    </w:p>
    <w:p>
      <w:pPr>
        <w:jc w:val="center"/>
        <w:rPr>
          <w:rFonts w:ascii="宋体" w:hAnsi="宋体"/>
          <w:color w:val="000000" w:themeColor="text1"/>
          <w14:textFill>
            <w14:solidFill>
              <w14:schemeClr w14:val="tx1"/>
            </w14:solidFill>
          </w14:textFill>
        </w:rPr>
      </w:pPr>
    </w:p>
    <w:p>
      <w:pPr>
        <w:jc w:val="center"/>
        <w:rPr>
          <w:rFonts w:ascii="宋体" w:hAnsi="宋体"/>
          <w:b/>
          <w:color w:val="000000" w:themeColor="text1"/>
          <w:sz w:val="44"/>
          <w14:textFill>
            <w14:solidFill>
              <w14:schemeClr w14:val="tx1"/>
            </w14:solidFill>
          </w14:textFill>
        </w:rPr>
      </w:pPr>
      <w:bookmarkStart w:id="3" w:name="_Hlk152858811"/>
      <w:r>
        <w:rPr>
          <w:rFonts w:hint="eastAsia" w:ascii="宋体" w:hAnsi="宋体"/>
          <w:b/>
          <w:color w:val="000000" w:themeColor="text1"/>
          <w:sz w:val="44"/>
          <w14:textFill>
            <w14:solidFill>
              <w14:schemeClr w14:val="tx1"/>
            </w14:solidFill>
          </w14:textFill>
        </w:rPr>
        <w:t>工程基桩自锚测试技术规范</w:t>
      </w:r>
    </w:p>
    <w:bookmarkEnd w:id="3"/>
    <w:p>
      <w:pPr>
        <w:jc w:val="center"/>
        <w:rPr>
          <w:color w:val="000000" w:themeColor="text1"/>
          <w:sz w:val="36"/>
          <w14:textFill>
            <w14:solidFill>
              <w14:schemeClr w14:val="tx1"/>
            </w14:solidFill>
          </w14:textFill>
        </w:rPr>
      </w:pPr>
      <w:r>
        <w:rPr>
          <w:color w:val="000000" w:themeColor="text1"/>
          <w:sz w:val="36"/>
          <w14:textFill>
            <w14:solidFill>
              <w14:schemeClr w14:val="tx1"/>
            </w14:solidFill>
          </w14:textFill>
        </w:rPr>
        <w:t>Technical code for self-anchored testing of engineering foundation pile</w:t>
      </w:r>
    </w:p>
    <w:p>
      <w:pPr>
        <w:jc w:val="center"/>
        <w:rPr>
          <w:color w:val="000000" w:themeColor="text1"/>
          <w14:textFill>
            <w14:solidFill>
              <w14:schemeClr w14:val="tx1"/>
            </w14:solidFill>
          </w14:textFill>
        </w:rPr>
      </w:pPr>
    </w:p>
    <w:p>
      <w:pPr>
        <w:jc w:val="center"/>
        <w:rPr>
          <w:rFonts w:ascii="宋体" w:hAnsi="宋体" w:cs="宋体"/>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 xml:space="preserve">HG/T </w:t>
      </w:r>
      <w:r>
        <w:rPr>
          <w:rFonts w:hint="eastAsia" w:ascii="宋体" w:hAnsi="宋体" w:cs="宋体"/>
          <w:color w:val="000000" w:themeColor="text1"/>
          <w:sz w:val="32"/>
          <w:szCs w:val="32"/>
          <w14:textFill>
            <w14:solidFill>
              <w14:schemeClr w14:val="tx1"/>
            </w14:solidFill>
          </w14:textFill>
        </w:rPr>
        <w:t>×××××</w:t>
      </w:r>
      <w:r>
        <w:rPr>
          <w:color w:val="000000" w:themeColor="text1"/>
          <w:sz w:val="32"/>
          <w:szCs w:val="32"/>
          <w14:textFill>
            <w14:solidFill>
              <w14:schemeClr w14:val="tx1"/>
            </w14:solidFill>
          </w14:textFill>
        </w:rPr>
        <w:t>—</w:t>
      </w:r>
      <w:r>
        <w:rPr>
          <w:rFonts w:hint="eastAsia" w:ascii="宋体" w:hAnsi="宋体" w:cs="宋体"/>
          <w:color w:val="000000" w:themeColor="text1"/>
          <w:sz w:val="32"/>
          <w:szCs w:val="32"/>
          <w14:textFill>
            <w14:solidFill>
              <w14:schemeClr w14:val="tx1"/>
            </w14:solidFill>
          </w14:textFill>
        </w:rPr>
        <w:t>20</w:t>
      </w:r>
      <w:r>
        <w:rPr>
          <w:rFonts w:ascii="宋体" w:hAnsi="宋体" w:cs="宋体"/>
          <w:color w:val="000000" w:themeColor="text1"/>
          <w:sz w:val="32"/>
          <w:szCs w:val="32"/>
          <w14:textFill>
            <w14:solidFill>
              <w14:schemeClr w14:val="tx1"/>
            </w14:solidFill>
          </w14:textFill>
        </w:rPr>
        <w:t>2</w:t>
      </w:r>
      <w:r>
        <w:rPr>
          <w:rFonts w:hint="eastAsia" w:ascii="宋体" w:hAnsi="宋体" w:cs="宋体"/>
          <w:color w:val="000000" w:themeColor="text1"/>
          <w:sz w:val="32"/>
          <w:szCs w:val="32"/>
          <w14:textFill>
            <w14:solidFill>
              <w14:schemeClr w14:val="tx1"/>
            </w14:solidFill>
          </w14:textFill>
        </w:rPr>
        <w:t>×</w:t>
      </w:r>
    </w:p>
    <w:p>
      <w:pPr>
        <w:rPr>
          <w:color w:val="000000" w:themeColor="text1"/>
          <w14:textFill>
            <w14:solidFill>
              <w14:schemeClr w14:val="tx1"/>
            </w14:solidFill>
          </w14:textFill>
        </w:rPr>
      </w:pPr>
    </w:p>
    <w:p>
      <w:pPr>
        <w:spacing w:before="156" w:after="156"/>
        <w:jc w:val="center"/>
        <w:rPr>
          <w:rFonts w:eastAsia="黑体"/>
          <w:color w:val="000000" w:themeColor="text1"/>
          <w:sz w:val="32"/>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w:t>
      </w:r>
      <w:r>
        <w:rPr>
          <w:rFonts w:eastAsia="黑体"/>
          <w:color w:val="000000" w:themeColor="text1"/>
          <w:sz w:val="32"/>
          <w14:textFill>
            <w14:solidFill>
              <w14:schemeClr w14:val="tx1"/>
            </w14:solidFill>
          </w14:textFill>
        </w:rPr>
        <w:t>（</w:t>
      </w:r>
      <w:r>
        <w:rPr>
          <w:rFonts w:hint="eastAsia" w:eastAsia="黑体"/>
          <w:color w:val="000000" w:themeColor="text1"/>
          <w:sz w:val="32"/>
          <w14:textFill>
            <w14:solidFill>
              <w14:schemeClr w14:val="tx1"/>
            </w14:solidFill>
          </w14:textFill>
        </w:rPr>
        <w:t>征求意见</w:t>
      </w:r>
      <w:r>
        <w:rPr>
          <w:rFonts w:eastAsia="黑体"/>
          <w:color w:val="000000" w:themeColor="text1"/>
          <w:sz w:val="32"/>
          <w14:textFill>
            <w14:solidFill>
              <w14:schemeClr w14:val="tx1"/>
            </w14:solidFill>
          </w14:textFill>
        </w:rPr>
        <w:t>稿）</w:t>
      </w:r>
    </w:p>
    <w:p>
      <w:pPr>
        <w:spacing w:line="360" w:lineRule="auto"/>
        <w:ind w:firstLine="525" w:firstLineChars="250"/>
        <w:rPr>
          <w:rFonts w:ascii="宋体" w:hAnsi="宋体"/>
          <w:color w:val="000000" w:themeColor="text1"/>
          <w:szCs w:val="21"/>
          <w14:textFill>
            <w14:solidFill>
              <w14:schemeClr w14:val="tx1"/>
            </w14:solidFill>
          </w14:textFill>
        </w:rPr>
      </w:pPr>
    </w:p>
    <w:p>
      <w:pPr>
        <w:spacing w:line="360" w:lineRule="auto"/>
        <w:ind w:firstLine="525" w:firstLineChars="250"/>
        <w:rPr>
          <w:rFonts w:ascii="宋体" w:hAnsi="宋体"/>
          <w:color w:val="000000" w:themeColor="text1"/>
          <w:szCs w:val="21"/>
          <w14:textFill>
            <w14:solidFill>
              <w14:schemeClr w14:val="tx1"/>
            </w14:solidFill>
          </w14:textFill>
        </w:rPr>
      </w:pPr>
    </w:p>
    <w:p>
      <w:pPr>
        <w:spacing w:line="300" w:lineRule="auto"/>
        <w:ind w:firstLine="1680" w:firstLineChars="800"/>
        <w:rPr>
          <w:rFonts w:ascii="宋体" w:hAnsi="宋体"/>
          <w:color w:val="000000" w:themeColor="text1"/>
          <w:szCs w:val="20"/>
          <w14:textFill>
            <w14:solidFill>
              <w14:schemeClr w14:val="tx1"/>
            </w14:solidFill>
          </w14:textFill>
        </w:rPr>
      </w:pPr>
      <w:r>
        <w:rPr>
          <w:rFonts w:hint="eastAsia" w:ascii="宋体" w:hAnsi="宋体"/>
          <w:color w:val="000000" w:themeColor="text1"/>
          <w:szCs w:val="21"/>
          <w14:textFill>
            <w14:solidFill>
              <w14:schemeClr w14:val="tx1"/>
            </w14:solidFill>
          </w14:textFill>
        </w:rPr>
        <w:t>主编单位：</w:t>
      </w:r>
      <w:r>
        <w:rPr>
          <w:rFonts w:hint="eastAsia" w:ascii="宋体" w:hAnsi="宋体"/>
          <w:color w:val="000000" w:themeColor="text1"/>
          <w:szCs w:val="20"/>
          <w14:textFill>
            <w14:solidFill>
              <w14:schemeClr w14:val="tx1"/>
            </w14:solidFill>
          </w14:textFill>
        </w:rPr>
        <w:t xml:space="preserve">化学工业第一勘察设计院有限公司  </w:t>
      </w:r>
    </w:p>
    <w:p>
      <w:pPr>
        <w:spacing w:line="360" w:lineRule="auto"/>
        <w:ind w:firstLine="2730" w:firstLineChars="1300"/>
        <w:rPr>
          <w:rFonts w:ascii="宋体" w:hAnsi="宋体"/>
          <w:color w:val="000000" w:themeColor="text1"/>
          <w:szCs w:val="20"/>
          <w14:textFill>
            <w14:solidFill>
              <w14:schemeClr w14:val="tx1"/>
            </w14:solidFill>
          </w14:textFill>
        </w:rPr>
      </w:pPr>
      <w:r>
        <w:rPr>
          <w:rFonts w:hint="eastAsia" w:ascii="宋体" w:hAnsi="宋体"/>
          <w:color w:val="000000" w:themeColor="text1"/>
          <w:szCs w:val="20"/>
          <w14:textFill>
            <w14:solidFill>
              <w14:schemeClr w14:val="tx1"/>
            </w14:solidFill>
          </w14:textFill>
        </w:rPr>
        <w:t>浙江中岩工程技术研究有限公司</w:t>
      </w:r>
    </w:p>
    <w:p>
      <w:pPr>
        <w:spacing w:line="360" w:lineRule="auto"/>
        <w:ind w:firstLine="1680" w:firstLineChars="8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批准部门： </w:t>
      </w:r>
    </w:p>
    <w:p>
      <w:pPr>
        <w:spacing w:line="360" w:lineRule="auto"/>
        <w:ind w:firstLine="1680" w:firstLineChars="8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实施日期：                 </w:t>
      </w:r>
      <w:r>
        <w:rPr>
          <w:rFonts w:hint="eastAsia" w:ascii="宋体" w:hAnsi="宋体"/>
          <w:color w:val="000000" w:themeColor="text1"/>
          <w:spacing w:val="4"/>
          <w:szCs w:val="21"/>
          <w14:textFill>
            <w14:solidFill>
              <w14:schemeClr w14:val="tx1"/>
            </w14:solidFill>
          </w14:textFill>
        </w:rPr>
        <w:t>年         月        日</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jc w:val="center"/>
        <w:rPr>
          <w:rFonts w:ascii="宋体" w:hAnsi="宋体" w:cs="宋体"/>
          <w:color w:val="000000" w:themeColor="text1"/>
          <w:sz w:val="32"/>
          <w:szCs w:val="32"/>
          <w14:textFill>
            <w14:solidFill>
              <w14:schemeClr w14:val="tx1"/>
            </w14:solidFill>
          </w14:textFill>
        </w:rPr>
      </w:pPr>
    </w:p>
    <w:p>
      <w:pPr>
        <w:spacing w:before="156" w:after="156"/>
        <w:jc w:val="center"/>
        <w:rPr>
          <w:rFonts w:eastAsia="黑体"/>
          <w:color w:val="000000" w:themeColor="text1"/>
          <w:sz w:val="30"/>
          <w:szCs w:val="30"/>
          <w14:textFill>
            <w14:solidFill>
              <w14:schemeClr w14:val="tx1"/>
            </w14:solidFill>
          </w14:textFill>
        </w:rPr>
      </w:pPr>
      <w:r>
        <w:rPr>
          <w:rFonts w:eastAsia="黑体"/>
          <w:color w:val="000000" w:themeColor="text1"/>
          <w:sz w:val="30"/>
          <w:szCs w:val="30"/>
          <w14:textFill>
            <w14:solidFill>
              <w14:schemeClr w14:val="tx1"/>
            </w14:solidFill>
          </w14:textFill>
        </w:rPr>
        <w:t>********出版社</w:t>
      </w:r>
    </w:p>
    <w:p>
      <w:pPr>
        <w:spacing w:before="156" w:after="156"/>
        <w:jc w:val="center"/>
        <w:rPr>
          <w:rFonts w:eastAsia="黑体"/>
          <w:color w:val="000000" w:themeColor="text1"/>
          <w:sz w:val="24"/>
          <w14:textFill>
            <w14:solidFill>
              <w14:schemeClr w14:val="tx1"/>
            </w14:solidFill>
          </w14:textFill>
        </w:rPr>
      </w:pPr>
      <w:r>
        <w:rPr>
          <w:rFonts w:eastAsia="黑体"/>
          <w:color w:val="000000" w:themeColor="text1"/>
          <w:sz w:val="24"/>
          <w14:textFill>
            <w14:solidFill>
              <w14:schemeClr w14:val="tx1"/>
            </w14:solidFill>
          </w14:textFill>
        </w:rPr>
        <w:t xml:space="preserve">****年  </w:t>
      </w:r>
      <w:r>
        <w:rPr>
          <w:rFonts w:hint="eastAsia" w:eastAsia="黑体"/>
          <w:color w:val="000000" w:themeColor="text1"/>
          <w:sz w:val="24"/>
          <w14:textFill>
            <w14:solidFill>
              <w14:schemeClr w14:val="tx1"/>
            </w14:solidFill>
          </w14:textFill>
        </w:rPr>
        <w:t>北京</w:t>
      </w:r>
    </w:p>
    <w:p>
      <w:pPr>
        <w:spacing w:line="300" w:lineRule="auto"/>
        <w:jc w:val="center"/>
        <w:rPr>
          <w:color w:val="000000" w:themeColor="text1"/>
          <w:sz w:val="32"/>
          <w:szCs w:val="32"/>
          <w14:textFill>
            <w14:solidFill>
              <w14:schemeClr w14:val="tx1"/>
            </w14:solidFill>
          </w14:textFill>
        </w:rPr>
      </w:pPr>
      <w:r>
        <w:rPr>
          <w:rFonts w:eastAsia="黑体"/>
          <w:color w:val="000000" w:themeColor="text1"/>
          <w:sz w:val="24"/>
          <w14:textFill>
            <w14:solidFill>
              <w14:schemeClr w14:val="tx1"/>
            </w14:solidFill>
          </w14:textFill>
        </w:rPr>
        <w:br w:type="page"/>
      </w:r>
      <w:r>
        <w:rPr>
          <w:color w:val="000000" w:themeColor="text1"/>
          <w:sz w:val="32"/>
          <w:szCs w:val="32"/>
          <w14:textFill>
            <w14:solidFill>
              <w14:schemeClr w14:val="tx1"/>
            </w14:solidFill>
          </w14:textFill>
        </w:rPr>
        <w:t>前  言</w:t>
      </w:r>
    </w:p>
    <w:p>
      <w:pPr>
        <w:spacing w:line="360" w:lineRule="auto"/>
        <w:ind w:firstLine="420"/>
        <w:rPr>
          <w:color w:val="000000" w:themeColor="text1"/>
          <w:szCs w:val="20"/>
          <w14:textFill>
            <w14:solidFill>
              <w14:schemeClr w14:val="tx1"/>
            </w14:solidFill>
          </w14:textFill>
        </w:rPr>
      </w:pPr>
      <w:r>
        <w:rPr>
          <w:rFonts w:hint="eastAsia"/>
          <w:color w:val="000000" w:themeColor="text1"/>
          <w:szCs w:val="20"/>
          <w14:textFill>
            <w14:solidFill>
              <w14:schemeClr w14:val="tx1"/>
            </w14:solidFill>
          </w14:textFill>
        </w:rPr>
        <w:t>本标准是根据《工业和信息化部办公厅关于印发2023年第一批行业标准制修订和外文版项目计划的通知》（工信厅科〔2023〕18号）的要求，由中国石油和化工勘察设计协会为主编部门，</w:t>
      </w:r>
      <w:bookmarkStart w:id="4" w:name="_Hlk152859346"/>
      <w:r>
        <w:rPr>
          <w:rFonts w:hint="eastAsia"/>
          <w:color w:val="000000" w:themeColor="text1"/>
          <w:szCs w:val="20"/>
          <w14:textFill>
            <w14:solidFill>
              <w14:schemeClr w14:val="tx1"/>
            </w14:solidFill>
          </w14:textFill>
        </w:rPr>
        <w:t>化学工业第一勘察设计院有限公司、浙江中岩工程技术研究有限公司</w:t>
      </w:r>
      <w:bookmarkEnd w:id="4"/>
      <w:r>
        <w:rPr>
          <w:rFonts w:hint="eastAsia"/>
          <w:color w:val="000000" w:themeColor="text1"/>
          <w:szCs w:val="20"/>
          <w14:textFill>
            <w14:solidFill>
              <w14:schemeClr w14:val="tx1"/>
            </w14:solidFill>
          </w14:textFill>
        </w:rPr>
        <w:t>为主编单位，会同有关高校、勘察、设计、施工单位制定而成。</w:t>
      </w:r>
    </w:p>
    <w:p>
      <w:pPr>
        <w:spacing w:line="360" w:lineRule="auto"/>
        <w:ind w:firstLine="420"/>
        <w:rPr>
          <w:color w:val="000000" w:themeColor="text1"/>
          <w:szCs w:val="20"/>
          <w14:textFill>
            <w14:solidFill>
              <w14:schemeClr w14:val="tx1"/>
            </w14:solidFill>
          </w14:textFill>
        </w:rPr>
      </w:pPr>
      <w:r>
        <w:rPr>
          <w:rFonts w:hint="eastAsia"/>
          <w:color w:val="000000" w:themeColor="text1"/>
          <w:szCs w:val="20"/>
          <w14:textFill>
            <w14:solidFill>
              <w14:schemeClr w14:val="tx1"/>
            </w14:solidFill>
          </w14:textFill>
        </w:rPr>
        <w:t>在编制过程中，开展了专题研究，进行了广泛调查分析，总结了近年来单桩承载力测试的科研成果和实践经验，参考有关国际标准和国外先进标准，并在广泛征求意见的基础上，对主要问题进行反复修改，最后经审定定稿。</w:t>
      </w:r>
    </w:p>
    <w:p>
      <w:pPr>
        <w:spacing w:line="360" w:lineRule="auto"/>
        <w:ind w:firstLine="420"/>
        <w:rPr>
          <w:color w:val="000000" w:themeColor="text1"/>
          <w:szCs w:val="20"/>
          <w14:textFill>
            <w14:solidFill>
              <w14:schemeClr w14:val="tx1"/>
            </w14:solidFill>
          </w14:textFill>
        </w:rPr>
      </w:pPr>
      <w:r>
        <w:rPr>
          <w:color w:val="000000" w:themeColor="text1"/>
          <w:szCs w:val="20"/>
          <w14:textFill>
            <w14:solidFill>
              <w14:schemeClr w14:val="tx1"/>
            </w14:solidFill>
          </w14:textFill>
        </w:rPr>
        <w:t>本</w:t>
      </w:r>
      <w:r>
        <w:rPr>
          <w:rFonts w:hint="eastAsia"/>
          <w:color w:val="000000" w:themeColor="text1"/>
          <w:szCs w:val="20"/>
          <w14:textFill>
            <w14:solidFill>
              <w14:schemeClr w14:val="tx1"/>
            </w14:solidFill>
          </w14:textFill>
        </w:rPr>
        <w:t>标准</w:t>
      </w:r>
      <w:r>
        <w:rPr>
          <w:color w:val="000000" w:themeColor="text1"/>
          <w:szCs w:val="20"/>
          <w14:textFill>
            <w14:solidFill>
              <w14:schemeClr w14:val="tx1"/>
            </w14:solidFill>
          </w14:textFill>
        </w:rPr>
        <w:t>的主要技术内容</w:t>
      </w:r>
      <w:r>
        <w:rPr>
          <w:rFonts w:hint="eastAsia"/>
          <w:color w:val="000000" w:themeColor="text1"/>
          <w:szCs w:val="20"/>
          <w14:textFill>
            <w14:solidFill>
              <w14:schemeClr w14:val="tx1"/>
            </w14:solidFill>
          </w14:textFill>
        </w:rPr>
        <w:t>包括</w:t>
      </w:r>
      <w:r>
        <w:rPr>
          <w:color w:val="000000" w:themeColor="text1"/>
          <w:szCs w:val="20"/>
          <w14:textFill>
            <w14:solidFill>
              <w14:schemeClr w14:val="tx1"/>
            </w14:solidFill>
          </w14:textFill>
        </w:rPr>
        <w:t>：总则</w:t>
      </w:r>
      <w:r>
        <w:rPr>
          <w:rFonts w:hint="eastAsia"/>
          <w:color w:val="000000" w:themeColor="text1"/>
          <w:szCs w:val="20"/>
          <w14:textFill>
            <w14:solidFill>
              <w14:schemeClr w14:val="tx1"/>
            </w14:solidFill>
          </w14:textFill>
        </w:rPr>
        <w:t>、</w:t>
      </w:r>
      <w:r>
        <w:rPr>
          <w:color w:val="000000" w:themeColor="text1"/>
          <w:szCs w:val="20"/>
          <w14:textFill>
            <w14:solidFill>
              <w14:schemeClr w14:val="tx1"/>
            </w14:solidFill>
          </w14:textFill>
        </w:rPr>
        <w:t>术语</w:t>
      </w:r>
      <w:r>
        <w:rPr>
          <w:rFonts w:hint="eastAsia"/>
          <w:color w:val="000000" w:themeColor="text1"/>
          <w:szCs w:val="20"/>
          <w14:textFill>
            <w14:solidFill>
              <w14:schemeClr w14:val="tx1"/>
            </w14:solidFill>
          </w14:textFill>
        </w:rPr>
        <w:t>和</w:t>
      </w:r>
      <w:r>
        <w:rPr>
          <w:color w:val="000000" w:themeColor="text1"/>
          <w:szCs w:val="20"/>
          <w14:textFill>
            <w14:solidFill>
              <w14:schemeClr w14:val="tx1"/>
            </w14:solidFill>
          </w14:textFill>
        </w:rPr>
        <w:t>符号</w:t>
      </w:r>
      <w:r>
        <w:rPr>
          <w:rFonts w:hint="eastAsia"/>
          <w:color w:val="000000" w:themeColor="text1"/>
          <w:szCs w:val="20"/>
          <w14:textFill>
            <w14:solidFill>
              <w14:schemeClr w14:val="tx1"/>
            </w14:solidFill>
          </w14:textFill>
        </w:rPr>
        <w:t>、</w:t>
      </w:r>
      <w:r>
        <w:rPr>
          <w:color w:val="000000" w:themeColor="text1"/>
          <w:szCs w:val="20"/>
          <w14:textFill>
            <w14:solidFill>
              <w14:schemeClr w14:val="tx1"/>
            </w14:solidFill>
          </w14:textFill>
        </w:rPr>
        <w:t>基本规定</w:t>
      </w:r>
      <w:r>
        <w:rPr>
          <w:rFonts w:hint="eastAsia"/>
          <w:color w:val="000000" w:themeColor="text1"/>
          <w:szCs w:val="20"/>
          <w14:textFill>
            <w14:solidFill>
              <w14:schemeClr w14:val="tx1"/>
            </w14:solidFill>
          </w14:textFill>
        </w:rPr>
        <w:t>、设备仪器及安装、现场检测、检测数据分析与承载力判定、检测报告等</w:t>
      </w:r>
      <w:r>
        <w:rPr>
          <w:color w:val="000000" w:themeColor="text1"/>
          <w:szCs w:val="20"/>
          <w14:textFill>
            <w14:solidFill>
              <w14:schemeClr w14:val="tx1"/>
            </w14:solidFill>
          </w14:textFill>
        </w:rPr>
        <w:t>。</w:t>
      </w:r>
    </w:p>
    <w:p>
      <w:pPr>
        <w:spacing w:line="360" w:lineRule="auto"/>
        <w:ind w:firstLine="420"/>
        <w:rPr>
          <w:color w:val="000000" w:themeColor="text1"/>
          <w:szCs w:val="20"/>
          <w14:textFill>
            <w14:solidFill>
              <w14:schemeClr w14:val="tx1"/>
            </w14:solidFill>
          </w14:textFill>
        </w:rPr>
      </w:pPr>
      <w:r>
        <w:rPr>
          <w:color w:val="000000" w:themeColor="text1"/>
          <w:szCs w:val="20"/>
          <w14:textFill>
            <w14:solidFill>
              <w14:schemeClr w14:val="tx1"/>
            </w14:solidFill>
          </w14:textFill>
        </w:rPr>
        <w:t>本</w:t>
      </w:r>
      <w:r>
        <w:rPr>
          <w:rFonts w:hint="eastAsia"/>
          <w:color w:val="000000" w:themeColor="text1"/>
          <w:szCs w:val="20"/>
          <w14:textFill>
            <w14:solidFill>
              <w14:schemeClr w14:val="tx1"/>
            </w14:solidFill>
          </w14:textFill>
        </w:rPr>
        <w:t>标准</w:t>
      </w:r>
      <w:r>
        <w:rPr>
          <w:color w:val="000000" w:themeColor="text1"/>
          <w:szCs w:val="20"/>
          <w14:textFill>
            <w14:solidFill>
              <w14:schemeClr w14:val="tx1"/>
            </w14:solidFill>
          </w14:textFill>
        </w:rPr>
        <w:t>由</w:t>
      </w:r>
      <w:r>
        <w:rPr>
          <w:rFonts w:hint="eastAsia" w:ascii="宋体" w:hAnsi="宋体"/>
          <w:color w:val="000000" w:themeColor="text1"/>
          <w:kern w:val="0"/>
          <w:szCs w:val="21"/>
          <w14:textFill>
            <w14:solidFill>
              <w14:schemeClr w14:val="tx1"/>
            </w14:solidFill>
          </w14:textFill>
        </w:rPr>
        <w:t>工业和信息化部负责管理，由</w:t>
      </w:r>
      <w:r>
        <w:rPr>
          <w:rFonts w:hint="eastAsia" w:ascii="Arial" w:hAnsi="宋体" w:cs="Arial"/>
          <w:color w:val="000000" w:themeColor="text1"/>
          <w:szCs w:val="21"/>
          <w14:textFill>
            <w14:solidFill>
              <w14:schemeClr w14:val="tx1"/>
            </w14:solidFill>
          </w14:textFill>
        </w:rPr>
        <w:t>中国</w:t>
      </w:r>
      <w:r>
        <w:rPr>
          <w:rFonts w:hint="eastAsia" w:ascii="宋体" w:hAnsi="宋体"/>
          <w:color w:val="000000" w:themeColor="text1"/>
          <w:kern w:val="0"/>
          <w:szCs w:val="21"/>
          <w14:textFill>
            <w14:solidFill>
              <w14:schemeClr w14:val="tx1"/>
            </w14:solidFill>
          </w14:textFill>
        </w:rPr>
        <w:t>石油和化工勘察设计协会负责日常管理</w:t>
      </w:r>
      <w:r>
        <w:rPr>
          <w:rFonts w:hint="eastAsia"/>
          <w:color w:val="000000" w:themeColor="text1"/>
          <w:szCs w:val="20"/>
          <w14:textFill>
            <w14:solidFill>
              <w14:schemeClr w14:val="tx1"/>
            </w14:solidFill>
          </w14:textFill>
        </w:rPr>
        <w:t>，由</w:t>
      </w:r>
      <w:bookmarkStart w:id="5" w:name="_Hlk152859415"/>
      <w:r>
        <w:rPr>
          <w:rFonts w:hint="eastAsia"/>
          <w:color w:val="000000" w:themeColor="text1"/>
          <w:szCs w:val="20"/>
          <w14:textFill>
            <w14:solidFill>
              <w14:schemeClr w14:val="tx1"/>
            </w14:solidFill>
          </w14:textFill>
        </w:rPr>
        <w:t>化学工业第一勘察设计院有限公司</w:t>
      </w:r>
      <w:bookmarkEnd w:id="5"/>
      <w:r>
        <w:rPr>
          <w:rFonts w:hint="eastAsia"/>
          <w:color w:val="000000" w:themeColor="text1"/>
          <w:szCs w:val="20"/>
          <w14:textFill>
            <w14:solidFill>
              <w14:schemeClr w14:val="tx1"/>
            </w14:solidFill>
          </w14:textFill>
        </w:rPr>
        <w:t>、浙江中岩工程技术研究有限公司</w:t>
      </w:r>
      <w:r>
        <w:rPr>
          <w:rFonts w:hint="eastAsia"/>
          <w:color w:val="000000" w:themeColor="text1"/>
          <w14:textFill>
            <w14:solidFill>
              <w14:schemeClr w14:val="tx1"/>
            </w14:solidFill>
          </w14:textFill>
        </w:rPr>
        <w:t>负责</w:t>
      </w:r>
      <w:r>
        <w:rPr>
          <w:color w:val="000000" w:themeColor="text1"/>
          <w14:textFill>
            <w14:solidFill>
              <w14:schemeClr w14:val="tx1"/>
            </w14:solidFill>
          </w14:textFill>
        </w:rPr>
        <w:t>技术内容</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解释。执行过程中</w:t>
      </w:r>
      <w:r>
        <w:rPr>
          <w:rFonts w:hint="eastAsia"/>
          <w:color w:val="000000" w:themeColor="text1"/>
          <w14:textFill>
            <w14:solidFill>
              <w14:schemeClr w14:val="tx1"/>
            </w14:solidFill>
          </w14:textFill>
        </w:rPr>
        <w:t>如</w:t>
      </w:r>
      <w:r>
        <w:rPr>
          <w:color w:val="000000" w:themeColor="text1"/>
          <w14:textFill>
            <w14:solidFill>
              <w14:schemeClr w14:val="tx1"/>
            </w14:solidFill>
          </w14:textFill>
        </w:rPr>
        <w:t>有</w:t>
      </w:r>
      <w:r>
        <w:rPr>
          <w:rFonts w:hint="eastAsia"/>
          <w:color w:val="000000" w:themeColor="text1"/>
          <w14:textFill>
            <w14:solidFill>
              <w14:schemeClr w14:val="tx1"/>
            </w14:solidFill>
          </w14:textFill>
        </w:rPr>
        <w:t>意见或建议，请寄送至化学工业第一勘察设计院有限公司（地址：河北省沧州市运河区御河路28号；邮编：061001）或</w:t>
      </w:r>
      <w:r>
        <w:rPr>
          <w:rFonts w:hint="eastAsia"/>
          <w:color w:val="000000" w:themeColor="text1"/>
          <w:szCs w:val="20"/>
          <w14:textFill>
            <w14:solidFill>
              <w14:schemeClr w14:val="tx1"/>
            </w14:solidFill>
          </w14:textFill>
        </w:rPr>
        <w:t>浙江中岩工程技术研究有限公司</w:t>
      </w:r>
      <w:r>
        <w:rPr>
          <w:rFonts w:hint="eastAsia"/>
          <w:color w:val="000000" w:themeColor="text1"/>
          <w14:textFill>
            <w14:solidFill>
              <w14:schemeClr w14:val="tx1"/>
            </w14:solidFill>
          </w14:textFill>
        </w:rPr>
        <w:t>（地址：浙江省杭州市拱墅区独城206号6幢；邮编：310015）。</w:t>
      </w:r>
    </w:p>
    <w:p>
      <w:pPr>
        <w:spacing w:line="300" w:lineRule="auto"/>
        <w:ind w:firstLine="420"/>
        <w:rPr>
          <w:rFonts w:ascii="宋体" w:hAnsi="宋体"/>
          <w:color w:val="000000" w:themeColor="text1"/>
          <w:szCs w:val="20"/>
          <w14:textFill>
            <w14:solidFill>
              <w14:schemeClr w14:val="tx1"/>
            </w14:solidFill>
          </w14:textFill>
        </w:rPr>
      </w:pPr>
      <w:r>
        <w:rPr>
          <w:rFonts w:ascii="宋体" w:hAnsi="宋体"/>
          <w:b/>
          <w:color w:val="000000" w:themeColor="text1"/>
          <w:szCs w:val="20"/>
          <w14:textFill>
            <w14:solidFill>
              <w14:schemeClr w14:val="tx1"/>
            </w14:solidFill>
          </w14:textFill>
        </w:rPr>
        <w:t>主</w:t>
      </w:r>
      <w:r>
        <w:rPr>
          <w:rFonts w:hint="eastAsia" w:ascii="宋体" w:hAnsi="宋体"/>
          <w:b/>
          <w:color w:val="000000" w:themeColor="text1"/>
          <w:szCs w:val="20"/>
          <w14:textFill>
            <w14:solidFill>
              <w14:schemeClr w14:val="tx1"/>
            </w14:solidFill>
          </w14:textFill>
        </w:rPr>
        <w:t xml:space="preserve"> </w:t>
      </w:r>
      <w:r>
        <w:rPr>
          <w:rFonts w:ascii="宋体" w:hAnsi="宋体"/>
          <w:b/>
          <w:color w:val="000000" w:themeColor="text1"/>
          <w:szCs w:val="20"/>
          <w14:textFill>
            <w14:solidFill>
              <w14:schemeClr w14:val="tx1"/>
            </w14:solidFill>
          </w14:textFill>
        </w:rPr>
        <w:t>编</w:t>
      </w:r>
      <w:r>
        <w:rPr>
          <w:rFonts w:hint="eastAsia" w:ascii="宋体" w:hAnsi="宋体"/>
          <w:b/>
          <w:color w:val="000000" w:themeColor="text1"/>
          <w:szCs w:val="20"/>
          <w14:textFill>
            <w14:solidFill>
              <w14:schemeClr w14:val="tx1"/>
            </w14:solidFill>
          </w14:textFill>
        </w:rPr>
        <w:t xml:space="preserve"> </w:t>
      </w:r>
      <w:r>
        <w:rPr>
          <w:rFonts w:ascii="宋体" w:hAnsi="宋体"/>
          <w:b/>
          <w:color w:val="000000" w:themeColor="text1"/>
          <w:szCs w:val="20"/>
          <w14:textFill>
            <w14:solidFill>
              <w14:schemeClr w14:val="tx1"/>
            </w14:solidFill>
          </w14:textFill>
        </w:rPr>
        <w:t>单</w:t>
      </w:r>
      <w:r>
        <w:rPr>
          <w:rFonts w:hint="eastAsia" w:ascii="宋体" w:hAnsi="宋体"/>
          <w:b/>
          <w:color w:val="000000" w:themeColor="text1"/>
          <w:szCs w:val="20"/>
          <w14:textFill>
            <w14:solidFill>
              <w14:schemeClr w14:val="tx1"/>
            </w14:solidFill>
          </w14:textFill>
        </w:rPr>
        <w:t xml:space="preserve"> </w:t>
      </w:r>
      <w:r>
        <w:rPr>
          <w:rFonts w:ascii="宋体" w:hAnsi="宋体"/>
          <w:b/>
          <w:color w:val="000000" w:themeColor="text1"/>
          <w:szCs w:val="20"/>
          <w14:textFill>
            <w14:solidFill>
              <w14:schemeClr w14:val="tx1"/>
            </w14:solidFill>
          </w14:textFill>
        </w:rPr>
        <w:t>位：</w:t>
      </w:r>
      <w:r>
        <w:rPr>
          <w:rFonts w:hint="eastAsia"/>
          <w:color w:val="000000" w:themeColor="text1"/>
          <w:szCs w:val="20"/>
          <w14:textFill>
            <w14:solidFill>
              <w14:schemeClr w14:val="tx1"/>
            </w14:solidFill>
          </w14:textFill>
        </w:rPr>
        <w:t>化学工业第一勘察设计院有限公司</w:t>
      </w:r>
    </w:p>
    <w:p>
      <w:pPr>
        <w:spacing w:line="300" w:lineRule="auto"/>
        <w:rPr>
          <w:rFonts w:ascii="宋体" w:hAnsi="宋体"/>
          <w:color w:val="000000" w:themeColor="text1"/>
          <w:szCs w:val="20"/>
          <w14:textFill>
            <w14:solidFill>
              <w14:schemeClr w14:val="tx1"/>
            </w14:solidFill>
          </w14:textFill>
        </w:rPr>
      </w:pPr>
      <w:r>
        <w:rPr>
          <w:rFonts w:hint="eastAsia" w:ascii="宋体" w:hAnsi="宋体"/>
          <w:color w:val="000000" w:themeColor="text1"/>
          <w:szCs w:val="20"/>
          <w14:textFill>
            <w14:solidFill>
              <w14:schemeClr w14:val="tx1"/>
            </w14:solidFill>
          </w14:textFill>
        </w:rPr>
        <w:t xml:space="preserve">                 </w:t>
      </w:r>
      <w:r>
        <w:rPr>
          <w:rFonts w:hint="eastAsia"/>
          <w:color w:val="000000" w:themeColor="text1"/>
          <w:szCs w:val="20"/>
          <w14:textFill>
            <w14:solidFill>
              <w14:schemeClr w14:val="tx1"/>
            </w14:solidFill>
          </w14:textFill>
        </w:rPr>
        <w:t>浙江中岩工程技术研究有限公司</w:t>
      </w:r>
      <w:r>
        <w:rPr>
          <w:rFonts w:hint="eastAsia" w:ascii="宋体" w:hAnsi="宋体"/>
          <w:color w:val="000000" w:themeColor="text1"/>
          <w:szCs w:val="20"/>
          <w14:textFill>
            <w14:solidFill>
              <w14:schemeClr w14:val="tx1"/>
            </w14:solidFill>
          </w14:textFill>
        </w:rPr>
        <w:t xml:space="preserve"> </w:t>
      </w:r>
    </w:p>
    <w:p>
      <w:pPr>
        <w:spacing w:line="300" w:lineRule="auto"/>
        <w:ind w:firstLine="420"/>
        <w:rPr>
          <w:rFonts w:ascii="宋体" w:hAnsi="宋体"/>
          <w:color w:val="000000" w:themeColor="text1"/>
          <w:szCs w:val="20"/>
          <w14:textFill>
            <w14:solidFill>
              <w14:schemeClr w14:val="tx1"/>
            </w14:solidFill>
          </w14:textFill>
        </w:rPr>
      </w:pPr>
      <w:r>
        <w:rPr>
          <w:rFonts w:ascii="宋体" w:hAnsi="宋体"/>
          <w:b/>
          <w:color w:val="000000" w:themeColor="text1"/>
          <w:szCs w:val="20"/>
          <w14:textFill>
            <w14:solidFill>
              <w14:schemeClr w14:val="tx1"/>
            </w14:solidFill>
          </w14:textFill>
        </w:rPr>
        <w:t>参</w:t>
      </w:r>
      <w:r>
        <w:rPr>
          <w:rFonts w:hint="eastAsia" w:ascii="宋体" w:hAnsi="宋体"/>
          <w:b/>
          <w:color w:val="000000" w:themeColor="text1"/>
          <w:szCs w:val="20"/>
          <w14:textFill>
            <w14:solidFill>
              <w14:schemeClr w14:val="tx1"/>
            </w14:solidFill>
          </w14:textFill>
        </w:rPr>
        <w:t xml:space="preserve"> </w:t>
      </w:r>
      <w:r>
        <w:rPr>
          <w:rFonts w:ascii="宋体" w:hAnsi="宋体"/>
          <w:b/>
          <w:color w:val="000000" w:themeColor="text1"/>
          <w:szCs w:val="20"/>
          <w14:textFill>
            <w14:solidFill>
              <w14:schemeClr w14:val="tx1"/>
            </w14:solidFill>
          </w14:textFill>
        </w:rPr>
        <w:t>编</w:t>
      </w:r>
      <w:r>
        <w:rPr>
          <w:rFonts w:hint="eastAsia" w:ascii="宋体" w:hAnsi="宋体"/>
          <w:b/>
          <w:color w:val="000000" w:themeColor="text1"/>
          <w:szCs w:val="20"/>
          <w14:textFill>
            <w14:solidFill>
              <w14:schemeClr w14:val="tx1"/>
            </w14:solidFill>
          </w14:textFill>
        </w:rPr>
        <w:t xml:space="preserve"> </w:t>
      </w:r>
      <w:r>
        <w:rPr>
          <w:rFonts w:ascii="宋体" w:hAnsi="宋体"/>
          <w:b/>
          <w:color w:val="000000" w:themeColor="text1"/>
          <w:szCs w:val="20"/>
          <w14:textFill>
            <w14:solidFill>
              <w14:schemeClr w14:val="tx1"/>
            </w14:solidFill>
          </w14:textFill>
        </w:rPr>
        <w:t>单</w:t>
      </w:r>
      <w:r>
        <w:rPr>
          <w:rFonts w:hint="eastAsia" w:ascii="宋体" w:hAnsi="宋体"/>
          <w:b/>
          <w:color w:val="000000" w:themeColor="text1"/>
          <w:szCs w:val="20"/>
          <w14:textFill>
            <w14:solidFill>
              <w14:schemeClr w14:val="tx1"/>
            </w14:solidFill>
          </w14:textFill>
        </w:rPr>
        <w:t xml:space="preserve"> </w:t>
      </w:r>
      <w:r>
        <w:rPr>
          <w:rFonts w:ascii="宋体" w:hAnsi="宋体"/>
          <w:b/>
          <w:color w:val="000000" w:themeColor="text1"/>
          <w:szCs w:val="20"/>
          <w14:textFill>
            <w14:solidFill>
              <w14:schemeClr w14:val="tx1"/>
            </w14:solidFill>
          </w14:textFill>
        </w:rPr>
        <w:t>位：</w:t>
      </w:r>
      <w:r>
        <w:rPr>
          <w:rFonts w:hint="eastAsia" w:ascii="宋体" w:hAnsi="宋体"/>
          <w:color w:val="000000" w:themeColor="text1"/>
          <w:szCs w:val="20"/>
          <w14:textFill>
            <w14:solidFill>
              <w14:schemeClr w14:val="tx1"/>
            </w14:solidFill>
          </w14:textFill>
        </w:rPr>
        <w:t>浙江理工大学</w:t>
      </w:r>
    </w:p>
    <w:p>
      <w:pPr>
        <w:spacing w:line="300" w:lineRule="auto"/>
        <w:ind w:firstLine="420"/>
        <w:rPr>
          <w:rFonts w:ascii="宋体" w:hAnsi="宋体"/>
          <w:color w:val="000000" w:themeColor="text1"/>
          <w:szCs w:val="20"/>
          <w14:textFill>
            <w14:solidFill>
              <w14:schemeClr w14:val="tx1"/>
            </w14:solidFill>
          </w14:textFill>
        </w:rPr>
      </w:pPr>
      <w:r>
        <w:rPr>
          <w:rFonts w:ascii="宋体" w:hAnsi="宋体"/>
          <w:color w:val="000000" w:themeColor="text1"/>
          <w:szCs w:val="20"/>
          <w14:textFill>
            <w14:solidFill>
              <w14:schemeClr w14:val="tx1"/>
            </w14:solidFill>
          </w14:textFill>
        </w:rPr>
        <w:t xml:space="preserve">             </w:t>
      </w:r>
      <w:r>
        <w:rPr>
          <w:rFonts w:hint="eastAsia" w:ascii="宋体" w:hAnsi="宋体"/>
          <w:color w:val="000000" w:themeColor="text1"/>
          <w:szCs w:val="20"/>
          <w14:textFill>
            <w14:solidFill>
              <w14:schemeClr w14:val="tx1"/>
            </w14:solidFill>
          </w14:textFill>
        </w:rPr>
        <w:t>中化明达（福建）地质勘测有限公司</w:t>
      </w:r>
    </w:p>
    <w:p>
      <w:pPr>
        <w:spacing w:line="300" w:lineRule="auto"/>
        <w:ind w:firstLine="420"/>
        <w:rPr>
          <w:rFonts w:ascii="宋体" w:hAnsi="宋体"/>
          <w:color w:val="000000" w:themeColor="text1"/>
          <w:szCs w:val="20"/>
          <w14:textFill>
            <w14:solidFill>
              <w14:schemeClr w14:val="tx1"/>
            </w14:solidFill>
          </w14:textFill>
        </w:rPr>
      </w:pPr>
      <w:r>
        <w:rPr>
          <w:rFonts w:hint="eastAsia" w:ascii="宋体" w:hAnsi="宋体"/>
          <w:color w:val="000000" w:themeColor="text1"/>
          <w:szCs w:val="20"/>
          <w14:textFill>
            <w14:solidFill>
              <w14:schemeClr w14:val="tx1"/>
            </w14:solidFill>
          </w14:textFill>
        </w:rPr>
        <w:t xml:space="preserve">             江苏科信岩土工程勘察有限公司</w:t>
      </w:r>
    </w:p>
    <w:p>
      <w:pPr>
        <w:spacing w:line="300" w:lineRule="auto"/>
        <w:ind w:firstLine="420"/>
        <w:rPr>
          <w:rFonts w:ascii="宋体" w:hAnsi="宋体"/>
          <w:color w:val="000000" w:themeColor="text1"/>
          <w:szCs w:val="20"/>
          <w14:textFill>
            <w14:solidFill>
              <w14:schemeClr w14:val="tx1"/>
            </w14:solidFill>
          </w14:textFill>
        </w:rPr>
      </w:pPr>
      <w:r>
        <w:rPr>
          <w:rFonts w:hint="eastAsia" w:ascii="宋体" w:hAnsi="宋体"/>
          <w:color w:val="000000" w:themeColor="text1"/>
          <w:szCs w:val="20"/>
          <w14:textFill>
            <w14:solidFill>
              <w14:schemeClr w14:val="tx1"/>
            </w14:solidFill>
          </w14:textFill>
        </w:rPr>
        <w:t xml:space="preserve">             信电综合勘察设计研究院有限公司</w:t>
      </w:r>
    </w:p>
    <w:p>
      <w:pPr>
        <w:spacing w:line="300" w:lineRule="auto"/>
        <w:ind w:firstLine="420"/>
        <w:rPr>
          <w:rFonts w:ascii="宋体" w:hAnsi="宋体"/>
          <w:color w:val="000000" w:themeColor="text1"/>
          <w:szCs w:val="20"/>
          <w14:textFill>
            <w14:solidFill>
              <w14:schemeClr w14:val="tx1"/>
            </w14:solidFill>
          </w14:textFill>
        </w:rPr>
      </w:pPr>
      <w:r>
        <w:rPr>
          <w:rFonts w:hint="eastAsia" w:ascii="宋体" w:hAnsi="宋体"/>
          <w:color w:val="000000" w:themeColor="text1"/>
          <w:szCs w:val="20"/>
          <w14:textFill>
            <w14:solidFill>
              <w14:schemeClr w14:val="tx1"/>
            </w14:solidFill>
          </w14:textFill>
        </w:rPr>
        <w:t xml:space="preserve">             温州市建筑质监科学研究所有限公司</w:t>
      </w:r>
      <w:bookmarkStart w:id="246" w:name="_GoBack"/>
      <w:bookmarkEnd w:id="246"/>
    </w:p>
    <w:p>
      <w:pPr>
        <w:spacing w:line="300" w:lineRule="auto"/>
        <w:ind w:firstLine="420"/>
        <w:rPr>
          <w:rFonts w:ascii="宋体" w:hAnsi="宋体"/>
          <w:color w:val="000000" w:themeColor="text1"/>
          <w:szCs w:val="20"/>
          <w14:textFill>
            <w14:solidFill>
              <w14:schemeClr w14:val="tx1"/>
            </w14:solidFill>
          </w14:textFill>
        </w:rPr>
      </w:pPr>
      <w:r>
        <w:rPr>
          <w:rFonts w:hint="eastAsia" w:ascii="宋体" w:hAnsi="宋体"/>
          <w:color w:val="000000" w:themeColor="text1"/>
          <w:szCs w:val="20"/>
          <w14:textFill>
            <w14:solidFill>
              <w14:schemeClr w14:val="tx1"/>
            </w14:solidFill>
          </w14:textFill>
        </w:rPr>
        <w:t xml:space="preserve">             浙江有色地球物理技术应用研究院有限公司</w:t>
      </w:r>
    </w:p>
    <w:p>
      <w:pPr>
        <w:spacing w:line="300" w:lineRule="auto"/>
        <w:ind w:firstLine="420"/>
        <w:rPr>
          <w:rFonts w:ascii="宋体" w:hAnsi="宋体"/>
          <w:color w:val="000000" w:themeColor="text1"/>
          <w:szCs w:val="20"/>
          <w14:textFill>
            <w14:solidFill>
              <w14:schemeClr w14:val="tx1"/>
            </w14:solidFill>
          </w14:textFill>
        </w:rPr>
      </w:pPr>
      <w:r>
        <w:rPr>
          <w:rFonts w:hint="eastAsia" w:ascii="宋体" w:hAnsi="宋体"/>
          <w:color w:val="000000" w:themeColor="text1"/>
          <w:szCs w:val="20"/>
          <w14:textFill>
            <w14:solidFill>
              <w14:schemeClr w14:val="tx1"/>
            </w14:solidFill>
          </w14:textFill>
        </w:rPr>
        <w:t xml:space="preserve">             中国化学工程第十三建设有限公司</w:t>
      </w:r>
    </w:p>
    <w:p>
      <w:pPr>
        <w:spacing w:line="300" w:lineRule="auto"/>
        <w:ind w:firstLine="420"/>
        <w:rPr>
          <w:rFonts w:ascii="宋体" w:hAnsi="宋体"/>
          <w:color w:val="000000" w:themeColor="text1"/>
          <w:szCs w:val="20"/>
          <w14:textFill>
            <w14:solidFill>
              <w14:schemeClr w14:val="tx1"/>
            </w14:solidFill>
          </w14:textFill>
        </w:rPr>
      </w:pPr>
      <w:r>
        <w:rPr>
          <w:rFonts w:hint="eastAsia" w:ascii="宋体" w:hAnsi="宋体"/>
          <w:color w:val="000000" w:themeColor="text1"/>
          <w:szCs w:val="20"/>
          <w14:textFill>
            <w14:solidFill>
              <w14:schemeClr w14:val="tx1"/>
            </w14:solidFill>
          </w14:textFill>
        </w:rPr>
        <w:t xml:space="preserve">             海南大学</w:t>
      </w:r>
    </w:p>
    <w:p>
      <w:pPr>
        <w:spacing w:line="300" w:lineRule="auto"/>
        <w:ind w:firstLine="420"/>
        <w:rPr>
          <w:rFonts w:ascii="宋体" w:hAnsi="宋体"/>
          <w:color w:val="000000" w:themeColor="text1"/>
          <w:szCs w:val="20"/>
          <w14:textFill>
            <w14:solidFill>
              <w14:schemeClr w14:val="tx1"/>
            </w14:solidFill>
          </w14:textFill>
        </w:rPr>
      </w:pPr>
      <w:r>
        <w:rPr>
          <w:rFonts w:hint="eastAsia" w:ascii="宋体" w:hAnsi="宋体"/>
          <w:color w:val="000000" w:themeColor="text1"/>
          <w:szCs w:val="20"/>
          <w14:textFill>
            <w14:solidFill>
              <w14:schemeClr w14:val="tx1"/>
            </w14:solidFill>
          </w14:textFill>
        </w:rPr>
        <w:t xml:space="preserve">             浙江省地球物理技术应用研究所有限公司</w:t>
      </w:r>
    </w:p>
    <w:p>
      <w:pPr>
        <w:spacing w:line="300" w:lineRule="auto"/>
        <w:ind w:firstLine="420"/>
        <w:rPr>
          <w:rFonts w:ascii="宋体" w:hAnsi="宋体"/>
          <w:color w:val="000000" w:themeColor="text1"/>
          <w:szCs w:val="20"/>
          <w14:textFill>
            <w14:solidFill>
              <w14:schemeClr w14:val="tx1"/>
            </w14:solidFill>
          </w14:textFill>
        </w:rPr>
      </w:pPr>
      <w:r>
        <w:rPr>
          <w:rFonts w:hint="eastAsia" w:ascii="宋体" w:hAnsi="宋体"/>
          <w:color w:val="000000" w:themeColor="text1"/>
          <w:szCs w:val="20"/>
          <w14:textFill>
            <w14:solidFill>
              <w14:schemeClr w14:val="tx1"/>
            </w14:solidFill>
          </w14:textFill>
        </w:rPr>
        <w:t xml:space="preserve">             中交二航局第一工程有限公司</w:t>
      </w:r>
    </w:p>
    <w:p>
      <w:pPr>
        <w:spacing w:line="300" w:lineRule="auto"/>
        <w:ind w:firstLine="420"/>
        <w:rPr>
          <w:rFonts w:ascii="宋体" w:hAnsi="宋体"/>
          <w:color w:val="000000" w:themeColor="text1"/>
          <w:szCs w:val="20"/>
          <w14:textFill>
            <w14:solidFill>
              <w14:schemeClr w14:val="tx1"/>
            </w14:solidFill>
          </w14:textFill>
        </w:rPr>
      </w:pPr>
      <w:r>
        <w:rPr>
          <w:rFonts w:hint="eastAsia" w:ascii="宋体" w:hAnsi="宋体"/>
          <w:color w:val="000000" w:themeColor="text1"/>
          <w:szCs w:val="20"/>
          <w14:textFill>
            <w14:solidFill>
              <w14:schemeClr w14:val="tx1"/>
            </w14:solidFill>
          </w14:textFill>
        </w:rPr>
        <w:t xml:space="preserve">             浙江理工大学科技与艺术学院</w:t>
      </w:r>
    </w:p>
    <w:p>
      <w:pPr>
        <w:spacing w:line="300" w:lineRule="auto"/>
        <w:ind w:firstLine="420"/>
        <w:rPr>
          <w:rFonts w:ascii="宋体" w:hAnsi="宋体"/>
          <w:color w:val="000000" w:themeColor="text1"/>
          <w:szCs w:val="20"/>
          <w14:textFill>
            <w14:solidFill>
              <w14:schemeClr w14:val="tx1"/>
            </w14:solidFill>
          </w14:textFill>
        </w:rPr>
      </w:pPr>
    </w:p>
    <w:p>
      <w:pPr>
        <w:spacing w:line="300" w:lineRule="auto"/>
        <w:ind w:firstLine="420"/>
        <w:rPr>
          <w:rFonts w:ascii="宋体" w:hAnsi="宋体"/>
          <w:color w:val="000000" w:themeColor="text1"/>
          <w:szCs w:val="20"/>
          <w14:textFill>
            <w14:solidFill>
              <w14:schemeClr w14:val="tx1"/>
            </w14:solidFill>
          </w14:textFill>
        </w:rPr>
      </w:pPr>
    </w:p>
    <w:p>
      <w:pPr>
        <w:spacing w:line="300" w:lineRule="auto"/>
        <w:ind w:firstLine="420"/>
        <w:rPr>
          <w:rFonts w:ascii="宋体" w:hAnsi="宋体"/>
          <w:color w:val="000000" w:themeColor="text1"/>
          <w:szCs w:val="20"/>
          <w14:textFill>
            <w14:solidFill>
              <w14:schemeClr w14:val="tx1"/>
            </w14:solidFill>
          </w14:textFill>
        </w:rPr>
      </w:pPr>
    </w:p>
    <w:p>
      <w:pPr>
        <w:spacing w:line="300" w:lineRule="auto"/>
        <w:ind w:firstLine="420"/>
        <w:rPr>
          <w:rFonts w:ascii="宋体" w:hAnsi="宋体"/>
          <w:color w:val="000000" w:themeColor="text1"/>
          <w:szCs w:val="20"/>
          <w14:textFill>
            <w14:solidFill>
              <w14:schemeClr w14:val="tx1"/>
            </w14:solidFill>
          </w14:textFill>
        </w:rPr>
      </w:pPr>
    </w:p>
    <w:p>
      <w:pPr>
        <w:spacing w:line="300" w:lineRule="auto"/>
        <w:ind w:left="1677" w:leftChars="196" w:hanging="1265" w:hangingChars="600"/>
        <w:rPr>
          <w:rFonts w:ascii="宋体" w:hAnsi="宋体"/>
          <w:color w:val="000000" w:themeColor="text1"/>
          <w:szCs w:val="20"/>
          <w14:textFill>
            <w14:solidFill>
              <w14:schemeClr w14:val="tx1"/>
            </w14:solidFill>
          </w14:textFill>
        </w:rPr>
      </w:pPr>
      <w:r>
        <w:rPr>
          <w:rFonts w:hint="eastAsia" w:ascii="宋体" w:hAnsi="宋体"/>
          <w:b/>
          <w:color w:val="000000" w:themeColor="text1"/>
          <w:szCs w:val="20"/>
          <w14:textFill>
            <w14:solidFill>
              <w14:schemeClr w14:val="tx1"/>
            </w14:solidFill>
          </w14:textFill>
        </w:rPr>
        <w:t>主要起草人：</w:t>
      </w:r>
      <w:r>
        <w:rPr>
          <w:rFonts w:hint="eastAsia" w:ascii="宋体" w:hAnsi="宋体"/>
          <w:color w:val="000000" w:themeColor="text1"/>
          <w14:textFill>
            <w14:solidFill>
              <w14:schemeClr w14:val="tx1"/>
            </w14:solidFill>
          </w14:textFill>
        </w:rPr>
        <w:t>马海龙 孙会青 张世华 王群伟 王鹏 江根明 李忠春 孙锐 丁凤霞 应志杰 张友良 张建华 王永卫 马更臣、王向军、孟令鑫、赵晓光 吴大志 朱旭峰 顾石磊 袁浩翔 郑仁耀 孙付军 赵永献 黄志佳 萧业 朱学仁 卢勇 黄威 雷珊珊 贺海超 季弼宸 杨碧莲 许野</w:t>
      </w:r>
    </w:p>
    <w:p>
      <w:pPr>
        <w:spacing w:line="300" w:lineRule="auto"/>
        <w:ind w:firstLine="422" w:firstLineChars="200"/>
        <w:rPr>
          <w:rFonts w:ascii="宋体" w:hAnsi="宋体"/>
          <w:color w:val="000000" w:themeColor="text1"/>
          <w:szCs w:val="20"/>
          <w14:textFill>
            <w14:solidFill>
              <w14:schemeClr w14:val="tx1"/>
            </w14:solidFill>
          </w14:textFill>
        </w:rPr>
      </w:pPr>
      <w:r>
        <w:rPr>
          <w:rFonts w:hint="eastAsia" w:ascii="宋体" w:hAnsi="宋体"/>
          <w:b/>
          <w:bCs/>
          <w:color w:val="000000" w:themeColor="text1"/>
          <w:szCs w:val="20"/>
          <w14:textFill>
            <w14:solidFill>
              <w14:schemeClr w14:val="tx1"/>
            </w14:solidFill>
          </w14:textFill>
        </w:rPr>
        <w:t>主要审查人：</w:t>
      </w:r>
    </w:p>
    <w:p>
      <w:pPr>
        <w:spacing w:line="360" w:lineRule="auto"/>
        <w:jc w:val="center"/>
        <w:rPr>
          <w:rFonts w:ascii="Times New Roman" w:hAnsi="Times New Roman" w:cs="Times New Roman"/>
          <w:color w:val="000000" w:themeColor="text1"/>
          <w:szCs w:val="21"/>
          <w14:textFill>
            <w14:solidFill>
              <w14:schemeClr w14:val="tx1"/>
            </w14:solidFill>
          </w14:textFill>
        </w:rPr>
      </w:pPr>
      <w:r>
        <w:rPr>
          <w:b/>
          <w:color w:val="000000" w:themeColor="text1"/>
          <w:sz w:val="28"/>
          <w14:textFill>
            <w14:solidFill>
              <w14:schemeClr w14:val="tx1"/>
            </w14:solidFill>
          </w14:textFill>
        </w:rPr>
        <w:br w:type="page"/>
      </w:r>
    </w:p>
    <w:p>
      <w:pPr>
        <w:spacing w:line="360" w:lineRule="auto"/>
        <w:jc w:val="center"/>
        <w:rPr>
          <w:rFonts w:ascii="Times New Roman" w:hAnsi="Times New Roman" w:cs="Times New Roman"/>
          <w:color w:val="000000" w:themeColor="text1"/>
          <w:sz w:val="24"/>
          <w:szCs w:val="24"/>
          <w14:textFill>
            <w14:solidFill>
              <w14:schemeClr w14:val="tx1"/>
            </w14:solidFill>
          </w14:textFill>
        </w:rPr>
      </w:pPr>
      <w:bookmarkStart w:id="6" w:name="_Hlk154753364"/>
      <w:r>
        <w:rPr>
          <w:rFonts w:ascii="Times New Roman" w:hAnsi="Times New Roman" w:cs="Times New Roman"/>
          <w:color w:val="000000" w:themeColor="text1"/>
          <w:sz w:val="24"/>
          <w:szCs w:val="24"/>
          <w14:textFill>
            <w14:solidFill>
              <w14:schemeClr w14:val="tx1"/>
            </w14:solidFill>
          </w14:textFill>
        </w:rPr>
        <w:t>目</w:t>
      </w:r>
      <w:r>
        <w:rPr>
          <w:rFonts w:hint="eastAsia" w:ascii="Times New Roman" w:hAnsi="Times New Roman" w:cs="Times New Roman"/>
          <w:color w:val="000000" w:themeColor="text1"/>
          <w:sz w:val="24"/>
          <w:szCs w:val="24"/>
          <w14:textFill>
            <w14:solidFill>
              <w14:schemeClr w14:val="tx1"/>
            </w14:solidFill>
          </w14:textFill>
        </w:rPr>
        <w:t xml:space="preserve">  </w:t>
      </w:r>
      <w:r>
        <w:rPr>
          <w:rFonts w:ascii="Times New Roman" w:hAnsi="Times New Roman" w:cs="Times New Roman"/>
          <w:color w:val="000000" w:themeColor="text1"/>
          <w:sz w:val="24"/>
          <w:szCs w:val="24"/>
          <w14:textFill>
            <w14:solidFill>
              <w14:schemeClr w14:val="tx1"/>
            </w14:solidFill>
          </w14:textFill>
        </w:rPr>
        <w:t>次</w:t>
      </w:r>
    </w:p>
    <w:bookmarkEnd w:id="6"/>
    <w:p>
      <w:pPr>
        <w:pStyle w:val="15"/>
        <w:tabs>
          <w:tab w:val="right" w:leader="dot" w:pos="8296"/>
        </w:tabs>
        <w:rPr>
          <w:rFonts w:cstheme="minorBidi"/>
          <w:b w:val="0"/>
          <w:bCs w:val="0"/>
          <w:caps w:val="0"/>
          <w:sz w:val="21"/>
          <w:szCs w:val="22"/>
          <w14:ligatures w14:val="standardContextual"/>
        </w:rPr>
      </w:pPr>
      <w:r>
        <w:rPr>
          <w:rFonts w:ascii="Times New Roman" w:hAnsi="Times New Roman" w:eastAsia="宋体" w:cs="Times New Roman"/>
          <w:color w:val="000000" w:themeColor="text1"/>
          <w:szCs w:val="21"/>
          <w14:textFill>
            <w14:solidFill>
              <w14:schemeClr w14:val="tx1"/>
            </w14:solidFill>
          </w14:textFill>
        </w:rPr>
        <w:fldChar w:fldCharType="begin"/>
      </w:r>
      <w:r>
        <w:rPr>
          <w:rFonts w:ascii="Times New Roman" w:hAnsi="Times New Roman" w:eastAsia="宋体" w:cs="Times New Roman"/>
          <w:color w:val="000000" w:themeColor="text1"/>
          <w:szCs w:val="21"/>
          <w14:textFill>
            <w14:solidFill>
              <w14:schemeClr w14:val="tx1"/>
            </w14:solidFill>
          </w14:textFill>
        </w:rPr>
        <w:instrText xml:space="preserve"> TOC \o "1-2" \h \z \u </w:instrText>
      </w:r>
      <w:r>
        <w:rPr>
          <w:rFonts w:ascii="Times New Roman" w:hAnsi="Times New Roman" w:eastAsia="宋体" w:cs="Times New Roman"/>
          <w:color w:val="000000" w:themeColor="text1"/>
          <w:szCs w:val="21"/>
          <w14:textFill>
            <w14:solidFill>
              <w14:schemeClr w14:val="tx1"/>
            </w14:solidFill>
          </w14:textFill>
        </w:rPr>
        <w:fldChar w:fldCharType="separate"/>
      </w:r>
      <w:r>
        <w:fldChar w:fldCharType="begin"/>
      </w:r>
      <w:r>
        <w:instrText xml:space="preserve"> HYPERLINK \l "_Toc165274000" </w:instrText>
      </w:r>
      <w:r>
        <w:fldChar w:fldCharType="separate"/>
      </w:r>
      <w:r>
        <w:rPr>
          <w:rStyle w:val="25"/>
        </w:rPr>
        <w:t>1  总则</w:t>
      </w:r>
      <w:r>
        <w:tab/>
      </w:r>
      <w:r>
        <w:fldChar w:fldCharType="begin"/>
      </w:r>
      <w:r>
        <w:instrText xml:space="preserve"> PAGEREF _Toc165274000 \h </w:instrText>
      </w:r>
      <w:r>
        <w:fldChar w:fldCharType="separate"/>
      </w:r>
      <w:r>
        <w:t>1</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"_Toc165274001" </w:instrText>
      </w:r>
      <w:r>
        <w:fldChar w:fldCharType="separate"/>
      </w:r>
      <w:r>
        <w:rPr>
          <w:rStyle w:val="25"/>
        </w:rPr>
        <w:t>2  术语和符号</w:t>
      </w:r>
      <w:r>
        <w:tab/>
      </w:r>
      <w:r>
        <w:fldChar w:fldCharType="begin"/>
      </w:r>
      <w:r>
        <w:instrText xml:space="preserve"> PAGEREF _Toc165274001 \h </w:instrText>
      </w:r>
      <w:r>
        <w:fldChar w:fldCharType="separate"/>
      </w:r>
      <w:r>
        <w:t>2</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"_Toc165274002" </w:instrText>
      </w:r>
      <w:r>
        <w:fldChar w:fldCharType="separate"/>
      </w:r>
      <w:r>
        <w:rPr>
          <w:rStyle w:val="25"/>
        </w:rPr>
        <w:t>2.1 术语</w:t>
      </w:r>
      <w:r>
        <w:tab/>
      </w:r>
      <w:r>
        <w:fldChar w:fldCharType="begin"/>
      </w:r>
      <w:r>
        <w:instrText xml:space="preserve"> PAGEREF _Toc165274002 \h </w:instrText>
      </w:r>
      <w:r>
        <w:fldChar w:fldCharType="separate"/>
      </w:r>
      <w:r>
        <w:t>2</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"_Toc165274003" </w:instrText>
      </w:r>
      <w:r>
        <w:fldChar w:fldCharType="separate"/>
      </w:r>
      <w:r>
        <w:rPr>
          <w:rStyle w:val="25"/>
        </w:rPr>
        <w:t>2.2 符号</w:t>
      </w:r>
      <w:r>
        <w:tab/>
      </w:r>
      <w:r>
        <w:fldChar w:fldCharType="begin"/>
      </w:r>
      <w:r>
        <w:instrText xml:space="preserve"> PAGEREF _Toc165274003 \h </w:instrText>
      </w:r>
      <w:r>
        <w:fldChar w:fldCharType="separate"/>
      </w:r>
      <w:r>
        <w:t>2</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"_Toc165274004" </w:instrText>
      </w:r>
      <w:r>
        <w:fldChar w:fldCharType="separate"/>
      </w:r>
      <w:r>
        <w:rPr>
          <w:rStyle w:val="25"/>
        </w:rPr>
        <w:t>3   基本规定</w:t>
      </w:r>
      <w:r>
        <w:tab/>
      </w:r>
      <w:r>
        <w:fldChar w:fldCharType="begin"/>
      </w:r>
      <w:r>
        <w:instrText xml:space="preserve"> PAGEREF _Toc165274004 \h </w:instrText>
      </w:r>
      <w:r>
        <w:fldChar w:fldCharType="separate"/>
      </w:r>
      <w:r>
        <w:t>4</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"_Toc165274005" </w:instrText>
      </w:r>
      <w:r>
        <w:fldChar w:fldCharType="separate"/>
      </w:r>
      <w:r>
        <w:rPr>
          <w:rStyle w:val="25"/>
        </w:rPr>
        <w:t>3.1 一般规定</w:t>
      </w:r>
      <w:r>
        <w:tab/>
      </w:r>
      <w:r>
        <w:fldChar w:fldCharType="begin"/>
      </w:r>
      <w:r>
        <w:instrText xml:space="preserve"> PAGEREF _Toc165274005 \h </w:instrText>
      </w:r>
      <w:r>
        <w:fldChar w:fldCharType="separate"/>
      </w:r>
      <w:r>
        <w:t>4</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"_Toc165274006" </w:instrText>
      </w:r>
      <w:r>
        <w:fldChar w:fldCharType="separate"/>
      </w:r>
      <w:r>
        <w:rPr>
          <w:rStyle w:val="25"/>
        </w:rPr>
        <w:t>3.2 试桩工作程序</w:t>
      </w:r>
      <w:r>
        <w:tab/>
      </w:r>
      <w:r>
        <w:fldChar w:fldCharType="begin"/>
      </w:r>
      <w:r>
        <w:instrText xml:space="preserve"> PAGEREF _Toc165274006 \h </w:instrText>
      </w:r>
      <w:r>
        <w:fldChar w:fldCharType="separate"/>
      </w:r>
      <w:r>
        <w:t>4</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"_Toc165274007" </w:instrText>
      </w:r>
      <w:r>
        <w:fldChar w:fldCharType="separate"/>
      </w:r>
      <w:r>
        <w:rPr>
          <w:rStyle w:val="25"/>
        </w:rPr>
        <w:t>3.3 试桩数量</w:t>
      </w:r>
      <w:r>
        <w:tab/>
      </w:r>
      <w:r>
        <w:fldChar w:fldCharType="begin"/>
      </w:r>
      <w:r>
        <w:instrText xml:space="preserve"> PAGEREF _Toc165274007 \h </w:instrText>
      </w:r>
      <w:r>
        <w:fldChar w:fldCharType="separate"/>
      </w:r>
      <w:r>
        <w:t>5</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"_Toc165274008" </w:instrText>
      </w:r>
      <w:r>
        <w:fldChar w:fldCharType="separate"/>
      </w:r>
      <w:r>
        <w:rPr>
          <w:rStyle w:val="25"/>
        </w:rPr>
        <w:t>3.4 试桩位置</w:t>
      </w:r>
      <w:r>
        <w:tab/>
      </w:r>
      <w:r>
        <w:fldChar w:fldCharType="begin"/>
      </w:r>
      <w:r>
        <w:instrText xml:space="preserve"> PAGEREF _Toc165274008 \h </w:instrText>
      </w:r>
      <w:r>
        <w:fldChar w:fldCharType="separate"/>
      </w:r>
      <w:r>
        <w:t>5</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"_Toc165274009" </w:instrText>
      </w:r>
      <w:r>
        <w:fldChar w:fldCharType="separate"/>
      </w:r>
      <w:r>
        <w:rPr>
          <w:rStyle w:val="25"/>
        </w:rPr>
        <w:t>3.5 试桩加载值</w:t>
      </w:r>
      <w:r>
        <w:tab/>
      </w:r>
      <w:r>
        <w:fldChar w:fldCharType="begin"/>
      </w:r>
      <w:r>
        <w:instrText xml:space="preserve"> PAGEREF _Toc165274009 \h </w:instrText>
      </w:r>
      <w:r>
        <w:fldChar w:fldCharType="separate"/>
      </w:r>
      <w:r>
        <w:t>5</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"_Toc165274010" </w:instrText>
      </w:r>
      <w:r>
        <w:fldChar w:fldCharType="separate"/>
      </w:r>
      <w:r>
        <w:rPr>
          <w:rStyle w:val="25"/>
        </w:rPr>
        <w:t>3.6 平衡点及通道灌浆</w:t>
      </w:r>
      <w:r>
        <w:tab/>
      </w:r>
      <w:r>
        <w:fldChar w:fldCharType="begin"/>
      </w:r>
      <w:r>
        <w:instrText xml:space="preserve"> PAGEREF _Toc165274010 \h </w:instrText>
      </w:r>
      <w:r>
        <w:fldChar w:fldCharType="separate"/>
      </w:r>
      <w:r>
        <w:t>5</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"_Toc165274011" </w:instrText>
      </w:r>
      <w:r>
        <w:fldChar w:fldCharType="separate"/>
      </w:r>
      <w:r>
        <w:rPr>
          <w:rStyle w:val="25"/>
        </w:rPr>
        <w:t>3.7 检测机构、人员及检测程序和要求</w:t>
      </w:r>
      <w:r>
        <w:tab/>
      </w:r>
      <w:r>
        <w:fldChar w:fldCharType="begin"/>
      </w:r>
      <w:r>
        <w:instrText xml:space="preserve"> PAGEREF _Toc165274011 \h </w:instrText>
      </w:r>
      <w:r>
        <w:fldChar w:fldCharType="separate"/>
      </w:r>
      <w:r>
        <w:t>6</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"_Toc165274012" </w:instrText>
      </w:r>
      <w:r>
        <w:fldChar w:fldCharType="separate"/>
      </w:r>
      <w:r>
        <w:rPr>
          <w:rStyle w:val="25"/>
        </w:rPr>
        <w:t>3.8 检测结果评价和检测报告</w:t>
      </w:r>
      <w:r>
        <w:tab/>
      </w:r>
      <w:r>
        <w:fldChar w:fldCharType="begin"/>
      </w:r>
      <w:r>
        <w:instrText xml:space="preserve"> PAGEREF _Toc165274012 \h </w:instrText>
      </w:r>
      <w:r>
        <w:fldChar w:fldCharType="separate"/>
      </w:r>
      <w:r>
        <w:t>6</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"_Toc165274013" </w:instrText>
      </w:r>
      <w:r>
        <w:fldChar w:fldCharType="separate"/>
      </w:r>
      <w:r>
        <w:rPr>
          <w:rStyle w:val="25"/>
        </w:rPr>
        <w:t>4  设备仪器及安装</w:t>
      </w:r>
      <w:r>
        <w:tab/>
      </w:r>
      <w:r>
        <w:fldChar w:fldCharType="begin"/>
      </w:r>
      <w:r>
        <w:instrText xml:space="preserve"> PAGEREF _Toc165274013 \h </w:instrText>
      </w:r>
      <w:r>
        <w:fldChar w:fldCharType="separate"/>
      </w:r>
      <w:r>
        <w:t>7</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"_Toc165274014" </w:instrText>
      </w:r>
      <w:r>
        <w:fldChar w:fldCharType="separate"/>
      </w:r>
      <w:r>
        <w:rPr>
          <w:rStyle w:val="25"/>
        </w:rPr>
        <w:t>4.1  设备仪器</w:t>
      </w:r>
      <w:r>
        <w:tab/>
      </w:r>
      <w:r>
        <w:fldChar w:fldCharType="begin"/>
      </w:r>
      <w:r>
        <w:instrText xml:space="preserve"> PAGEREF _Toc165274014 \h </w:instrText>
      </w:r>
      <w:r>
        <w:fldChar w:fldCharType="separate"/>
      </w:r>
      <w:r>
        <w:t>7</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"_Toc165274015" </w:instrText>
      </w:r>
      <w:r>
        <w:fldChar w:fldCharType="separate"/>
      </w:r>
      <w:r>
        <w:rPr>
          <w:rStyle w:val="25"/>
        </w:rPr>
        <w:t>4.2  设备安装</w:t>
      </w:r>
      <w:r>
        <w:tab/>
      </w:r>
      <w:r>
        <w:fldChar w:fldCharType="begin"/>
      </w:r>
      <w:r>
        <w:instrText xml:space="preserve"> PAGEREF _Toc165274015 \h </w:instrText>
      </w:r>
      <w:r>
        <w:fldChar w:fldCharType="separate"/>
      </w:r>
      <w:r>
        <w:t>7</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"_Toc165274016" </w:instrText>
      </w:r>
      <w:r>
        <w:fldChar w:fldCharType="separate"/>
      </w:r>
      <w:r>
        <w:rPr>
          <w:rStyle w:val="25"/>
        </w:rPr>
        <w:t>5  现场检测</w:t>
      </w:r>
      <w:r>
        <w:tab/>
      </w:r>
      <w:r>
        <w:fldChar w:fldCharType="begin"/>
      </w:r>
      <w:r>
        <w:instrText xml:space="preserve"> PAGEREF _Toc165274016 \h </w:instrText>
      </w:r>
      <w:r>
        <w:fldChar w:fldCharType="separate"/>
      </w:r>
      <w:r>
        <w:t>8</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"_Toc165274017" </w:instrText>
      </w:r>
      <w:r>
        <w:fldChar w:fldCharType="separate"/>
      </w:r>
      <w:r>
        <w:rPr>
          <w:rStyle w:val="25"/>
        </w:rPr>
        <w:t>5.1 试验加、卸载方式</w:t>
      </w:r>
      <w:r>
        <w:tab/>
      </w:r>
      <w:r>
        <w:fldChar w:fldCharType="begin"/>
      </w:r>
      <w:r>
        <w:instrText xml:space="preserve"> PAGEREF _Toc165274017 \h </w:instrText>
      </w:r>
      <w:r>
        <w:fldChar w:fldCharType="separate"/>
      </w:r>
      <w:r>
        <w:t>8</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"_Toc165274018" </w:instrText>
      </w:r>
      <w:r>
        <w:fldChar w:fldCharType="separate"/>
      </w:r>
      <w:r>
        <w:rPr>
          <w:rStyle w:val="25"/>
        </w:rPr>
        <w:t>5.2 慢速维持荷载法试验</w:t>
      </w:r>
      <w:r>
        <w:tab/>
      </w:r>
      <w:r>
        <w:fldChar w:fldCharType="begin"/>
      </w:r>
      <w:r>
        <w:instrText xml:space="preserve"> PAGEREF _Toc165274018 \h </w:instrText>
      </w:r>
      <w:r>
        <w:fldChar w:fldCharType="separate"/>
      </w:r>
      <w:r>
        <w:t>8</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"_Toc165274019" </w:instrText>
      </w:r>
      <w:r>
        <w:fldChar w:fldCharType="separate"/>
      </w:r>
      <w:r>
        <w:rPr>
          <w:rStyle w:val="25"/>
        </w:rPr>
        <w:t>5.3终止加载条件</w:t>
      </w:r>
      <w:r>
        <w:tab/>
      </w:r>
      <w:r>
        <w:fldChar w:fldCharType="begin"/>
      </w:r>
      <w:r>
        <w:instrText xml:space="preserve"> PAGEREF _Toc165274019 \h </w:instrText>
      </w:r>
      <w:r>
        <w:fldChar w:fldCharType="separate"/>
      </w:r>
      <w:r>
        <w:t>8</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"_Toc165274020" </w:instrText>
      </w:r>
      <w:r>
        <w:fldChar w:fldCharType="separate"/>
      </w:r>
      <w:r>
        <w:rPr>
          <w:rStyle w:val="25"/>
        </w:rPr>
        <w:t>5.4 检测数据记录</w:t>
      </w:r>
      <w:r>
        <w:tab/>
      </w:r>
      <w:r>
        <w:fldChar w:fldCharType="begin"/>
      </w:r>
      <w:r>
        <w:instrText xml:space="preserve"> PAGEREF _Toc165274020 \h </w:instrText>
      </w:r>
      <w:r>
        <w:fldChar w:fldCharType="separate"/>
      </w:r>
      <w:r>
        <w:t>9</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"_Toc165274021" </w:instrText>
      </w:r>
      <w:r>
        <w:fldChar w:fldCharType="separate"/>
      </w:r>
      <w:r>
        <w:rPr>
          <w:rStyle w:val="25"/>
        </w:rPr>
        <w:t>6  检测数据分析与承载力判定</w:t>
      </w:r>
      <w:r>
        <w:tab/>
      </w:r>
      <w:r>
        <w:fldChar w:fldCharType="begin"/>
      </w:r>
      <w:r>
        <w:instrText xml:space="preserve"> PAGEREF _Toc165274021 \h </w:instrText>
      </w:r>
      <w:r>
        <w:fldChar w:fldCharType="separate"/>
      </w:r>
      <w:r>
        <w:t>10</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"_Toc165274022" </w:instrText>
      </w:r>
      <w:r>
        <w:fldChar w:fldCharType="separate"/>
      </w:r>
      <w:r>
        <w:rPr>
          <w:rStyle w:val="25"/>
        </w:rPr>
        <w:t>6.1 绘制相关曲线</w:t>
      </w:r>
      <w:r>
        <w:tab/>
      </w:r>
      <w:r>
        <w:fldChar w:fldCharType="begin"/>
      </w:r>
      <w:r>
        <w:instrText xml:space="preserve"> PAGEREF _Toc165274022 \h </w:instrText>
      </w:r>
      <w:r>
        <w:fldChar w:fldCharType="separate"/>
      </w:r>
      <w:r>
        <w:t>10</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"_Toc165274023" </w:instrText>
      </w:r>
      <w:r>
        <w:fldChar w:fldCharType="separate"/>
      </w:r>
      <w:r>
        <w:rPr>
          <w:rStyle w:val="25"/>
        </w:rPr>
        <w:t>6.2  承载力确定</w:t>
      </w:r>
      <w:r>
        <w:tab/>
      </w:r>
      <w:r>
        <w:fldChar w:fldCharType="begin"/>
      </w:r>
      <w:r>
        <w:instrText xml:space="preserve"> PAGEREF _Toc165274023 \h </w:instrText>
      </w:r>
      <w:r>
        <w:fldChar w:fldCharType="separate"/>
      </w:r>
      <w:r>
        <w:t>10</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"_Toc165274024" </w:instrText>
      </w:r>
      <w:r>
        <w:fldChar w:fldCharType="separate"/>
      </w:r>
      <w:r>
        <w:rPr>
          <w:rStyle w:val="25"/>
        </w:rPr>
        <w:t>7  检测报告</w:t>
      </w:r>
      <w:r>
        <w:tab/>
      </w:r>
      <w:r>
        <w:fldChar w:fldCharType="begin"/>
      </w:r>
      <w:r>
        <w:instrText xml:space="preserve"> PAGEREF _Toc165274024 \h </w:instrText>
      </w:r>
      <w:r>
        <w:fldChar w:fldCharType="separate"/>
      </w:r>
      <w:r>
        <w:t>12</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"_Toc165274025" </w:instrText>
      </w:r>
      <w:r>
        <w:fldChar w:fldCharType="separate"/>
      </w:r>
      <w:r>
        <w:rPr>
          <w:rStyle w:val="25"/>
        </w:rPr>
        <w:t>附录A  平衡点确定方法</w:t>
      </w:r>
      <w:r>
        <w:tab/>
      </w:r>
      <w:r>
        <w:fldChar w:fldCharType="begin"/>
      </w:r>
      <w:r>
        <w:instrText xml:space="preserve"> PAGEREF _Toc165274025 \h </w:instrText>
      </w:r>
      <w:r>
        <w:fldChar w:fldCharType="separate"/>
      </w:r>
      <w:r>
        <w:t>13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"_Toc165274026" </w:instrText>
      </w:r>
      <w:r>
        <w:fldChar w:fldCharType="separate"/>
      </w:r>
      <w:r>
        <w:rPr>
          <w:rStyle w:val="25"/>
        </w:rPr>
        <w:t>A.1 按下列公式计算平衡点位置</w:t>
      </w:r>
      <w:r>
        <w:tab/>
      </w:r>
      <w:r>
        <w:fldChar w:fldCharType="begin"/>
      </w:r>
      <w:r>
        <w:instrText xml:space="preserve"> PAGEREF _Toc165274026 \h </w:instrText>
      </w:r>
      <w:r>
        <w:fldChar w:fldCharType="separate"/>
      </w:r>
      <w:r>
        <w:t>13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"_Toc165274027" </w:instrText>
      </w:r>
      <w:r>
        <w:fldChar w:fldCharType="separate"/>
      </w:r>
      <w:r>
        <w:rPr>
          <w:rStyle w:val="25"/>
        </w:rPr>
        <w:t>A.2 上段桩长度、下段桩长度确定</w:t>
      </w:r>
      <w:r>
        <w:tab/>
      </w:r>
      <w:r>
        <w:fldChar w:fldCharType="begin"/>
      </w:r>
      <w:r>
        <w:instrText xml:space="preserve"> PAGEREF _Toc165274027 \h </w:instrText>
      </w:r>
      <w:r>
        <w:fldChar w:fldCharType="separate"/>
      </w:r>
      <w:r>
        <w:t>13</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"_Toc165274028" </w:instrText>
      </w:r>
      <w:r>
        <w:fldChar w:fldCharType="separate"/>
      </w:r>
      <w:r>
        <w:rPr>
          <w:rStyle w:val="25"/>
        </w:rPr>
        <w:t>附录B  检测系统的安装与连接</w:t>
      </w:r>
      <w:r>
        <w:tab/>
      </w:r>
      <w:r>
        <w:fldChar w:fldCharType="begin"/>
      </w:r>
      <w:r>
        <w:instrText xml:space="preserve"> PAGEREF _Toc165274028 \h </w:instrText>
      </w:r>
      <w:r>
        <w:fldChar w:fldCharType="separate"/>
      </w:r>
      <w:r>
        <w:t>14</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"_Toc165274029" </w:instrText>
      </w:r>
      <w:r>
        <w:fldChar w:fldCharType="separate"/>
      </w:r>
      <w:r>
        <w:rPr>
          <w:rStyle w:val="25"/>
        </w:rPr>
        <w:t>附录C  自锚试桩数据记录表</w:t>
      </w:r>
      <w:r>
        <w:tab/>
      </w:r>
      <w:r>
        <w:fldChar w:fldCharType="begin"/>
      </w:r>
      <w:r>
        <w:instrText xml:space="preserve"> PAGEREF _Toc165274029 \h </w:instrText>
      </w:r>
      <w:r>
        <w:fldChar w:fldCharType="separate"/>
      </w:r>
      <w:r>
        <w:t>15</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"_Toc165274030" </w:instrText>
      </w:r>
      <w:r>
        <w:fldChar w:fldCharType="separate"/>
      </w:r>
      <w:r>
        <w:rPr>
          <w:rStyle w:val="25"/>
        </w:rPr>
        <w:t>C.1 自锚试桩法试验的检测数据可按表C.1记录</w:t>
      </w:r>
      <w:r>
        <w:tab/>
      </w:r>
      <w:r>
        <w:fldChar w:fldCharType="begin"/>
      </w:r>
      <w:r>
        <w:instrText xml:space="preserve"> PAGEREF _Toc165274030 \h </w:instrText>
      </w:r>
      <w:r>
        <w:fldChar w:fldCharType="separate"/>
      </w:r>
      <w:r>
        <w:t>15</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"_Toc165274031" </w:instrText>
      </w:r>
      <w:r>
        <w:fldChar w:fldCharType="separate"/>
      </w:r>
      <w:r>
        <w:rPr>
          <w:rStyle w:val="25"/>
        </w:rPr>
        <w:t>C.2 自锚试桩法试验的结果汇总可按表C.2记录</w:t>
      </w:r>
      <w:r>
        <w:tab/>
      </w:r>
      <w:r>
        <w:fldChar w:fldCharType="begin"/>
      </w:r>
      <w:r>
        <w:instrText xml:space="preserve"> PAGEREF _Toc165274031 \h </w:instrText>
      </w:r>
      <w:r>
        <w:fldChar w:fldCharType="separate"/>
      </w:r>
      <w:r>
        <w:t>15</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"_Toc165274032" </w:instrText>
      </w:r>
      <w:r>
        <w:fldChar w:fldCharType="separate"/>
      </w:r>
      <w:r>
        <w:rPr>
          <w:rStyle w:val="25"/>
        </w:rPr>
        <w:t>附录D  等效转换方法</w:t>
      </w:r>
      <w:r>
        <w:tab/>
      </w:r>
      <w:r>
        <w:fldChar w:fldCharType="begin"/>
      </w:r>
      <w:r>
        <w:instrText xml:space="preserve"> PAGEREF _Toc165274032 \h </w:instrText>
      </w:r>
      <w:r>
        <w:fldChar w:fldCharType="separate"/>
      </w:r>
      <w:r>
        <w:t>16</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"_Toc165274033" </w:instrText>
      </w:r>
      <w:r>
        <w:fldChar w:fldCharType="separate"/>
      </w:r>
      <w:r>
        <w:rPr>
          <w:rStyle w:val="25"/>
        </w:rPr>
        <w:t>D.1 简单转换法</w:t>
      </w:r>
      <w:r>
        <w:tab/>
      </w:r>
      <w:r>
        <w:fldChar w:fldCharType="begin"/>
      </w:r>
      <w:r>
        <w:instrText xml:space="preserve"> PAGEREF _Toc165274033 \h </w:instrText>
      </w:r>
      <w:r>
        <w:fldChar w:fldCharType="separate"/>
      </w:r>
      <w:r>
        <w:t>16</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"_Toc165274034" </w:instrText>
      </w:r>
      <w:r>
        <w:fldChar w:fldCharType="separate"/>
      </w:r>
      <w:r>
        <w:rPr>
          <w:rStyle w:val="25"/>
        </w:rPr>
        <w:t>D.2 解析转化法</w:t>
      </w:r>
      <w:r>
        <w:tab/>
      </w:r>
      <w:r>
        <w:fldChar w:fldCharType="begin"/>
      </w:r>
      <w:r>
        <w:instrText xml:space="preserve"> PAGEREF _Toc165274034 \h </w:instrText>
      </w:r>
      <w:r>
        <w:fldChar w:fldCharType="separate"/>
      </w:r>
      <w:r>
        <w:t>17</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"_Toc165274035" </w:instrText>
      </w:r>
      <w:r>
        <w:fldChar w:fldCharType="separate"/>
      </w:r>
      <w:r>
        <w:rPr>
          <w:rStyle w:val="25"/>
        </w:rPr>
        <w:t>本规范用词说明</w:t>
      </w:r>
      <w:r>
        <w:tab/>
      </w:r>
      <w:r>
        <w:fldChar w:fldCharType="begin"/>
      </w:r>
      <w:r>
        <w:instrText xml:space="preserve"> PAGEREF _Toc165274035 \h </w:instrText>
      </w:r>
      <w:r>
        <w:fldChar w:fldCharType="separate"/>
      </w:r>
      <w:r>
        <w:t>20</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"_Toc165274036" </w:instrText>
      </w:r>
      <w:r>
        <w:fldChar w:fldCharType="separate"/>
      </w:r>
      <w:r>
        <w:rPr>
          <w:rStyle w:val="25"/>
        </w:rPr>
        <w:t>引用标准名录</w:t>
      </w:r>
      <w:r>
        <w:tab/>
      </w:r>
      <w:r>
        <w:fldChar w:fldCharType="begin"/>
      </w:r>
      <w:r>
        <w:instrText xml:space="preserve"> PAGEREF _Toc165274036 \h </w:instrText>
      </w:r>
      <w:r>
        <w:fldChar w:fldCharType="separate"/>
      </w:r>
      <w:r>
        <w:t>21</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"_Toc165274037" </w:instrText>
      </w:r>
      <w:r>
        <w:fldChar w:fldCharType="separate"/>
      </w:r>
      <w:r>
        <w:rPr>
          <w:rStyle w:val="25"/>
        </w:rPr>
        <w:t>1  总则</w:t>
      </w:r>
      <w:r>
        <w:tab/>
      </w:r>
      <w:r>
        <w:fldChar w:fldCharType="begin"/>
      </w:r>
      <w:r>
        <w:instrText xml:space="preserve"> PAGEREF _Toc165274037 \h </w:instrText>
      </w:r>
      <w:r>
        <w:fldChar w:fldCharType="separate"/>
      </w:r>
      <w:r>
        <w:t>2</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"_Toc165274038" </w:instrText>
      </w:r>
      <w:r>
        <w:fldChar w:fldCharType="separate"/>
      </w:r>
      <w:r>
        <w:rPr>
          <w:rStyle w:val="25"/>
        </w:rPr>
        <w:t>3   基本规定</w:t>
      </w:r>
      <w:r>
        <w:tab/>
      </w:r>
      <w:r>
        <w:fldChar w:fldCharType="begin"/>
      </w:r>
      <w:r>
        <w:instrText xml:space="preserve"> PAGEREF _Toc165274038 \h </w:instrText>
      </w:r>
      <w:r>
        <w:fldChar w:fldCharType="separate"/>
      </w:r>
      <w:r>
        <w:t>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"_Toc165274039" </w:instrText>
      </w:r>
      <w:r>
        <w:fldChar w:fldCharType="separate"/>
      </w:r>
      <w:r>
        <w:rPr>
          <w:rStyle w:val="25"/>
        </w:rPr>
        <w:t>3.1 一般规定</w:t>
      </w:r>
      <w:r>
        <w:tab/>
      </w:r>
      <w:r>
        <w:fldChar w:fldCharType="begin"/>
      </w:r>
      <w:r>
        <w:instrText xml:space="preserve"> PAGEREF _Toc165274039 \h </w:instrText>
      </w:r>
      <w:r>
        <w:fldChar w:fldCharType="separate"/>
      </w:r>
      <w:r>
        <w:t>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"_Toc165274040" </w:instrText>
      </w:r>
      <w:r>
        <w:fldChar w:fldCharType="separate"/>
      </w:r>
      <w:r>
        <w:rPr>
          <w:rStyle w:val="25"/>
        </w:rPr>
        <w:t>3.4 试桩位置</w:t>
      </w:r>
      <w:r>
        <w:tab/>
      </w:r>
      <w:r>
        <w:fldChar w:fldCharType="begin"/>
      </w:r>
      <w:r>
        <w:instrText xml:space="preserve"> PAGEREF _Toc165274040 \h </w:instrText>
      </w:r>
      <w:r>
        <w:fldChar w:fldCharType="separate"/>
      </w:r>
      <w:r>
        <w:t>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"_Toc165274041" </w:instrText>
      </w:r>
      <w:r>
        <w:fldChar w:fldCharType="separate"/>
      </w:r>
      <w:r>
        <w:rPr>
          <w:rStyle w:val="25"/>
        </w:rPr>
        <w:t>3.5 试桩加载值</w:t>
      </w:r>
      <w:r>
        <w:tab/>
      </w:r>
      <w:r>
        <w:fldChar w:fldCharType="begin"/>
      </w:r>
      <w:r>
        <w:instrText xml:space="preserve"> PAGEREF _Toc165274041 \h </w:instrText>
      </w:r>
      <w:r>
        <w:fldChar w:fldCharType="separate"/>
      </w:r>
      <w:r>
        <w:t>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"_Toc165274042" </w:instrText>
      </w:r>
      <w:r>
        <w:fldChar w:fldCharType="separate"/>
      </w:r>
      <w:r>
        <w:rPr>
          <w:rStyle w:val="25"/>
        </w:rPr>
        <w:t>3.6 平衡点及通道灌浆</w:t>
      </w:r>
      <w:r>
        <w:tab/>
      </w:r>
      <w:r>
        <w:fldChar w:fldCharType="begin"/>
      </w:r>
      <w:r>
        <w:instrText xml:space="preserve"> PAGEREF _Toc165274042 \h </w:instrText>
      </w:r>
      <w:r>
        <w:fldChar w:fldCharType="separate"/>
      </w:r>
      <w:r>
        <w:t>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"_Toc165274043" </w:instrText>
      </w:r>
      <w:r>
        <w:fldChar w:fldCharType="separate"/>
      </w:r>
      <w:r>
        <w:rPr>
          <w:rStyle w:val="25"/>
        </w:rPr>
        <w:t>3.7 检测机构、人员及检测程序和要求</w:t>
      </w:r>
      <w:r>
        <w:tab/>
      </w:r>
      <w:r>
        <w:fldChar w:fldCharType="begin"/>
      </w:r>
      <w:r>
        <w:instrText xml:space="preserve"> PAGEREF _Toc165274043 \h </w:instrText>
      </w:r>
      <w:r>
        <w:fldChar w:fldCharType="separate"/>
      </w:r>
      <w:r>
        <w:t>4</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"_Toc165274044" </w:instrText>
      </w:r>
      <w:r>
        <w:fldChar w:fldCharType="separate"/>
      </w:r>
      <w:r>
        <w:rPr>
          <w:rStyle w:val="25"/>
        </w:rPr>
        <w:t>3.8 检测结果评价和检测报告</w:t>
      </w:r>
      <w:r>
        <w:tab/>
      </w:r>
      <w:r>
        <w:fldChar w:fldCharType="begin"/>
      </w:r>
      <w:r>
        <w:instrText xml:space="preserve"> PAGEREF _Toc165274044 \h </w:instrText>
      </w:r>
      <w:r>
        <w:fldChar w:fldCharType="separate"/>
      </w:r>
      <w:r>
        <w:t>4</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"_Toc165274045" </w:instrText>
      </w:r>
      <w:r>
        <w:fldChar w:fldCharType="separate"/>
      </w:r>
      <w:r>
        <w:rPr>
          <w:rStyle w:val="25"/>
        </w:rPr>
        <w:t>4  设备仪器及安装</w:t>
      </w:r>
      <w:r>
        <w:tab/>
      </w:r>
      <w:r>
        <w:fldChar w:fldCharType="begin"/>
      </w:r>
      <w:r>
        <w:instrText xml:space="preserve"> PAGEREF _Toc165274045 \h </w:instrText>
      </w:r>
      <w:r>
        <w:fldChar w:fldCharType="separate"/>
      </w:r>
      <w:r>
        <w:t>5</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"_Toc165274046" </w:instrText>
      </w:r>
      <w:r>
        <w:fldChar w:fldCharType="separate"/>
      </w:r>
      <w:r>
        <w:rPr>
          <w:rStyle w:val="25"/>
        </w:rPr>
        <w:t>4.2  设备安装</w:t>
      </w:r>
      <w:r>
        <w:tab/>
      </w:r>
      <w:r>
        <w:fldChar w:fldCharType="begin"/>
      </w:r>
      <w:r>
        <w:instrText xml:space="preserve"> PAGEREF _Toc165274046 \h </w:instrText>
      </w:r>
      <w:r>
        <w:fldChar w:fldCharType="separate"/>
      </w:r>
      <w:r>
        <w:t>5</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"_Toc165274047" </w:instrText>
      </w:r>
      <w:r>
        <w:fldChar w:fldCharType="separate"/>
      </w:r>
      <w:r>
        <w:rPr>
          <w:rStyle w:val="25"/>
        </w:rPr>
        <w:t>5  现场检测</w:t>
      </w:r>
      <w:r>
        <w:tab/>
      </w:r>
      <w:r>
        <w:fldChar w:fldCharType="begin"/>
      </w:r>
      <w:r>
        <w:instrText xml:space="preserve"> PAGEREF _Toc165274047 \h </w:instrText>
      </w:r>
      <w:r>
        <w:fldChar w:fldCharType="separate"/>
      </w:r>
      <w:r>
        <w:t>5</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"_Toc165274048" </w:instrText>
      </w:r>
      <w:r>
        <w:fldChar w:fldCharType="separate"/>
      </w:r>
      <w:r>
        <w:rPr>
          <w:rStyle w:val="25"/>
        </w:rPr>
        <w:t>5.3终止加载条件</w:t>
      </w:r>
      <w:r>
        <w:tab/>
      </w:r>
      <w:r>
        <w:fldChar w:fldCharType="begin"/>
      </w:r>
      <w:r>
        <w:instrText xml:space="preserve"> PAGEREF _Toc165274048 \h </w:instrText>
      </w:r>
      <w:r>
        <w:fldChar w:fldCharType="separate"/>
      </w:r>
      <w:r>
        <w:t>5</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"_Toc165274049" </w:instrText>
      </w:r>
      <w:r>
        <w:fldChar w:fldCharType="separate"/>
      </w:r>
      <w:r>
        <w:rPr>
          <w:rStyle w:val="25"/>
        </w:rPr>
        <w:t>6  检测数据分析与承载力判定</w:t>
      </w:r>
      <w:r>
        <w:tab/>
      </w:r>
      <w:r>
        <w:fldChar w:fldCharType="begin"/>
      </w:r>
      <w:r>
        <w:instrText xml:space="preserve"> PAGEREF _Toc165274049 \h </w:instrText>
      </w:r>
      <w:r>
        <w:fldChar w:fldCharType="separate"/>
      </w:r>
      <w:r>
        <w:t>6</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"_Toc165274050" </w:instrText>
      </w:r>
      <w:r>
        <w:fldChar w:fldCharType="separate"/>
      </w:r>
      <w:r>
        <w:rPr>
          <w:rStyle w:val="25"/>
        </w:rPr>
        <w:t>6.1 绘制相关曲线</w:t>
      </w:r>
      <w:r>
        <w:tab/>
      </w:r>
      <w:r>
        <w:fldChar w:fldCharType="begin"/>
      </w:r>
      <w:r>
        <w:instrText xml:space="preserve"> PAGEREF _Toc165274050 \h </w:instrText>
      </w:r>
      <w:r>
        <w:fldChar w:fldCharType="separate"/>
      </w:r>
      <w:r>
        <w:t>6</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"_Toc165274051" </w:instrText>
      </w:r>
      <w:r>
        <w:fldChar w:fldCharType="separate"/>
      </w:r>
      <w:r>
        <w:rPr>
          <w:rStyle w:val="25"/>
        </w:rPr>
        <w:t>6.2  承载力确定</w:t>
      </w:r>
      <w:r>
        <w:tab/>
      </w:r>
      <w:r>
        <w:fldChar w:fldCharType="begin"/>
      </w:r>
      <w:r>
        <w:instrText xml:space="preserve"> PAGEREF _Toc165274051 \h </w:instrText>
      </w:r>
      <w:r>
        <w:fldChar w:fldCharType="separate"/>
      </w:r>
      <w:r>
        <w:t>6</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"_Toc165274052" </w:instrText>
      </w:r>
      <w:r>
        <w:fldChar w:fldCharType="separate"/>
      </w:r>
      <w:r>
        <w:rPr>
          <w:rStyle w:val="25"/>
        </w:rPr>
        <w:t>7  检测报告</w:t>
      </w:r>
      <w:r>
        <w:tab/>
      </w:r>
      <w:r>
        <w:fldChar w:fldCharType="begin"/>
      </w:r>
      <w:r>
        <w:instrText xml:space="preserve"> PAGEREF _Toc165274052 \h </w:instrText>
      </w:r>
      <w:r>
        <w:fldChar w:fldCharType="separate"/>
      </w:r>
      <w:r>
        <w:t>7</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"_Toc165274053" </w:instrText>
      </w:r>
      <w:r>
        <w:fldChar w:fldCharType="separate"/>
      </w:r>
      <w:r>
        <w:rPr>
          <w:rStyle w:val="25"/>
        </w:rPr>
        <w:t>附录D  等效转换方法</w:t>
      </w:r>
      <w:r>
        <w:tab/>
      </w:r>
      <w:r>
        <w:fldChar w:fldCharType="begin"/>
      </w:r>
      <w:r>
        <w:instrText xml:space="preserve"> PAGEREF _Toc165274053 \h </w:instrText>
      </w:r>
      <w:r>
        <w:fldChar w:fldCharType="separate"/>
      </w:r>
      <w:r>
        <w:t>8</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"_Toc165274054" </w:instrText>
      </w:r>
      <w:r>
        <w:fldChar w:fldCharType="separate"/>
      </w:r>
      <w:r>
        <w:rPr>
          <w:rStyle w:val="25"/>
        </w:rPr>
        <w:t>D.1 简单转换法</w:t>
      </w:r>
      <w:r>
        <w:tab/>
      </w:r>
      <w:r>
        <w:fldChar w:fldCharType="begin"/>
      </w:r>
      <w:r>
        <w:instrText xml:space="preserve"> PAGEREF _Toc165274054 \h </w:instrText>
      </w:r>
      <w:r>
        <w:fldChar w:fldCharType="separate"/>
      </w:r>
      <w:r>
        <w:t>8</w:t>
      </w:r>
      <w:r>
        <w:fldChar w:fldCharType="end"/>
      </w:r>
      <w:r>
        <w:fldChar w:fldCharType="end"/>
      </w: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fldChar w:fldCharType="end"/>
      </w: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p>
    <w:p>
      <w:pPr>
        <w:spacing w:line="360" w:lineRule="auto"/>
        <w:jc w:val="center"/>
        <w:rPr>
          <w:rFonts w:ascii="Times New Roman" w:hAnsi="Times New Roman" w:eastAsia="宋体" w:cs="Times New Roman"/>
          <w:color w:val="000000" w:themeColor="text1"/>
          <w:szCs w:val="21"/>
          <w14:textFill>
            <w14:solidFill>
              <w14:schemeClr w14:val="tx1"/>
            </w14:solidFill>
          </w14:textFill>
        </w:rPr>
        <w:sectPr>
          <w:footerReference r:id="rId7" w:type="default"/>
          <w:pgSz w:w="11906" w:h="16838"/>
          <w:pgMar w:top="1440" w:right="1800" w:bottom="1440" w:left="1800" w:header="851" w:footer="992" w:gutter="0"/>
          <w:cols w:space="425" w:num="1"/>
          <w:docGrid w:type="lines" w:linePitch="312" w:charSpace="0"/>
        </w:sectPr>
      </w:pPr>
    </w:p>
    <w:p>
      <w:pPr>
        <w:pStyle w:val="2"/>
        <w:rPr>
          <w:color w:val="000000" w:themeColor="text1"/>
          <w14:textFill>
            <w14:solidFill>
              <w14:schemeClr w14:val="tx1"/>
            </w14:solidFill>
          </w14:textFill>
        </w:rPr>
      </w:pPr>
      <w:bookmarkStart w:id="7" w:name="_Toc154934706"/>
      <w:bookmarkStart w:id="8" w:name="_Toc165274000"/>
      <w:bookmarkStart w:id="9" w:name="_Toc154757360"/>
      <w:bookmarkStart w:id="10" w:name="_Hlk154753547"/>
      <w:r>
        <w:rPr>
          <w:color w:val="000000" w:themeColor="text1"/>
          <w14:textFill>
            <w14:solidFill>
              <w14:schemeClr w14:val="tx1"/>
            </w14:solidFill>
          </w14:textFill>
        </w:rPr>
        <w:t>1  总则</w:t>
      </w:r>
      <w:bookmarkEnd w:id="7"/>
      <w:bookmarkEnd w:id="8"/>
      <w:bookmarkEnd w:id="9"/>
    </w:p>
    <w:bookmarkEnd w:id="10"/>
    <w:p>
      <w:pPr>
        <w:spacing w:line="360" w:lineRule="auto"/>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1.0.1</w:t>
      </w:r>
      <w:r>
        <w:rPr>
          <w:rFonts w:ascii="Times New Roman" w:hAnsi="Times New Roman" w:eastAsia="宋体" w:cs="Times New Roman"/>
          <w:color w:val="000000" w:themeColor="text1"/>
          <w:szCs w:val="21"/>
          <w14:textFill>
            <w14:solidFill>
              <w14:schemeClr w14:val="tx1"/>
            </w14:solidFill>
          </w14:textFill>
        </w:rPr>
        <w:t xml:space="preserve"> 为在</w:t>
      </w:r>
      <w:bookmarkStart w:id="11" w:name="_Hlk152917580"/>
      <w:r>
        <w:rPr>
          <w:rFonts w:hint="eastAsia" w:ascii="Times New Roman" w:hAnsi="Times New Roman" w:eastAsia="宋体" w:cs="Times New Roman"/>
          <w:color w:val="000000" w:themeColor="text1"/>
          <w:szCs w:val="21"/>
          <w14:textFill>
            <w14:solidFill>
              <w14:schemeClr w14:val="tx1"/>
            </w14:solidFill>
          </w14:textFill>
        </w:rPr>
        <w:t>工程</w:t>
      </w:r>
      <w:r>
        <w:rPr>
          <w:rFonts w:ascii="Times New Roman" w:hAnsi="Times New Roman" w:eastAsia="宋体" w:cs="Times New Roman"/>
          <w:color w:val="000000" w:themeColor="text1"/>
          <w:szCs w:val="21"/>
          <w14:textFill>
            <w14:solidFill>
              <w14:schemeClr w14:val="tx1"/>
            </w14:solidFill>
          </w14:textFill>
        </w:rPr>
        <w:t>基桩自锚测试中</w:t>
      </w:r>
      <w:bookmarkEnd w:id="11"/>
      <w:r>
        <w:rPr>
          <w:rFonts w:ascii="Times New Roman" w:hAnsi="Times New Roman" w:eastAsia="宋体" w:cs="Times New Roman"/>
          <w:color w:val="000000" w:themeColor="text1"/>
          <w:szCs w:val="21"/>
          <w14:textFill>
            <w14:solidFill>
              <w14:schemeClr w14:val="tx1"/>
            </w14:solidFill>
          </w14:textFill>
        </w:rPr>
        <w:t>做到安全适用、技术先进、数据准确、评价正确，特制定本技术规范。</w:t>
      </w:r>
    </w:p>
    <w:p>
      <w:pPr>
        <w:spacing w:line="360" w:lineRule="auto"/>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1.0.2</w:t>
      </w:r>
      <w:r>
        <w:rPr>
          <w:rFonts w:ascii="Times New Roman" w:hAnsi="Times New Roman" w:eastAsia="宋体" w:cs="Times New Roman"/>
          <w:color w:val="000000" w:themeColor="text1"/>
          <w:szCs w:val="21"/>
          <w14:textFill>
            <w14:solidFill>
              <w14:schemeClr w14:val="tx1"/>
            </w14:solidFill>
          </w14:textFill>
        </w:rPr>
        <w:t xml:space="preserve"> 本规范适用于</w:t>
      </w:r>
      <w:r>
        <w:rPr>
          <w:rFonts w:hint="eastAsia" w:ascii="Times New Roman" w:hAnsi="Times New Roman" w:eastAsia="宋体" w:cs="Times New Roman"/>
          <w:color w:val="000000" w:themeColor="text1"/>
          <w:szCs w:val="21"/>
          <w14:textFill>
            <w14:solidFill>
              <w14:schemeClr w14:val="tx1"/>
            </w14:solidFill>
          </w14:textFill>
        </w:rPr>
        <w:t>工程基桩</w:t>
      </w:r>
      <w:r>
        <w:rPr>
          <w:rFonts w:ascii="Times New Roman" w:hAnsi="Times New Roman" w:eastAsia="宋体" w:cs="Times New Roman"/>
          <w:color w:val="000000" w:themeColor="text1"/>
          <w:szCs w:val="21"/>
          <w14:textFill>
            <w14:solidFill>
              <w14:schemeClr w14:val="tx1"/>
            </w14:solidFill>
          </w14:textFill>
        </w:rPr>
        <w:t>竖向承载力检测和评价。</w:t>
      </w:r>
    </w:p>
    <w:p>
      <w:pPr>
        <w:spacing w:line="360" w:lineRule="auto"/>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1.0.3</w:t>
      </w:r>
      <w:r>
        <w:rPr>
          <w:rFonts w:ascii="Times New Roman" w:hAnsi="Times New Roman" w:eastAsia="宋体" w:cs="Times New Roman"/>
          <w:color w:val="000000" w:themeColor="text1"/>
          <w:szCs w:val="21"/>
          <w14:textFill>
            <w14:solidFill>
              <w14:schemeClr w14:val="tx1"/>
            </w14:solidFill>
          </w14:textFill>
        </w:rPr>
        <w:t xml:space="preserve"> </w:t>
      </w:r>
      <w:bookmarkStart w:id="12" w:name="_Hlk152917881"/>
      <w:r>
        <w:rPr>
          <w:rFonts w:hint="eastAsia" w:ascii="Times New Roman" w:hAnsi="Times New Roman" w:eastAsia="宋体" w:cs="Times New Roman"/>
          <w:color w:val="000000" w:themeColor="text1"/>
          <w:szCs w:val="21"/>
          <w14:textFill>
            <w14:solidFill>
              <w14:schemeClr w14:val="tx1"/>
            </w14:solidFill>
          </w14:textFill>
        </w:rPr>
        <w:t>工程</w:t>
      </w:r>
      <w:r>
        <w:rPr>
          <w:rFonts w:ascii="Times New Roman" w:hAnsi="Times New Roman" w:eastAsia="宋体" w:cs="Times New Roman"/>
          <w:color w:val="000000" w:themeColor="text1"/>
          <w:szCs w:val="21"/>
          <w14:textFill>
            <w14:solidFill>
              <w14:schemeClr w14:val="tx1"/>
            </w14:solidFill>
          </w14:textFill>
        </w:rPr>
        <w:t>基桩自锚测试</w:t>
      </w:r>
      <w:bookmarkEnd w:id="12"/>
      <w:r>
        <w:rPr>
          <w:rFonts w:ascii="Times New Roman" w:hAnsi="Times New Roman" w:eastAsia="宋体" w:cs="Times New Roman"/>
          <w:color w:val="000000" w:themeColor="text1"/>
          <w:szCs w:val="21"/>
          <w14:textFill>
            <w14:solidFill>
              <w14:schemeClr w14:val="tx1"/>
            </w14:solidFill>
          </w14:textFill>
        </w:rPr>
        <w:t>除应符合本规范外，尚应符合国家现行有关标准的规定。</w:t>
      </w: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bookmarkStart w:id="13" w:name="_Toc154934707"/>
      <w:bookmarkStart w:id="14" w:name="_Toc165274001"/>
      <w:bookmarkStart w:id="15" w:name="_Toc154757361"/>
      <w:r>
        <w:rPr>
          <w:color w:val="000000" w:themeColor="text1"/>
          <w14:textFill>
            <w14:solidFill>
              <w14:schemeClr w14:val="tx1"/>
            </w14:solidFill>
          </w14:textFill>
        </w:rPr>
        <w:t>2  术语和符号</w:t>
      </w:r>
      <w:bookmarkEnd w:id="13"/>
      <w:bookmarkEnd w:id="14"/>
      <w:bookmarkEnd w:id="15"/>
    </w:p>
    <w:p>
      <w:pPr>
        <w:pStyle w:val="3"/>
        <w:rPr>
          <w:color w:val="000000" w:themeColor="text1"/>
          <w14:textFill>
            <w14:solidFill>
              <w14:schemeClr w14:val="tx1"/>
            </w14:solidFill>
          </w14:textFill>
        </w:rPr>
      </w:pPr>
      <w:bookmarkStart w:id="16" w:name="_Toc154934708"/>
      <w:bookmarkStart w:id="17" w:name="_Toc154757362"/>
      <w:bookmarkStart w:id="18" w:name="_Toc165274002"/>
      <w:r>
        <w:rPr>
          <w:color w:val="000000" w:themeColor="text1"/>
          <w14:textFill>
            <w14:solidFill>
              <w14:schemeClr w14:val="tx1"/>
            </w14:solidFill>
          </w14:textFill>
        </w:rPr>
        <w:t>2.1 术语</w:t>
      </w:r>
      <w:bookmarkEnd w:id="16"/>
      <w:bookmarkEnd w:id="17"/>
      <w:bookmarkEnd w:id="18"/>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2.1.1</w:t>
      </w:r>
      <w:r>
        <w:rPr>
          <w:rFonts w:ascii="Times New Roman" w:hAnsi="Times New Roman" w:cs="Times New Roman"/>
          <w:color w:val="000000" w:themeColor="text1"/>
          <w:szCs w:val="21"/>
          <w14:textFill>
            <w14:solidFill>
              <w14:schemeClr w14:val="tx1"/>
            </w14:solidFill>
          </w14:textFill>
        </w:rPr>
        <w:t xml:space="preserve"> 自锚试桩法 self-anchored test pile method</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将桩身分为上、下两段桩，利用上段桩的桩身自重及桩侧摩阻力和下段桩的桩侧摩阻力及桩端阻力互为反力的原理，由千斤顶垂直加载从而测得试桩承载力的试桩方法。</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2.1.2</w:t>
      </w:r>
      <w:r>
        <w:rPr>
          <w:rFonts w:hint="eastAsia" w:ascii="Times New Roman" w:hAnsi="Times New Roman" w:cs="Times New Roman"/>
          <w:color w:val="000000" w:themeColor="text1"/>
          <w:szCs w:val="21"/>
          <w14:textFill>
            <w14:solidFill>
              <w14:schemeClr w14:val="tx1"/>
            </w14:solidFill>
          </w14:textFill>
        </w:rPr>
        <w:t xml:space="preserve"> 上段桩 </w:t>
      </w:r>
      <w:r>
        <w:rPr>
          <w:rFonts w:ascii="Times New Roman" w:hAnsi="Times New Roman" w:cs="Times New Roman"/>
          <w:color w:val="000000" w:themeColor="text1"/>
          <w:szCs w:val="21"/>
          <w14:textFill>
            <w14:solidFill>
              <w14:schemeClr w14:val="tx1"/>
            </w14:solidFill>
          </w14:textFill>
        </w:rPr>
        <w:t>upper</w:t>
      </w:r>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pile</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平衡点</w:t>
      </w:r>
      <w:r>
        <w:rPr>
          <w:rFonts w:ascii="Times New Roman" w:hAnsi="Times New Roman" w:cs="Times New Roman"/>
          <w:color w:val="000000" w:themeColor="text1"/>
          <w:szCs w:val="21"/>
          <w14:textFill>
            <w14:solidFill>
              <w14:schemeClr w14:val="tx1"/>
            </w14:solidFill>
          </w14:textFill>
        </w:rPr>
        <w:t>以上的桩段，具有抗拔性质</w:t>
      </w:r>
      <w:r>
        <w:rPr>
          <w:rFonts w:hint="eastAsia" w:ascii="Times New Roman" w:hAnsi="Times New Roman" w:cs="Times New Roman"/>
          <w:color w:val="000000" w:themeColor="text1"/>
          <w:szCs w:val="21"/>
          <w14:textFill>
            <w14:solidFill>
              <w14:schemeClr w14:val="tx1"/>
            </w14:solidFill>
          </w14:textFill>
        </w:rPr>
        <w:t>，传力杆</w:t>
      </w:r>
      <w:r>
        <w:rPr>
          <w:rFonts w:ascii="Times New Roman" w:hAnsi="Times New Roman" w:cs="Times New Roman"/>
          <w:color w:val="000000" w:themeColor="text1"/>
          <w:szCs w:val="21"/>
          <w14:textFill>
            <w14:solidFill>
              <w14:schemeClr w14:val="tx1"/>
            </w14:solidFill>
          </w14:textFill>
        </w:rPr>
        <w:t>通过桩身</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2.1.3</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 xml:space="preserve">下段桩 </w:t>
      </w:r>
      <w:r>
        <w:rPr>
          <w:rFonts w:ascii="Times New Roman" w:hAnsi="Times New Roman" w:cs="Times New Roman"/>
          <w:color w:val="000000" w:themeColor="text1"/>
          <w:szCs w:val="21"/>
          <w14:textFill>
            <w14:solidFill>
              <w14:schemeClr w14:val="tx1"/>
            </w14:solidFill>
          </w14:textFill>
        </w:rPr>
        <w:t>lower pile</w:t>
      </w:r>
    </w:p>
    <w:p>
      <w:pPr>
        <w:spacing w:line="360" w:lineRule="auto"/>
        <w:ind w:firstLine="42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平衡点</w:t>
      </w:r>
      <w:r>
        <w:rPr>
          <w:rFonts w:ascii="Times New Roman" w:hAnsi="Times New Roman" w:cs="Times New Roman"/>
          <w:color w:val="000000" w:themeColor="text1"/>
          <w:szCs w:val="21"/>
          <w14:textFill>
            <w14:solidFill>
              <w14:schemeClr w14:val="tx1"/>
            </w14:solidFill>
          </w14:textFill>
        </w:rPr>
        <w:t>以</w:t>
      </w:r>
      <w:r>
        <w:rPr>
          <w:rFonts w:hint="eastAsia" w:ascii="Times New Roman" w:hAnsi="Times New Roman" w:cs="Times New Roman"/>
          <w:color w:val="000000" w:themeColor="text1"/>
          <w:szCs w:val="21"/>
          <w14:textFill>
            <w14:solidFill>
              <w14:schemeClr w14:val="tx1"/>
            </w14:solidFill>
          </w14:textFill>
        </w:rPr>
        <w:t>下</w:t>
      </w:r>
      <w:r>
        <w:rPr>
          <w:rFonts w:ascii="Times New Roman" w:hAnsi="Times New Roman" w:cs="Times New Roman"/>
          <w:color w:val="000000" w:themeColor="text1"/>
          <w:szCs w:val="21"/>
          <w14:textFill>
            <w14:solidFill>
              <w14:schemeClr w14:val="tx1"/>
            </w14:solidFill>
          </w14:textFill>
        </w:rPr>
        <w:t>的桩段，具有抗</w:t>
      </w:r>
      <w:r>
        <w:rPr>
          <w:rFonts w:hint="eastAsia" w:ascii="Times New Roman" w:hAnsi="Times New Roman" w:cs="Times New Roman"/>
          <w:color w:val="000000" w:themeColor="text1"/>
          <w:szCs w:val="21"/>
          <w14:textFill>
            <w14:solidFill>
              <w14:schemeClr w14:val="tx1"/>
            </w14:solidFill>
          </w14:textFill>
        </w:rPr>
        <w:t>压</w:t>
      </w:r>
      <w:r>
        <w:rPr>
          <w:rFonts w:ascii="Times New Roman" w:hAnsi="Times New Roman" w:cs="Times New Roman"/>
          <w:color w:val="000000" w:themeColor="text1"/>
          <w:szCs w:val="21"/>
          <w14:textFill>
            <w14:solidFill>
              <w14:schemeClr w14:val="tx1"/>
            </w14:solidFill>
          </w14:textFill>
        </w:rPr>
        <w:t>性质</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传力杆</w:t>
      </w:r>
      <w:r>
        <w:rPr>
          <w:rFonts w:hint="eastAsia" w:ascii="Times New Roman" w:hAnsi="Times New Roman" w:cs="Times New Roman"/>
          <w:color w:val="000000" w:themeColor="text1"/>
          <w:szCs w:val="21"/>
          <w14:textFill>
            <w14:solidFill>
              <w14:schemeClr w14:val="tx1"/>
            </w14:solidFill>
          </w14:textFill>
        </w:rPr>
        <w:t>作用</w:t>
      </w:r>
      <w:r>
        <w:rPr>
          <w:rFonts w:ascii="Times New Roman" w:hAnsi="Times New Roman" w:cs="Times New Roman"/>
          <w:color w:val="000000" w:themeColor="text1"/>
          <w:szCs w:val="21"/>
          <w14:textFill>
            <w14:solidFill>
              <w14:schemeClr w14:val="tx1"/>
            </w14:solidFill>
          </w14:textFill>
        </w:rPr>
        <w:t>于桩顶</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2.1.4</w:t>
      </w:r>
      <w:r>
        <w:rPr>
          <w:rFonts w:hint="eastAsia" w:ascii="Times New Roman" w:hAnsi="Times New Roman" w:cs="Times New Roman"/>
          <w:b/>
          <w:bCs/>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 xml:space="preserve">抗拔桩 </w:t>
      </w:r>
      <w:r>
        <w:rPr>
          <w:rFonts w:ascii="Times New Roman" w:hAnsi="Times New Roman" w:cs="Times New Roman"/>
          <w:color w:val="000000" w:themeColor="text1"/>
          <w:szCs w:val="21"/>
          <w14:textFill>
            <w14:solidFill>
              <w14:schemeClr w14:val="tx1"/>
            </w14:solidFill>
          </w14:textFill>
        </w:rPr>
        <w:t>uplift pile</w:t>
      </w:r>
    </w:p>
    <w:p>
      <w:pPr>
        <w:spacing w:line="360" w:lineRule="auto"/>
        <w:ind w:firstLine="42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荷载作用在顶部，</w:t>
      </w:r>
      <w:bookmarkStart w:id="19" w:name="_Hlk164752865"/>
      <w:r>
        <w:rPr>
          <w:rFonts w:hint="eastAsia" w:ascii="Times New Roman" w:hAnsi="Times New Roman" w:cs="Times New Roman"/>
          <w:color w:val="000000" w:themeColor="text1"/>
          <w:szCs w:val="21"/>
          <w14:textFill>
            <w14:solidFill>
              <w14:schemeClr w14:val="tx1"/>
            </w14:solidFill>
          </w14:textFill>
        </w:rPr>
        <w:t>作用方向向上的上段桩</w:t>
      </w:r>
      <w:bookmarkEnd w:id="19"/>
      <w:r>
        <w:rPr>
          <w:rFonts w:hint="eastAsia" w:ascii="Times New Roman" w:hAnsi="Times New Roman" w:cs="Times New Roman"/>
          <w:color w:val="000000" w:themeColor="text1"/>
          <w:szCs w:val="21"/>
          <w14:textFill>
            <w14:solidFill>
              <w14:schemeClr w14:val="tx1"/>
            </w14:solidFill>
          </w14:textFill>
        </w:rPr>
        <w:t>；或者荷载作用在底部，作用方向向上的上段桩。</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2.1.</w:t>
      </w:r>
      <w:r>
        <w:rPr>
          <w:rFonts w:hint="eastAsia" w:ascii="Times New Roman" w:hAnsi="Times New Roman" w:cs="Times New Roman"/>
          <w:b/>
          <w:bCs/>
          <w:color w:val="000000" w:themeColor="text1"/>
          <w:szCs w:val="21"/>
          <w14:textFill>
            <w14:solidFill>
              <w14:schemeClr w14:val="tx1"/>
            </w14:solidFill>
          </w14:textFill>
        </w:rPr>
        <w:t>5</w:t>
      </w:r>
      <w:r>
        <w:rPr>
          <w:rFonts w:ascii="Times New Roman" w:hAnsi="Times New Roman" w:cs="Times New Roman"/>
          <w:b/>
          <w:bCs/>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 xml:space="preserve">单桩 </w:t>
      </w:r>
      <w:r>
        <w:rPr>
          <w:rFonts w:ascii="Times New Roman" w:hAnsi="Times New Roman" w:cs="Times New Roman"/>
          <w:color w:val="000000" w:themeColor="text1"/>
          <w:szCs w:val="21"/>
          <w14:textFill>
            <w14:solidFill>
              <w14:schemeClr w14:val="tx1"/>
            </w14:solidFill>
          </w14:textFill>
        </w:rPr>
        <w:t>single pile</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将上段桩、下段桩连接在一起形成的完整桩称为单桩，此时的单桩等同于传统意义上的静载荷试验的抗压桩。</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2.1.</w:t>
      </w:r>
      <w:r>
        <w:rPr>
          <w:rFonts w:hint="eastAsia" w:ascii="Times New Roman" w:hAnsi="Times New Roman" w:cs="Times New Roman"/>
          <w:b/>
          <w:bCs/>
          <w:color w:val="000000" w:themeColor="text1"/>
          <w:szCs w:val="21"/>
          <w14:textFill>
            <w14:solidFill>
              <w14:schemeClr w14:val="tx1"/>
            </w14:solidFill>
          </w14:textFill>
        </w:rPr>
        <w:t>6</w:t>
      </w:r>
      <w:r>
        <w:rPr>
          <w:rFonts w:ascii="Times New Roman" w:hAnsi="Times New Roman" w:cs="Times New Roman"/>
          <w:color w:val="000000" w:themeColor="text1"/>
          <w:szCs w:val="21"/>
          <w14:textFill>
            <w14:solidFill>
              <w14:schemeClr w14:val="tx1"/>
            </w14:solidFill>
          </w14:textFill>
        </w:rPr>
        <w:t xml:space="preserve"> 平衡点 equilibrium point position</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基桩上段桩桩身自重及极限抗拔侧摩阻力之和与下段桩极限桩侧摩阻力及极限桩端阻力之和相等的位置。</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2.1.</w:t>
      </w:r>
      <w:r>
        <w:rPr>
          <w:rFonts w:hint="eastAsia" w:ascii="Times New Roman" w:hAnsi="Times New Roman" w:cs="Times New Roman"/>
          <w:b/>
          <w:bCs/>
          <w:color w:val="000000" w:themeColor="text1"/>
          <w:szCs w:val="21"/>
          <w14:textFill>
            <w14:solidFill>
              <w14:schemeClr w14:val="tx1"/>
            </w14:solidFill>
          </w14:textFill>
        </w:rPr>
        <w:t>7</w:t>
      </w:r>
      <w:r>
        <w:rPr>
          <w:rFonts w:ascii="Times New Roman" w:hAnsi="Times New Roman" w:cs="Times New Roman"/>
          <w:color w:val="000000" w:themeColor="text1"/>
          <w:szCs w:val="21"/>
          <w14:textFill>
            <w14:solidFill>
              <w14:schemeClr w14:val="tx1"/>
            </w14:solidFill>
          </w14:textFill>
        </w:rPr>
        <w:t xml:space="preserve"> 等效转</w:t>
      </w:r>
      <w:r>
        <w:rPr>
          <w:rFonts w:hint="eastAsia" w:ascii="Times New Roman" w:hAnsi="Times New Roman" w:cs="Times New Roman"/>
          <w:color w:val="000000" w:themeColor="text1"/>
          <w:szCs w:val="21"/>
          <w14:textFill>
            <w14:solidFill>
              <w14:schemeClr w14:val="tx1"/>
            </w14:solidFill>
          </w14:textFill>
        </w:rPr>
        <w:t>换</w:t>
      </w:r>
      <w:r>
        <w:rPr>
          <w:rFonts w:ascii="Times New Roman" w:hAnsi="Times New Roman" w:cs="Times New Roman"/>
          <w:color w:val="000000" w:themeColor="text1"/>
          <w:szCs w:val="21"/>
          <w14:textFill>
            <w14:solidFill>
              <w14:schemeClr w14:val="tx1"/>
            </w14:solidFill>
          </w14:textFill>
        </w:rPr>
        <w:t>方法 equivalent conversion method</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将自锚试桩上段桩、下段桩的荷载-位移曲线等效转换为对应传统静载试验的荷载-位移曲线的方法。</w:t>
      </w:r>
    </w:p>
    <w:p>
      <w:pPr>
        <w:pStyle w:val="3"/>
        <w:rPr>
          <w:color w:val="000000" w:themeColor="text1"/>
          <w14:textFill>
            <w14:solidFill>
              <w14:schemeClr w14:val="tx1"/>
            </w14:solidFill>
          </w14:textFill>
        </w:rPr>
      </w:pPr>
      <w:bookmarkStart w:id="20" w:name="_Toc165274003"/>
      <w:bookmarkStart w:id="21" w:name="_Toc154934709"/>
      <w:bookmarkStart w:id="22" w:name="_Toc154757363"/>
      <w:r>
        <w:rPr>
          <w:color w:val="000000" w:themeColor="text1"/>
          <w14:textFill>
            <w14:solidFill>
              <w14:schemeClr w14:val="tx1"/>
            </w14:solidFill>
          </w14:textFill>
        </w:rPr>
        <w:t>2.2 符号</w:t>
      </w:r>
      <w:bookmarkEnd w:id="20"/>
      <w:bookmarkEnd w:id="21"/>
      <w:bookmarkEnd w:id="22"/>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2.2.1</w:t>
      </w:r>
      <w:r>
        <w:rPr>
          <w:rFonts w:ascii="Times New Roman" w:hAnsi="Times New Roman" w:cs="Times New Roman"/>
          <w:color w:val="000000" w:themeColor="text1"/>
          <w:szCs w:val="21"/>
          <w14:textFill>
            <w14:solidFill>
              <w14:schemeClr w14:val="tx1"/>
            </w14:solidFill>
          </w14:textFill>
        </w:rPr>
        <w:t xml:space="preserve"> 几何参数</w:t>
      </w:r>
    </w:p>
    <w:p>
      <w:pPr>
        <w:spacing w:line="360" w:lineRule="auto"/>
        <w:rPr>
          <w:rFonts w:ascii="Times New Roman" w:hAnsi="Times New Roman" w:cs="Times New Roman"/>
          <w:color w:val="000000" w:themeColor="text1"/>
          <w:szCs w:val="21"/>
          <w14:textFill>
            <w14:solidFill>
              <w14:schemeClr w14:val="tx1"/>
            </w14:solidFill>
          </w14:textFill>
        </w:rPr>
      </w:pPr>
      <m:oMath>
        <m:r>
          <m:rPr/>
          <w:rPr>
            <w:rFonts w:ascii="Cambria Math" w:hAnsi="Times New Roman" w:cs="Times New Roman"/>
            <w:color w:val="000000" w:themeColor="text1"/>
            <w:szCs w:val="21"/>
            <w14:textFill>
              <w14:solidFill>
                <w14:schemeClr w14:val="tx1"/>
              </w14:solidFill>
            </w14:textFill>
          </w:rPr>
          <m:t>A</m:t>
        </m:r>
      </m:oMath>
      <w:r>
        <w:rPr>
          <w:rFonts w:hint="eastAsia" w:ascii="Times New Roman" w:hAnsi="Times New Roman" w:cs="Times New Roman"/>
          <w:color w:val="000000" w:themeColor="text1"/>
          <w:szCs w:val="21"/>
          <w14:textFill>
            <w14:solidFill>
              <w14:schemeClr w14:val="tx1"/>
            </w14:solidFill>
          </w14:textFill>
        </w:rPr>
        <w:t>——桩身截面面积；</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l</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——上段桩长度；</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l</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d</m:t>
            </m:r>
            <m:ctrlPr>
              <w:rPr>
                <w:rFonts w:ascii="Cambria Math" w:hAnsi="Times New Roman"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——下段桩长度；</w:t>
      </w:r>
    </w:p>
    <w:p>
      <w:pPr>
        <w:spacing w:line="360" w:lineRule="auto"/>
        <w:rPr>
          <w:rFonts w:ascii="Times New Roman" w:hAnsi="Times New Roman" w:cs="Times New Roman"/>
          <w:color w:val="000000" w:themeColor="text1"/>
          <w:szCs w:val="21"/>
          <w14:textFill>
            <w14:solidFill>
              <w14:schemeClr w14:val="tx1"/>
            </w14:solidFill>
          </w14:textFill>
        </w:rPr>
      </w:pPr>
      <m:oMath>
        <m:r>
          <m:rPr/>
          <w:rPr>
            <w:rFonts w:ascii="Cambria Math" w:hAnsi="Times New Roman" w:cs="Times New Roman"/>
            <w:color w:val="000000" w:themeColor="text1"/>
            <w:szCs w:val="21"/>
            <w14:textFill>
              <w14:solidFill>
                <w14:schemeClr w14:val="tx1"/>
              </w14:solidFill>
            </w14:textFill>
          </w:rPr>
          <m:t>u</m:t>
        </m:r>
      </m:oMath>
      <w:r>
        <w:rPr>
          <w:rFonts w:hint="eastAsia" w:ascii="Times New Roman" w:hAnsi="Times New Roman" w:cs="Times New Roman"/>
          <w:color w:val="000000" w:themeColor="text1"/>
          <w:szCs w:val="21"/>
          <w14:textFill>
            <w14:solidFill>
              <w14:schemeClr w14:val="tx1"/>
            </w14:solidFill>
          </w14:textFill>
        </w:rPr>
        <w:t>——桩身周长。</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2.2.2</w:t>
      </w:r>
      <w:r>
        <w:rPr>
          <w:rFonts w:ascii="Times New Roman" w:hAnsi="Times New Roman" w:cs="Times New Roman"/>
          <w:color w:val="000000" w:themeColor="text1"/>
          <w:szCs w:val="21"/>
          <w14:textFill>
            <w14:solidFill>
              <w14:schemeClr w14:val="tx1"/>
            </w14:solidFill>
          </w14:textFill>
        </w:rPr>
        <w:t xml:space="preserve"> 作用与作用效应</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sk</m:t>
            </m:r>
            <m:ctrlPr>
              <w:rPr>
                <w:rFonts w:ascii="Cambria Math" w:hAnsi="Times New Roman"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——桩侧极限侧阻力标准值；</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p</m:t>
            </m:r>
            <m:r>
              <m:rPr>
                <m:sty m:val="p"/>
              </m:rPr>
              <w:rPr>
                <w:rFonts w:hint="eastAsia" w:ascii="Cambria Math" w:hAnsi="Times New Roman" w:cs="Times New Roman"/>
                <w:color w:val="000000" w:themeColor="text1"/>
                <w:szCs w:val="21"/>
                <w14:textFill>
                  <w14:solidFill>
                    <w14:schemeClr w14:val="tx1"/>
                  </w14:solidFill>
                </w14:textFill>
              </w:rPr>
              <m:t>k</m:t>
            </m:r>
            <m:ctrlPr>
              <w:rPr>
                <w:rFonts w:ascii="Cambria Math" w:hAnsi="Times New Roman"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——极限端阻力标准值；</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eqi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——上段桩第i级加载值经转换的抗压荷载值；</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equ</m:t>
            </m:r>
            <m:ctrlPr>
              <w:rPr>
                <w:rFonts w:ascii="Cambria Math" w:hAnsi="Times New Roman"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——转换后单桩竖向承载力极限值；</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——上段桩的极限加载值；</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du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——下段桩的极限加载值；</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——上段桩抗拔加载值；</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hint="eastAsia" w:ascii="Cambria Math" w:hAnsi="Times New Roman" w:cs="Times New Roman"/>
                <w:color w:val="000000" w:themeColor="text1"/>
                <w:szCs w:val="21"/>
                <w14:textFill>
                  <w14:solidFill>
                    <w14:schemeClr w14:val="tx1"/>
                  </w14:solidFill>
                </w14:textFill>
              </w:rPr>
              <m:t>d</m:t>
            </m:r>
            <m:ctrlPr>
              <w:rPr>
                <w:rFonts w:ascii="Cambria Math" w:hAnsi="Times New Roman"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——下段桩抗压加载值；</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——上段桩桩顶位移；</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d</m:t>
            </m:r>
            <m:ctrlPr>
              <w:rPr>
                <w:rFonts w:ascii="Cambria Math" w:hAnsi="Times New Roman"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——下段桩桩顶位移。</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2.2.3</w:t>
      </w:r>
      <w:r>
        <w:rPr>
          <w:rFonts w:ascii="Times New Roman" w:hAnsi="Times New Roman" w:cs="Times New Roman"/>
          <w:color w:val="000000" w:themeColor="text1"/>
          <w:szCs w:val="21"/>
          <w14:textFill>
            <w14:solidFill>
              <w14:schemeClr w14:val="tx1"/>
            </w14:solidFill>
          </w14:textFill>
        </w:rPr>
        <w:t xml:space="preserve"> 其他</w:t>
      </w:r>
    </w:p>
    <w:p>
      <w:pPr>
        <w:spacing w:line="360" w:lineRule="auto"/>
        <w:rPr>
          <w:rFonts w:ascii="Times New Roman" w:hAnsi="Times New Roman" w:cs="Times New Roman"/>
          <w:color w:val="000000" w:themeColor="text1"/>
          <w:szCs w:val="21"/>
          <w14:textFill>
            <w14:solidFill>
              <w14:schemeClr w14:val="tx1"/>
            </w14:solidFill>
          </w14:textFill>
        </w:rPr>
      </w:pPr>
      <m:oMath>
        <m:r>
          <m:rPr/>
          <w:rPr>
            <w:rFonts w:ascii="Cambria Math" w:hAnsi="Times New Roman" w:cs="Times New Roman"/>
            <w:color w:val="000000" w:themeColor="text1"/>
            <w:szCs w:val="21"/>
            <w14:textFill>
              <w14:solidFill>
                <w14:schemeClr w14:val="tx1"/>
              </w14:solidFill>
            </w14:textFill>
          </w:rPr>
          <m:t>E</m:t>
        </m:r>
      </m:oMath>
      <w:r>
        <w:rPr>
          <w:rFonts w:hint="eastAsia" w:ascii="Times New Roman" w:hAnsi="Times New Roman" w:cs="Times New Roman"/>
          <w:color w:val="000000" w:themeColor="text1"/>
          <w:szCs w:val="21"/>
          <w14:textFill>
            <w14:solidFill>
              <w14:schemeClr w14:val="tx1"/>
            </w14:solidFill>
          </w14:textFill>
        </w:rPr>
        <w:t>——桩身弹性模量；</w:t>
      </w:r>
    </w:p>
    <w:p>
      <w:pPr>
        <w:spacing w:line="360" w:lineRule="auto"/>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——上段桩负摩阻力向</w:t>
      </w:r>
      <w:r>
        <w:rPr>
          <w:rFonts w:ascii="Times New Roman" w:hAnsi="Times New Roman" w:cs="Times New Roman"/>
          <w:color w:val="000000" w:themeColor="text1"/>
          <w:szCs w:val="21"/>
          <w14:textFill>
            <w14:solidFill>
              <w14:schemeClr w14:val="tx1"/>
            </w14:solidFill>
          </w14:textFill>
        </w:rPr>
        <w:t>正摩阻力</w:t>
      </w:r>
      <w:r>
        <w:rPr>
          <w:rFonts w:hint="eastAsia" w:ascii="Times New Roman" w:hAnsi="Times New Roman" w:cs="Times New Roman"/>
          <w:color w:val="000000" w:themeColor="text1"/>
          <w:szCs w:val="21"/>
          <w14:textFill>
            <w14:solidFill>
              <w14:schemeClr w14:val="tx1"/>
            </w14:solidFill>
          </w14:textFill>
        </w:rPr>
        <w:t>的转换</w:t>
      </w:r>
      <w:r>
        <w:rPr>
          <w:rFonts w:ascii="Times New Roman" w:hAnsi="Times New Roman" w:cs="Times New Roman"/>
          <w:color w:val="000000" w:themeColor="text1"/>
          <w:szCs w:val="21"/>
          <w14:textFill>
            <w14:solidFill>
              <w14:schemeClr w14:val="tx1"/>
            </w14:solidFill>
          </w14:textFill>
        </w:rPr>
        <w:t>系数</w:t>
      </w:r>
      <w:r>
        <w:rPr>
          <w:rFonts w:hint="eastAsia" w:ascii="Times New Roman" w:hAnsi="Times New Roman" w:cs="Times New Roman"/>
          <w:color w:val="000000" w:themeColor="text1"/>
          <w:szCs w:val="21"/>
          <w14:textFill>
            <w14:solidFill>
              <w14:schemeClr w14:val="tx1"/>
            </w14:solidFill>
          </w14:textFill>
        </w:rPr>
        <w:t>。</w:t>
      </w:r>
    </w:p>
    <w:p>
      <w:pPr>
        <w:widowControl/>
        <w:spacing w:line="360" w:lineRule="auto"/>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2"/>
        <w:rPr>
          <w:color w:val="000000" w:themeColor="text1"/>
          <w14:textFill>
            <w14:solidFill>
              <w14:schemeClr w14:val="tx1"/>
            </w14:solidFill>
          </w14:textFill>
        </w:rPr>
      </w:pPr>
      <w:bookmarkStart w:id="23" w:name="_Toc165274004"/>
      <w:bookmarkStart w:id="24" w:name="_Toc154934710"/>
      <w:bookmarkStart w:id="25" w:name="_Toc154757364"/>
      <w:bookmarkStart w:id="26" w:name="_Hlk154753658"/>
      <w:r>
        <w:rPr>
          <w:rFonts w:hint="eastAsia"/>
          <w:color w:val="000000" w:themeColor="text1"/>
          <w14:textFill>
            <w14:solidFill>
              <w14:schemeClr w14:val="tx1"/>
            </w14:solidFill>
          </w14:textFill>
        </w:rPr>
        <w:t xml:space="preserve">3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基本规定</w:t>
      </w:r>
      <w:bookmarkEnd w:id="23"/>
      <w:bookmarkEnd w:id="24"/>
      <w:bookmarkEnd w:id="25"/>
    </w:p>
    <w:p>
      <w:pPr>
        <w:pStyle w:val="3"/>
        <w:rPr>
          <w:color w:val="000000" w:themeColor="text1"/>
          <w14:textFill>
            <w14:solidFill>
              <w14:schemeClr w14:val="tx1"/>
            </w14:solidFill>
          </w14:textFill>
        </w:rPr>
      </w:pPr>
      <w:bookmarkStart w:id="27" w:name="_Toc154757365"/>
      <w:bookmarkStart w:id="28" w:name="_Toc154934711"/>
      <w:bookmarkStart w:id="29" w:name="_Toc165274005"/>
      <w:r>
        <w:rPr>
          <w:color w:val="000000" w:themeColor="text1"/>
          <w14:textFill>
            <w14:solidFill>
              <w14:schemeClr w14:val="tx1"/>
            </w14:solidFill>
          </w14:textFill>
        </w:rPr>
        <w:t xml:space="preserve">3.1 </w:t>
      </w:r>
      <w:r>
        <w:rPr>
          <w:rFonts w:hint="eastAsia"/>
          <w:color w:val="000000" w:themeColor="text1"/>
          <w14:textFill>
            <w14:solidFill>
              <w14:schemeClr w14:val="tx1"/>
            </w14:solidFill>
          </w14:textFill>
        </w:rPr>
        <w:t>一般规定</w:t>
      </w:r>
      <w:bookmarkEnd w:id="27"/>
      <w:bookmarkEnd w:id="28"/>
      <w:bookmarkEnd w:id="29"/>
    </w:p>
    <w:p>
      <w:pPr>
        <w:spacing w:line="360" w:lineRule="auto"/>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t>3.1.1</w:t>
      </w:r>
      <w:r>
        <w:rPr>
          <w:rFonts w:ascii="Times New Roman" w:hAnsi="Times New Roman" w:cs="Times New Roman"/>
          <w:bCs/>
          <w:color w:val="000000" w:themeColor="text1"/>
          <w:szCs w:val="21"/>
          <w14:textFill>
            <w14:solidFill>
              <w14:schemeClr w14:val="tx1"/>
            </w14:solidFill>
          </w14:textFill>
        </w:rPr>
        <w:t xml:space="preserve"> </w:t>
      </w:r>
      <w:r>
        <w:rPr>
          <w:rFonts w:hint="eastAsia" w:ascii="Times New Roman" w:hAnsi="Times New Roman" w:cs="Times New Roman"/>
          <w:bCs/>
          <w:color w:val="000000" w:themeColor="text1"/>
          <w:szCs w:val="21"/>
          <w14:textFill>
            <w14:solidFill>
              <w14:schemeClr w14:val="tx1"/>
            </w14:solidFill>
          </w14:textFill>
        </w:rPr>
        <w:t>平衡点应满足</w:t>
      </w:r>
      <w:r>
        <w:rPr>
          <w:rFonts w:ascii="Times New Roman" w:hAnsi="Times New Roman" w:cs="Times New Roman"/>
          <w:bCs/>
          <w:color w:val="000000" w:themeColor="text1"/>
          <w:szCs w:val="21"/>
          <w14:textFill>
            <w14:solidFill>
              <w14:schemeClr w14:val="tx1"/>
            </w14:solidFill>
          </w14:textFill>
        </w:rPr>
        <w:t>上段桩抗拔</w:t>
      </w:r>
      <w:r>
        <w:rPr>
          <w:rFonts w:hint="eastAsia" w:ascii="Times New Roman" w:hAnsi="Times New Roman" w:cs="Times New Roman"/>
          <w:bCs/>
          <w:color w:val="000000" w:themeColor="text1"/>
          <w:szCs w:val="21"/>
          <w14:textFill>
            <w14:solidFill>
              <w14:schemeClr w14:val="tx1"/>
            </w14:solidFill>
          </w14:textFill>
        </w:rPr>
        <w:t>荷载</w:t>
      </w:r>
      <w:r>
        <w:rPr>
          <w:rFonts w:ascii="Times New Roman" w:hAnsi="Times New Roman" w:cs="Times New Roman"/>
          <w:bCs/>
          <w:color w:val="000000" w:themeColor="text1"/>
          <w:szCs w:val="21"/>
          <w14:textFill>
            <w14:solidFill>
              <w14:schemeClr w14:val="tx1"/>
            </w14:solidFill>
          </w14:textFill>
        </w:rPr>
        <w:t>与下段桩抗压</w:t>
      </w:r>
      <w:r>
        <w:rPr>
          <w:rFonts w:hint="eastAsia" w:ascii="Times New Roman" w:hAnsi="Times New Roman" w:cs="Times New Roman"/>
          <w:bCs/>
          <w:color w:val="000000" w:themeColor="text1"/>
          <w:szCs w:val="21"/>
          <w14:textFill>
            <w14:solidFill>
              <w14:schemeClr w14:val="tx1"/>
            </w14:solidFill>
          </w14:textFill>
        </w:rPr>
        <w:t>荷载</w:t>
      </w:r>
      <w:r>
        <w:rPr>
          <w:rFonts w:ascii="Times New Roman" w:hAnsi="Times New Roman" w:cs="Times New Roman"/>
          <w:bCs/>
          <w:color w:val="000000" w:themeColor="text1"/>
          <w:szCs w:val="21"/>
          <w14:textFill>
            <w14:solidFill>
              <w14:schemeClr w14:val="tx1"/>
            </w14:solidFill>
          </w14:textFill>
        </w:rPr>
        <w:t>相等的条件。</w:t>
      </w:r>
      <w:r>
        <w:rPr>
          <w:rFonts w:hint="eastAsia" w:ascii="Times New Roman" w:hAnsi="Times New Roman" w:cs="Times New Roman"/>
          <w:bCs/>
          <w:color w:val="000000" w:themeColor="text1"/>
          <w:szCs w:val="21"/>
          <w14:textFill>
            <w14:solidFill>
              <w14:schemeClr w14:val="tx1"/>
            </w14:solidFill>
          </w14:textFill>
        </w:rPr>
        <w:t>平衡点位置按照附录A计算方法确定。</w:t>
      </w:r>
    </w:p>
    <w:p>
      <w:pPr>
        <w:spacing w:line="360" w:lineRule="auto"/>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3.1.2</w:t>
      </w:r>
      <w:r>
        <w:rPr>
          <w:rFonts w:hint="eastAsia" w:ascii="Times New Roman" w:hAnsi="Times New Roman" w:cs="Times New Roman"/>
          <w:bCs/>
          <w:color w:val="000000" w:themeColor="text1"/>
          <w:szCs w:val="21"/>
          <w14:textFill>
            <w14:solidFill>
              <w14:schemeClr w14:val="tx1"/>
            </w14:solidFill>
          </w14:textFill>
        </w:rPr>
        <w:t xml:space="preserve"> 传力杆应满足抗压荷载传递要求，当传力杆长度超过40m时，宜考虑传力杆的压缩</w:t>
      </w:r>
      <w:r>
        <w:rPr>
          <w:rFonts w:ascii="Times New Roman" w:hAnsi="Times New Roman" w:cs="Times New Roman"/>
          <w:bCs/>
          <w:color w:val="000000" w:themeColor="text1"/>
          <w:szCs w:val="21"/>
          <w14:textFill>
            <w14:solidFill>
              <w14:schemeClr w14:val="tx1"/>
            </w14:solidFill>
          </w14:textFill>
        </w:rPr>
        <w:t>。</w:t>
      </w:r>
    </w:p>
    <w:p>
      <w:pPr>
        <w:spacing w:line="360" w:lineRule="auto"/>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t>3.1.3</w:t>
      </w:r>
      <w:r>
        <w:rPr>
          <w:rFonts w:ascii="Times New Roman" w:hAnsi="Times New Roman" w:cs="Times New Roman"/>
          <w:bCs/>
          <w:color w:val="000000" w:themeColor="text1"/>
          <w:szCs w:val="21"/>
          <w14:textFill>
            <w14:solidFill>
              <w14:schemeClr w14:val="tx1"/>
            </w14:solidFill>
          </w14:textFill>
        </w:rPr>
        <w:t xml:space="preserve"> </w:t>
      </w:r>
      <w:r>
        <w:rPr>
          <w:rFonts w:hint="eastAsia" w:ascii="Times New Roman" w:hAnsi="Times New Roman" w:cs="Times New Roman"/>
          <w:bCs/>
          <w:color w:val="000000" w:themeColor="text1"/>
          <w:szCs w:val="21"/>
          <w14:textFill>
            <w14:solidFill>
              <w14:schemeClr w14:val="tx1"/>
            </w14:solidFill>
          </w14:textFill>
        </w:rPr>
        <w:t>当采用</w:t>
      </w:r>
      <w:r>
        <w:rPr>
          <w:rFonts w:ascii="Times New Roman" w:hAnsi="Times New Roman" w:cs="Times New Roman"/>
          <w:bCs/>
          <w:color w:val="000000" w:themeColor="text1"/>
          <w:szCs w:val="21"/>
          <w14:textFill>
            <w14:solidFill>
              <w14:schemeClr w14:val="tx1"/>
            </w14:solidFill>
          </w14:textFill>
        </w:rPr>
        <w:t>灌注桩纵向钢筋作为上段桩</w:t>
      </w:r>
      <w:r>
        <w:rPr>
          <w:rFonts w:hint="eastAsia" w:ascii="Times New Roman" w:hAnsi="Times New Roman" w:cs="Times New Roman"/>
          <w:bCs/>
          <w:color w:val="000000" w:themeColor="text1"/>
          <w:szCs w:val="21"/>
          <w14:textFill>
            <w14:solidFill>
              <w14:schemeClr w14:val="tx1"/>
            </w14:solidFill>
          </w14:textFill>
        </w:rPr>
        <w:t>抗拔</w:t>
      </w:r>
      <w:r>
        <w:rPr>
          <w:rFonts w:ascii="Times New Roman" w:hAnsi="Times New Roman" w:cs="Times New Roman"/>
          <w:bCs/>
          <w:color w:val="000000" w:themeColor="text1"/>
          <w:szCs w:val="21"/>
          <w14:textFill>
            <w14:solidFill>
              <w14:schemeClr w14:val="tx1"/>
            </w14:solidFill>
          </w14:textFill>
        </w:rPr>
        <w:t>锚筋</w:t>
      </w:r>
      <w:r>
        <w:rPr>
          <w:rFonts w:hint="eastAsia" w:ascii="Times New Roman" w:hAnsi="Times New Roman" w:cs="Times New Roman"/>
          <w:bCs/>
          <w:color w:val="000000" w:themeColor="text1"/>
          <w:szCs w:val="21"/>
          <w14:textFill>
            <w14:solidFill>
              <w14:schemeClr w14:val="tx1"/>
            </w14:solidFill>
          </w14:textFill>
        </w:rPr>
        <w:t>时</w:t>
      </w:r>
      <w:r>
        <w:rPr>
          <w:rFonts w:ascii="Times New Roman" w:hAnsi="Times New Roman" w:cs="Times New Roman"/>
          <w:bCs/>
          <w:color w:val="000000" w:themeColor="text1"/>
          <w:szCs w:val="21"/>
          <w14:textFill>
            <w14:solidFill>
              <w14:schemeClr w14:val="tx1"/>
            </w14:solidFill>
          </w14:textFill>
        </w:rPr>
        <w:t>，应验算抗拔锚筋承载力。</w:t>
      </w:r>
    </w:p>
    <w:p>
      <w:pPr>
        <w:spacing w:line="360" w:lineRule="auto"/>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3</w:t>
      </w:r>
      <w:r>
        <w:rPr>
          <w:rFonts w:ascii="Times New Roman" w:hAnsi="Times New Roman" w:cs="Times New Roman"/>
          <w:b/>
          <w:color w:val="000000" w:themeColor="text1"/>
          <w:szCs w:val="21"/>
          <w14:textFill>
            <w14:solidFill>
              <w14:schemeClr w14:val="tx1"/>
            </w14:solidFill>
          </w14:textFill>
        </w:rPr>
        <w:t>.1.4</w:t>
      </w:r>
      <w:r>
        <w:rPr>
          <w:rFonts w:ascii="Times New Roman" w:hAnsi="Times New Roman" w:cs="Times New Roman"/>
          <w:bCs/>
          <w:color w:val="000000" w:themeColor="text1"/>
          <w:szCs w:val="21"/>
          <w14:textFill>
            <w14:solidFill>
              <w14:schemeClr w14:val="tx1"/>
            </w14:solidFill>
          </w14:textFill>
        </w:rPr>
        <w:t xml:space="preserve"> </w:t>
      </w:r>
      <w:r>
        <w:rPr>
          <w:rFonts w:hint="eastAsia" w:ascii="Times New Roman" w:hAnsi="Times New Roman" w:cs="Times New Roman"/>
          <w:bCs/>
          <w:color w:val="000000" w:themeColor="text1"/>
          <w:szCs w:val="21"/>
          <w14:textFill>
            <w14:solidFill>
              <w14:schemeClr w14:val="tx1"/>
            </w14:solidFill>
          </w14:textFill>
        </w:rPr>
        <w:t>基桩为管桩时，宜在上段桩桩底施加抗拔荷载。</w:t>
      </w:r>
    </w:p>
    <w:p>
      <w:pPr>
        <w:spacing w:line="360" w:lineRule="auto"/>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3</w:t>
      </w:r>
      <w:r>
        <w:rPr>
          <w:rFonts w:ascii="Times New Roman" w:hAnsi="Times New Roman" w:cs="Times New Roman"/>
          <w:b/>
          <w:color w:val="000000" w:themeColor="text1"/>
          <w:szCs w:val="21"/>
          <w14:textFill>
            <w14:solidFill>
              <w14:schemeClr w14:val="tx1"/>
            </w14:solidFill>
          </w14:textFill>
        </w:rPr>
        <w:t>.1.5</w:t>
      </w:r>
      <w:r>
        <w:rPr>
          <w:rFonts w:ascii="Times New Roman" w:hAnsi="Times New Roman" w:cs="Times New Roman"/>
          <w:bCs/>
          <w:color w:val="000000" w:themeColor="text1"/>
          <w:szCs w:val="21"/>
          <w14:textFill>
            <w14:solidFill>
              <w14:schemeClr w14:val="tx1"/>
            </w14:solidFill>
          </w14:textFill>
        </w:rPr>
        <w:t xml:space="preserve"> </w:t>
      </w:r>
      <w:r>
        <w:rPr>
          <w:rFonts w:hint="eastAsia" w:ascii="Times New Roman" w:hAnsi="Times New Roman" w:cs="Times New Roman"/>
          <w:bCs/>
          <w:color w:val="000000" w:themeColor="text1"/>
          <w:szCs w:val="21"/>
          <w14:textFill>
            <w14:solidFill>
              <w14:schemeClr w14:val="tx1"/>
            </w14:solidFill>
          </w14:textFill>
        </w:rPr>
        <w:t>为设计提供依据的单桩竖向抗压静载试验应采用慢速维持荷载法。</w:t>
      </w:r>
    </w:p>
    <w:bookmarkEnd w:id="26"/>
    <w:p>
      <w:pPr>
        <w:pStyle w:val="3"/>
        <w:rPr>
          <w:color w:val="000000" w:themeColor="text1"/>
          <w14:textFill>
            <w14:solidFill>
              <w14:schemeClr w14:val="tx1"/>
            </w14:solidFill>
          </w14:textFill>
        </w:rPr>
      </w:pPr>
      <w:bookmarkStart w:id="30" w:name="_Toc165274006"/>
      <w:bookmarkStart w:id="31" w:name="_Toc154757366"/>
      <w:bookmarkStart w:id="32" w:name="_Toc154934712"/>
      <w:r>
        <w:rPr>
          <w:color w:val="000000" w:themeColor="text1"/>
          <w14:textFill>
            <w14:solidFill>
              <w14:schemeClr w14:val="tx1"/>
            </w14:solidFill>
          </w14:textFill>
        </w:rPr>
        <w:t xml:space="preserve">3.2 </w:t>
      </w:r>
      <w:r>
        <w:rPr>
          <w:rFonts w:hint="eastAsia"/>
          <w:color w:val="000000" w:themeColor="text1"/>
          <w14:textFill>
            <w14:solidFill>
              <w14:schemeClr w14:val="tx1"/>
            </w14:solidFill>
          </w14:textFill>
        </w:rPr>
        <w:t>试桩工作程序</w:t>
      </w:r>
      <w:bookmarkEnd w:id="30"/>
      <w:bookmarkEnd w:id="31"/>
      <w:bookmarkEnd w:id="32"/>
    </w:p>
    <w:p>
      <w:pPr>
        <w:spacing w:line="360" w:lineRule="auto"/>
        <w:jc w:val="left"/>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3.2.1</w:t>
      </w:r>
      <w:r>
        <w:rPr>
          <w:rFonts w:hint="eastAsia" w:ascii="Times New Roman" w:hAnsi="Times New Roman" w:cs="Times New Roman"/>
          <w:bCs/>
          <w:color w:val="000000" w:themeColor="text1"/>
          <w:szCs w:val="21"/>
          <w14:textFill>
            <w14:solidFill>
              <w14:schemeClr w14:val="tx1"/>
            </w14:solidFill>
          </w14:textFill>
        </w:rPr>
        <w:t xml:space="preserve"> 检测工作</w:t>
      </w:r>
      <w:r>
        <w:rPr>
          <w:rFonts w:ascii="Times New Roman" w:hAnsi="Times New Roman" w:cs="Times New Roman"/>
          <w:bCs/>
          <w:color w:val="000000" w:themeColor="text1"/>
          <w:szCs w:val="21"/>
          <w14:textFill>
            <w14:solidFill>
              <w14:schemeClr w14:val="tx1"/>
            </w14:solidFill>
          </w14:textFill>
        </w:rPr>
        <w:t>应按图</w:t>
      </w:r>
      <w:r>
        <w:rPr>
          <w:rFonts w:hint="eastAsia" w:ascii="Times New Roman" w:hAnsi="Times New Roman" w:cs="Times New Roman"/>
          <w:bCs/>
          <w:color w:val="000000" w:themeColor="text1"/>
          <w:szCs w:val="21"/>
          <w14:textFill>
            <w14:solidFill>
              <w14:schemeClr w14:val="tx1"/>
            </w14:solidFill>
          </w14:textFill>
        </w:rPr>
        <w:t>3.2.1的</w:t>
      </w:r>
      <w:r>
        <w:rPr>
          <w:rFonts w:ascii="Times New Roman" w:hAnsi="Times New Roman" w:cs="Times New Roman"/>
          <w:bCs/>
          <w:color w:val="000000" w:themeColor="text1"/>
          <w:szCs w:val="21"/>
          <w14:textFill>
            <w14:solidFill>
              <w14:schemeClr w14:val="tx1"/>
            </w14:solidFill>
          </w14:textFill>
        </w:rPr>
        <w:t>程序进行</w:t>
      </w:r>
      <w:r>
        <w:rPr>
          <w:rFonts w:hint="eastAsia" w:ascii="Times New Roman" w:hAnsi="Times New Roman" w:cs="Times New Roman"/>
          <w:bCs/>
          <w:color w:val="000000" w:themeColor="text1"/>
          <w:szCs w:val="21"/>
          <w14:textFill>
            <w14:solidFill>
              <w14:schemeClr w14:val="tx1"/>
            </w14:solidFill>
          </w14:textFill>
        </w:rPr>
        <w:t>。</w:t>
      </w:r>
    </w:p>
    <w:p>
      <w:pPr>
        <w:spacing w:line="360" w:lineRule="auto"/>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2741930</wp:posOffset>
                </wp:positionH>
                <wp:positionV relativeFrom="paragraph">
                  <wp:posOffset>551180</wp:posOffset>
                </wp:positionV>
                <wp:extent cx="0" cy="241300"/>
                <wp:effectExtent l="76200" t="0" r="57150" b="63500"/>
                <wp:wrapNone/>
                <wp:docPr id="183893551" name="直接箭头连接符 1"/>
                <wp:cNvGraphicFramePr/>
                <a:graphic xmlns:a="http://schemas.openxmlformats.org/drawingml/2006/main">
                  <a:graphicData uri="http://schemas.microsoft.com/office/word/2010/wordprocessingShape">
                    <wps:wsp>
                      <wps:cNvCnPr/>
                      <wps:spPr>
                        <a:xfrm>
                          <a:off x="0" y="0"/>
                          <a:ext cx="0" cy="2413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1" o:spid="_x0000_s1026" o:spt="32" type="#_x0000_t32" style="position:absolute;left:0pt;margin-left:215.9pt;margin-top:43.4pt;height:19pt;width:0pt;z-index:251670528;mso-width-relative:page;mso-height-relative:page;" filled="f" stroked="t" coordsize="21600,21600" o:gfxdata="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NRjxH2AAAAAoBAAAP&#10;AAAAAAAAAAEAIAAAACIAAABkcnMvZG93bnJldi54bWxQSwECFAAUAAAACACHTuJAl0UEGhgCAAAK&#10;BAAADgAAAAAAAAABACAAAAAnAQAAZHJzL2Uyb0RvYy54bWxQSwUGAAAAAAYABgBZAQAAsQUAAAAA&#10;">
                <v:fill on="f" focussize="0,0"/>
                <v:stroke color="#000000 [3200]" joinstyle="round" endarrow="block"/>
                <v:imagedata o:title=""/>
                <o:lock v:ext="edit" aspectratio="f"/>
              </v:shape>
            </w:pict>
          </mc:Fallback>
        </mc:AlternateContent>
      </w: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1828165</wp:posOffset>
                </wp:positionH>
                <wp:positionV relativeFrom="paragraph">
                  <wp:posOffset>3455035</wp:posOffset>
                </wp:positionV>
                <wp:extent cx="1762125" cy="295275"/>
                <wp:effectExtent l="0" t="0" r="28575" b="28575"/>
                <wp:wrapTopAndBottom/>
                <wp:docPr id="14" name="文本框 14"/>
                <wp:cNvGraphicFramePr/>
                <a:graphic xmlns:a="http://schemas.openxmlformats.org/drawingml/2006/main">
                  <a:graphicData uri="http://schemas.microsoft.com/office/word/2010/wordprocessingShape">
                    <wps:wsp>
                      <wps:cNvSpPr txBox="1"/>
                      <wps:spPr>
                        <a:xfrm>
                          <a:off x="0" y="0"/>
                          <a:ext cx="1762125"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rPr>
                                <w:sz w:val="18"/>
                                <w:szCs w:val="18"/>
                              </w:rPr>
                            </w:pPr>
                            <w:r>
                              <w:rPr>
                                <w:rFonts w:hint="eastAsia"/>
                                <w:sz w:val="18"/>
                                <w:szCs w:val="18"/>
                              </w:rPr>
                              <w:t>检测报告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3.95pt;margin-top:272.05pt;height:23.25pt;width:138.75pt;mso-wrap-distance-bottom:0pt;mso-wrap-distance-top:0pt;z-index:251665408;mso-width-relative:page;mso-height-relative:page;" fillcolor="#FFFFFF [3201]" filled="t" stroked="t" coordsize="21600,21600" o:gfxdata="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w2RfW2QAAAAsBAAAPAAAAAAAAAAEAIAAAACIAAABkcnMvZG93bnJldi54bWxQSwECFAAUAAAA&#10;CACHTuJAxMzcVV8CAADHBAAADgAAAAAAAAABACAAAAAoAQAAZHJzL2Uyb0RvYy54bWxQSwUGAAAA&#10;AAYABgBZAQAA+QUAAAAA&#10;">
                <v:fill on="t" focussize="0,0"/>
                <v:stroke weight="0.5pt" color="#000000 [3204]" joinstyle="round"/>
                <v:imagedata o:title=""/>
                <o:lock v:ext="edit" aspectratio="f"/>
                <v:textbox>
                  <w:txbxContent>
                    <w:p>
                      <w:pPr>
                        <w:jc w:val="center"/>
                        <w:rPr>
                          <w:sz w:val="18"/>
                          <w:szCs w:val="18"/>
                        </w:rPr>
                      </w:pPr>
                      <w:r>
                        <w:rPr>
                          <w:rFonts w:hint="eastAsia"/>
                          <w:sz w:val="18"/>
                          <w:szCs w:val="18"/>
                        </w:rPr>
                        <w:t>检测报告</w:t>
                      </w:r>
                    </w:p>
                  </w:txbxContent>
                </v:textbox>
                <w10:wrap type="topAndBottom"/>
              </v:shape>
            </w:pict>
          </mc:Fallback>
        </mc:AlternateContent>
      </w: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2689860</wp:posOffset>
                </wp:positionH>
                <wp:positionV relativeFrom="paragraph">
                  <wp:posOffset>3213100</wp:posOffset>
                </wp:positionV>
                <wp:extent cx="0" cy="241300"/>
                <wp:effectExtent l="76200" t="0" r="57150" b="63500"/>
                <wp:wrapNone/>
                <wp:docPr id="1125866489" name="直接箭头连接符 1"/>
                <wp:cNvGraphicFramePr/>
                <a:graphic xmlns:a="http://schemas.openxmlformats.org/drawingml/2006/main">
                  <a:graphicData uri="http://schemas.microsoft.com/office/word/2010/wordprocessingShape">
                    <wps:wsp>
                      <wps:cNvCnPr/>
                      <wps:spPr>
                        <a:xfrm>
                          <a:off x="0" y="0"/>
                          <a:ext cx="0" cy="2413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1" o:spid="_x0000_s1026" o:spt="32" type="#_x0000_t32" style="position:absolute;left:0pt;margin-left:211.8pt;margin-top:253pt;height:19pt;width:0pt;z-index:251675648;mso-width-relative:page;mso-height-relative:page;" filled="f" stroked="t" coordsize="21600,21600" o:gfxdata="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6RpjTYAAAACwEA&#10;AA8AAAAAAAAAAQAgAAAAIgAAAGRycy9kb3ducmV2LnhtbFBLAQIUABQAAAAIAIdO4kBxh0RpGgIA&#10;AAsEAAAOAAAAAAAAAAEAIAAAACcBAABkcnMvZTJvRG9jLnhtbFBLBQYAAAAABgAGAFkBAACzBQAA&#10;AAA=&#10;">
                <v:fill on="f" focussize="0,0"/>
                <v:stroke color="#000000 [3200]" joinstyle="round" endarrow="block"/>
                <v:imagedata o:title=""/>
                <o:lock v:ext="edit" aspectratio="f"/>
              </v:shape>
            </w:pict>
          </mc:Fallback>
        </mc:AlternateContent>
      </w: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1826260</wp:posOffset>
                </wp:positionH>
                <wp:positionV relativeFrom="paragraph">
                  <wp:posOffset>2915285</wp:posOffset>
                </wp:positionV>
                <wp:extent cx="1762125" cy="295275"/>
                <wp:effectExtent l="0" t="0" r="28575" b="28575"/>
                <wp:wrapTopAndBottom/>
                <wp:docPr id="13" name="文本框 13"/>
                <wp:cNvGraphicFramePr/>
                <a:graphic xmlns:a="http://schemas.openxmlformats.org/drawingml/2006/main">
                  <a:graphicData uri="http://schemas.microsoft.com/office/word/2010/wordprocessingShape">
                    <wps:wsp>
                      <wps:cNvSpPr txBox="1"/>
                      <wps:spPr>
                        <a:xfrm>
                          <a:off x="0" y="0"/>
                          <a:ext cx="1762125"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rPr>
                                <w:sz w:val="18"/>
                                <w:szCs w:val="18"/>
                              </w:rPr>
                            </w:pPr>
                            <w:r>
                              <w:rPr>
                                <w:rFonts w:hint="eastAsia"/>
                                <w:sz w:val="18"/>
                                <w:szCs w:val="18"/>
                              </w:rPr>
                              <w:t>计算分析和</w:t>
                            </w:r>
                            <w:r>
                              <w:rPr>
                                <w:sz w:val="18"/>
                                <w:szCs w:val="18"/>
                              </w:rPr>
                              <w:t>结果评价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3.8pt;margin-top:229.55pt;height:23.25pt;width:138.75pt;mso-wrap-distance-bottom:0pt;mso-wrap-distance-top:0pt;z-index:251664384;mso-width-relative:page;mso-height-relative:page;" fillcolor="#FFFFFF [3201]" filled="t" stroked="t" coordsize="21600,21600" o:gfxdata="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394CzXAAAACwEAAA8AAAAAAAAAAQAgAAAAIgAAAGRycy9kb3ducmV2LnhtbFBLAQIUABQAAAAI&#10;AIdO4kDmjMw8YAIAAMcEAAAOAAAAAAAAAAEAIAAAACYBAABkcnMvZTJvRG9jLnhtbFBLBQYAAAAA&#10;BgAGAFkBAAD4BQAAAAA=&#10;">
                <v:fill on="t" focussize="0,0"/>
                <v:stroke weight="0.5pt" color="#000000 [3204]" joinstyle="round"/>
                <v:imagedata o:title=""/>
                <o:lock v:ext="edit" aspectratio="f"/>
                <v:textbox>
                  <w:txbxContent>
                    <w:p>
                      <w:pPr>
                        <w:jc w:val="center"/>
                        <w:rPr>
                          <w:sz w:val="18"/>
                          <w:szCs w:val="18"/>
                        </w:rPr>
                      </w:pPr>
                      <w:r>
                        <w:rPr>
                          <w:rFonts w:hint="eastAsia"/>
                          <w:sz w:val="18"/>
                          <w:szCs w:val="18"/>
                        </w:rPr>
                        <w:t>计算分析和</w:t>
                      </w:r>
                      <w:r>
                        <w:rPr>
                          <w:sz w:val="18"/>
                          <w:szCs w:val="18"/>
                        </w:rPr>
                        <w:t>结果评价</w:t>
                      </w:r>
                    </w:p>
                  </w:txbxContent>
                </v:textbox>
                <w10:wrap type="topAndBottom"/>
              </v:shape>
            </w:pict>
          </mc:Fallback>
        </mc:AlternateContent>
      </w: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2703195</wp:posOffset>
                </wp:positionH>
                <wp:positionV relativeFrom="paragraph">
                  <wp:posOffset>2670175</wp:posOffset>
                </wp:positionV>
                <wp:extent cx="0" cy="241935"/>
                <wp:effectExtent l="76200" t="0" r="57150" b="63500"/>
                <wp:wrapNone/>
                <wp:docPr id="186103889" name="直接箭头连接符 1"/>
                <wp:cNvGraphicFramePr/>
                <a:graphic xmlns:a="http://schemas.openxmlformats.org/drawingml/2006/main">
                  <a:graphicData uri="http://schemas.microsoft.com/office/word/2010/wordprocessingShape">
                    <wps:wsp>
                      <wps:cNvCnPr/>
                      <wps:spPr>
                        <a:xfrm>
                          <a:off x="0" y="0"/>
                          <a:ext cx="0" cy="24180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1" o:spid="_x0000_s1026" o:spt="32" type="#_x0000_t32" style="position:absolute;left:0pt;margin-left:212.85pt;margin-top:210.25pt;height:19.05pt;width:0pt;z-index:251674624;mso-width-relative:page;mso-height-relative:page;" filled="f" stroked="t" coordsize="21600,21600" o:gfxdata="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sP4fbZAAAACwEAAA8A&#10;AAAAAAAAAQAgAAAAIgAAAGRycy9kb3ducmV2LnhtbFBLAQIUABQAAAAIAIdO4kCkF9NRFgIAAAoE&#10;AAAOAAAAAAAAAAEAIAAAACgBAABkcnMvZTJvRG9jLnhtbFBLBQYAAAAABgAGAFkBAACwBQAAAAA=&#10;">
                <v:fill on="f" focussize="0,0"/>
                <v:stroke color="#000000 [3200]" joinstyle="round" endarrow="block"/>
                <v:imagedata o:title=""/>
                <o:lock v:ext="edit" aspectratio="f"/>
              </v:shape>
            </w:pict>
          </mc:Fallback>
        </mc:AlternateContent>
      </w: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2715895</wp:posOffset>
                </wp:positionH>
                <wp:positionV relativeFrom="paragraph">
                  <wp:posOffset>2139315</wp:posOffset>
                </wp:positionV>
                <wp:extent cx="0" cy="241935"/>
                <wp:effectExtent l="76200" t="0" r="57150" b="63500"/>
                <wp:wrapNone/>
                <wp:docPr id="1471416675" name="直接箭头连接符 1"/>
                <wp:cNvGraphicFramePr/>
                <a:graphic xmlns:a="http://schemas.openxmlformats.org/drawingml/2006/main">
                  <a:graphicData uri="http://schemas.microsoft.com/office/word/2010/wordprocessingShape">
                    <wps:wsp>
                      <wps:cNvCnPr/>
                      <wps:spPr>
                        <a:xfrm>
                          <a:off x="0" y="0"/>
                          <a:ext cx="0" cy="24180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1" o:spid="_x0000_s1026" o:spt="32" type="#_x0000_t32" style="position:absolute;left:0pt;margin-left:213.85pt;margin-top:168.45pt;height:19.05pt;width:0pt;z-index:251673600;mso-width-relative:page;mso-height-relative:page;" filled="f" stroked="t" coordsize="21600,21600" o:gfxdata="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5od1doAAAALAQAA&#10;DwAAAAAAAAABACAAAAAiAAAAZHJzL2Rvd25yZXYueG1sUEsBAhQAFAAAAAgAh07iQE2gfzwXAgAA&#10;CwQAAA4AAAAAAAAAAQAgAAAAKQEAAGRycy9lMm9Eb2MueG1sUEsFBgAAAAAGAAYAWQEAALIFAAAA&#10;AA==&#10;">
                <v:fill on="f" focussize="0,0"/>
                <v:stroke color="#000000 [3200]" joinstyle="round" endarrow="block"/>
                <v:imagedata o:title=""/>
                <o:lock v:ext="edit" aspectratio="f"/>
              </v:shape>
            </w:pict>
          </mc:Fallback>
        </mc:AlternateContent>
      </w: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1886585</wp:posOffset>
                </wp:positionH>
                <wp:positionV relativeFrom="paragraph">
                  <wp:posOffset>1857375</wp:posOffset>
                </wp:positionV>
                <wp:extent cx="1762125" cy="279400"/>
                <wp:effectExtent l="0" t="0" r="28575" b="25400"/>
                <wp:wrapTopAndBottom/>
                <wp:docPr id="11" name="文本框 11"/>
                <wp:cNvGraphicFramePr/>
                <a:graphic xmlns:a="http://schemas.openxmlformats.org/drawingml/2006/main">
                  <a:graphicData uri="http://schemas.microsoft.com/office/word/2010/wordprocessingShape">
                    <wps:wsp>
                      <wps:cNvSpPr txBox="1"/>
                      <wps:spPr>
                        <a:xfrm>
                          <a:off x="0" y="0"/>
                          <a:ext cx="1762125" cy="279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rPr>
                                <w:sz w:val="18"/>
                                <w:szCs w:val="18"/>
                              </w:rPr>
                            </w:pPr>
                            <w:r>
                              <w:rPr>
                                <w:rFonts w:hint="eastAsia"/>
                                <w:szCs w:val="21"/>
                              </w:rPr>
                              <w:t xml:space="preserve">   </w:t>
                            </w:r>
                            <w:r>
                              <w:rPr>
                                <w:rFonts w:hint="eastAsia"/>
                                <w:sz w:val="18"/>
                                <w:szCs w:val="18"/>
                              </w:rPr>
                              <w:t>传力杆等安装与成桩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8.55pt;margin-top:146.25pt;height:22pt;width:138.75pt;mso-wrap-distance-bottom:0pt;mso-wrap-distance-top:0pt;z-index:251662336;mso-width-relative:page;mso-height-relative:page;" fillcolor="#FFFFFF [3201]" filled="t" stroked="t" coordsize="21600,21600" o:gfxdata="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Nr0P0tkAAAALAQAADwAAAAAAAAABACAAAAAiAAAAZHJzL2Rvd25yZXYueG1sUEsBAhQAFAAA&#10;AAgAh07iQF3uitJgAgAAxwQAAA4AAAAAAAAAAQAgAAAAKAEAAGRycy9lMm9Eb2MueG1sUEsFBgAA&#10;AAAGAAYAWQEAAPoFAAAAAA==&#10;">
                <v:fill on="t" focussize="0,0"/>
                <v:stroke weight="0.5pt" color="#000000 [3204]" joinstyle="round"/>
                <v:imagedata o:title=""/>
                <o:lock v:ext="edit" aspectratio="f"/>
                <v:textbox>
                  <w:txbxContent>
                    <w:p>
                      <w:pPr>
                        <w:jc w:val="center"/>
                        <w:rPr>
                          <w:sz w:val="18"/>
                          <w:szCs w:val="18"/>
                        </w:rPr>
                      </w:pPr>
                      <w:r>
                        <w:rPr>
                          <w:rFonts w:hint="eastAsia"/>
                          <w:szCs w:val="21"/>
                        </w:rPr>
                        <w:t xml:space="preserve">   </w:t>
                      </w:r>
                      <w:r>
                        <w:rPr>
                          <w:rFonts w:hint="eastAsia"/>
                          <w:sz w:val="18"/>
                          <w:szCs w:val="18"/>
                        </w:rPr>
                        <w:t>传力杆等安装与成桩</w:t>
                      </w:r>
                    </w:p>
                  </w:txbxContent>
                </v:textbox>
                <w10:wrap type="topAndBottom"/>
              </v:shape>
            </w:pict>
          </mc:Fallback>
        </mc:AlternateContent>
      </w: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2715895</wp:posOffset>
                </wp:positionH>
                <wp:positionV relativeFrom="paragraph">
                  <wp:posOffset>1619885</wp:posOffset>
                </wp:positionV>
                <wp:extent cx="0" cy="241300"/>
                <wp:effectExtent l="76200" t="0" r="57150" b="63500"/>
                <wp:wrapNone/>
                <wp:docPr id="138842419" name="直接箭头连接符 1"/>
                <wp:cNvGraphicFramePr/>
                <a:graphic xmlns:a="http://schemas.openxmlformats.org/drawingml/2006/main">
                  <a:graphicData uri="http://schemas.microsoft.com/office/word/2010/wordprocessingShape">
                    <wps:wsp>
                      <wps:cNvCnPr/>
                      <wps:spPr>
                        <a:xfrm>
                          <a:off x="0" y="0"/>
                          <a:ext cx="0" cy="2413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1" o:spid="_x0000_s1026" o:spt="32" type="#_x0000_t32" style="position:absolute;left:0pt;margin-left:213.85pt;margin-top:127.55pt;height:19pt;width:0pt;z-index:251672576;mso-width-relative:page;mso-height-relative:page;" filled="f" stroked="t" coordsize="21600,21600" o:gfxdata="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vdgDaAAAACwEA&#10;AA8AAAAAAAAAAQAgAAAAIgAAAGRycy9kb3ducmV2LnhtbFBLAQIUABQAAAAIAIdO4kCw4/O9GAIA&#10;AAoEAAAOAAAAAAAAAAEAIAAAACkBAABkcnMvZTJvRG9jLnhtbFBLBQYAAAAABgAGAFkBAACzBQAA&#10;AAA=&#10;">
                <v:fill on="f" focussize="0,0"/>
                <v:stroke color="#000000 [3200]" joinstyle="round" endarrow="block"/>
                <v:imagedata o:title=""/>
                <o:lock v:ext="edit" aspectratio="f"/>
              </v:shape>
            </w:pict>
          </mc:Fallback>
        </mc:AlternateContent>
      </w: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1879600</wp:posOffset>
                </wp:positionH>
                <wp:positionV relativeFrom="paragraph">
                  <wp:posOffset>1325880</wp:posOffset>
                </wp:positionV>
                <wp:extent cx="1762125" cy="295275"/>
                <wp:effectExtent l="0" t="0" r="28575" b="28575"/>
                <wp:wrapTopAndBottom/>
                <wp:docPr id="10" name="文本框 10"/>
                <wp:cNvGraphicFramePr/>
                <a:graphic xmlns:a="http://schemas.openxmlformats.org/drawingml/2006/main">
                  <a:graphicData uri="http://schemas.microsoft.com/office/word/2010/wordprocessingShape">
                    <wps:wsp>
                      <wps:cNvSpPr txBox="1"/>
                      <wps:spPr>
                        <a:xfrm>
                          <a:off x="0" y="0"/>
                          <a:ext cx="1762125"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rPr>
                                <w:sz w:val="18"/>
                                <w:szCs w:val="18"/>
                              </w:rPr>
                            </w:pPr>
                            <w:r>
                              <w:rPr>
                                <w:rFonts w:hint="eastAsia"/>
                                <w:sz w:val="18"/>
                                <w:szCs w:val="18"/>
                              </w:rPr>
                              <w:t>制定检测方案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8pt;margin-top:104.4pt;height:23.25pt;width:138.75pt;mso-wrap-distance-bottom:0pt;mso-wrap-distance-top:0pt;z-index:251661312;mso-width-relative:page;mso-height-relative:page;" fillcolor="#FFFFFF [3201]" filled="t" stroked="t" coordsize="21600,21600" o:gfxdata="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qzMfXYAAAACwEAAA8AAAAAAAAAAQAgAAAAIgAAAGRycy9kb3ducmV2LnhtbFBLAQIUABQAAAAI&#10;AIdO4kCqo4qIXwIAAMcEAAAOAAAAAAAAAAEAIAAAACcBAABkcnMvZTJvRG9jLnhtbFBLBQYAAAAA&#10;BgAGAFkBAAD4BQAAAAA=&#10;">
                <v:fill on="t" focussize="0,0"/>
                <v:stroke weight="0.5pt" color="#000000 [3204]" joinstyle="round"/>
                <v:imagedata o:title=""/>
                <o:lock v:ext="edit" aspectratio="f"/>
                <v:textbox>
                  <w:txbxContent>
                    <w:p>
                      <w:pPr>
                        <w:jc w:val="center"/>
                        <w:rPr>
                          <w:sz w:val="18"/>
                          <w:szCs w:val="18"/>
                        </w:rPr>
                      </w:pPr>
                      <w:r>
                        <w:rPr>
                          <w:rFonts w:hint="eastAsia"/>
                          <w:sz w:val="18"/>
                          <w:szCs w:val="18"/>
                        </w:rPr>
                        <w:t>制定检测方案</w:t>
                      </w:r>
                    </w:p>
                  </w:txbxContent>
                </v:textbox>
                <w10:wrap type="topAndBottom"/>
              </v:shape>
            </w:pict>
          </mc:Fallback>
        </mc:AlternateContent>
      </w: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2733040</wp:posOffset>
                </wp:positionH>
                <wp:positionV relativeFrom="paragraph">
                  <wp:posOffset>1084580</wp:posOffset>
                </wp:positionV>
                <wp:extent cx="0" cy="241935"/>
                <wp:effectExtent l="76200" t="0" r="57150" b="63500"/>
                <wp:wrapNone/>
                <wp:docPr id="956350616" name="直接箭头连接符 1"/>
                <wp:cNvGraphicFramePr/>
                <a:graphic xmlns:a="http://schemas.openxmlformats.org/drawingml/2006/main">
                  <a:graphicData uri="http://schemas.microsoft.com/office/word/2010/wordprocessingShape">
                    <wps:wsp>
                      <wps:cNvCnPr/>
                      <wps:spPr>
                        <a:xfrm>
                          <a:off x="0" y="0"/>
                          <a:ext cx="0" cy="24180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1" o:spid="_x0000_s1026" o:spt="32" type="#_x0000_t32" style="position:absolute;left:0pt;margin-left:215.2pt;margin-top:85.4pt;height:19.05pt;width:0pt;z-index:251671552;mso-width-relative:page;mso-height-relative:page;" filled="f" stroked="t" coordsize="21600,21600" o:gfxdata="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WVgCNkAAAALAQAADwAA&#10;AAAAAAABACAAAAAiAAAAZHJzL2Rvd25yZXYueG1sUEsBAhQAFAAAAAgAh07iQOonc70VAgAACgQA&#10;AA4AAAAAAAAAAQAgAAAAKAEAAGRycy9lMm9Eb2MueG1sUEsFBgAAAAAGAAYAWQEAAK8FAAAAAA==&#10;">
                <v:fill on="f" focussize="0,0"/>
                <v:stroke color="#000000 [3200]" joinstyle="round" endarrow="block"/>
                <v:imagedata o:title=""/>
                <o:lock v:ext="edit" aspectratio="f"/>
              </v:shape>
            </w:pict>
          </mc:Fallback>
        </mc:AlternateContent>
      </w: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1861820</wp:posOffset>
                </wp:positionH>
                <wp:positionV relativeFrom="paragraph">
                  <wp:posOffset>790575</wp:posOffset>
                </wp:positionV>
                <wp:extent cx="1762125" cy="295275"/>
                <wp:effectExtent l="0" t="0" r="28575" b="28575"/>
                <wp:wrapTopAndBottom/>
                <wp:docPr id="9" name="文本框 9"/>
                <wp:cNvGraphicFramePr/>
                <a:graphic xmlns:a="http://schemas.openxmlformats.org/drawingml/2006/main">
                  <a:graphicData uri="http://schemas.microsoft.com/office/word/2010/wordprocessingShape">
                    <wps:wsp>
                      <wps:cNvSpPr txBox="1"/>
                      <wps:spPr>
                        <a:xfrm>
                          <a:off x="0" y="0"/>
                          <a:ext cx="1762125"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rPr>
                                <w:sz w:val="18"/>
                                <w:szCs w:val="18"/>
                              </w:rPr>
                            </w:pPr>
                            <w:r>
                              <w:rPr>
                                <w:rFonts w:hint="eastAsia"/>
                                <w:sz w:val="18"/>
                                <w:szCs w:val="18"/>
                              </w:rPr>
                              <w:t>调查、</w:t>
                            </w:r>
                            <w:r>
                              <w:rPr>
                                <w:sz w:val="18"/>
                                <w:szCs w:val="18"/>
                              </w:rPr>
                              <w:t>资料收集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6.6pt;margin-top:62.25pt;height:23.25pt;width:138.75pt;mso-wrap-distance-bottom:0pt;mso-wrap-distance-top:0pt;z-index:251660288;mso-width-relative:page;mso-height-relative:page;" fillcolor="#FFFFFF [3201]" filled="t" stroked="t" coordsize="21600,21600" o:gfxdata="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vrhQ4tcAAAALAQAADwAAAAAAAAABACAAAAAiAAAAZHJzL2Rvd25yZXYueG1sUEsBAhQAFAAAAAgA&#10;h07iQNbahY9fAgAAxQQAAA4AAAAAAAAAAQAgAAAAJgEAAGRycy9lMm9Eb2MueG1sUEsFBgAAAAAG&#10;AAYAWQEAAPcFAAAAAA==&#10;">
                <v:fill on="t" focussize="0,0"/>
                <v:stroke weight="0.5pt" color="#000000 [3204]" joinstyle="round"/>
                <v:imagedata o:title=""/>
                <o:lock v:ext="edit" aspectratio="f"/>
                <v:textbox>
                  <w:txbxContent>
                    <w:p>
                      <w:pPr>
                        <w:jc w:val="center"/>
                        <w:rPr>
                          <w:sz w:val="18"/>
                          <w:szCs w:val="18"/>
                        </w:rPr>
                      </w:pPr>
                      <w:r>
                        <w:rPr>
                          <w:rFonts w:hint="eastAsia"/>
                          <w:sz w:val="18"/>
                          <w:szCs w:val="18"/>
                        </w:rPr>
                        <w:t>调查、</w:t>
                      </w:r>
                      <w:r>
                        <w:rPr>
                          <w:sz w:val="18"/>
                          <w:szCs w:val="18"/>
                        </w:rPr>
                        <w:t>资料收集</w:t>
                      </w:r>
                    </w:p>
                  </w:txbxContent>
                </v:textbox>
                <w10:wrap type="topAndBottom"/>
              </v:shape>
            </w:pict>
          </mc:Fallback>
        </mc:AlternateContent>
      </w: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1886585</wp:posOffset>
                </wp:positionH>
                <wp:positionV relativeFrom="paragraph">
                  <wp:posOffset>253365</wp:posOffset>
                </wp:positionV>
                <wp:extent cx="1762125" cy="295275"/>
                <wp:effectExtent l="0" t="0" r="28575" b="28575"/>
                <wp:wrapTopAndBottom/>
                <wp:docPr id="8" name="文本框 8"/>
                <wp:cNvGraphicFramePr/>
                <a:graphic xmlns:a="http://schemas.openxmlformats.org/drawingml/2006/main">
                  <a:graphicData uri="http://schemas.microsoft.com/office/word/2010/wordprocessingShape">
                    <wps:wsp>
                      <wps:cNvSpPr txBox="1"/>
                      <wps:spPr>
                        <a:xfrm>
                          <a:off x="0" y="0"/>
                          <a:ext cx="1762125"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rPr>
                                <w:sz w:val="18"/>
                                <w:szCs w:val="18"/>
                              </w:rPr>
                            </w:pPr>
                            <w:r>
                              <w:rPr>
                                <w:rFonts w:hint="eastAsia"/>
                                <w:sz w:val="18"/>
                                <w:szCs w:val="18"/>
                              </w:rPr>
                              <w:t>接受委托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8.55pt;margin-top:19.95pt;height:23.25pt;width:138.75pt;mso-wrap-distance-bottom:0pt;mso-wrap-distance-top:0pt;z-index:251659264;mso-width-relative:page;mso-height-relative:page;" fillcolor="#FFFFFF [3201]" filled="t" stroked="t" coordsize="21600,21600" o:gfxdata="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8KFg89cAAAAJAQAADwAAAAAAAAABACAAAAAiAAAAZHJzL2Rvd25yZXYueG1sUEsBAhQAFAAAAAgA&#10;h07iQMktVhBfAgAAxQQAAA4AAAAAAAAAAQAgAAAAJgEAAGRycy9lMm9Eb2MueG1sUEsFBgAAAAAG&#10;AAYAWQEAAPcFAAAAAA==&#10;">
                <v:fill on="t" focussize="0,0"/>
                <v:stroke weight="0.5pt" color="#000000 [3204]" joinstyle="round"/>
                <v:imagedata o:title=""/>
                <o:lock v:ext="edit" aspectratio="f"/>
                <v:textbox>
                  <w:txbxContent>
                    <w:p>
                      <w:pPr>
                        <w:jc w:val="center"/>
                        <w:rPr>
                          <w:sz w:val="18"/>
                          <w:szCs w:val="18"/>
                        </w:rPr>
                      </w:pPr>
                      <w:r>
                        <w:rPr>
                          <w:rFonts w:hint="eastAsia"/>
                          <w:sz w:val="18"/>
                          <w:szCs w:val="18"/>
                        </w:rPr>
                        <w:t>接受委托</w:t>
                      </w:r>
                    </w:p>
                  </w:txbxContent>
                </v:textbox>
                <w10:wrap type="topAndBottom"/>
              </v:shape>
            </w:pict>
          </mc:Fallback>
        </mc:AlternateContent>
      </w:r>
    </w:p>
    <w:p>
      <w:pPr>
        <w:spacing w:line="360" w:lineRule="auto"/>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1856740</wp:posOffset>
                </wp:positionH>
                <wp:positionV relativeFrom="paragraph">
                  <wp:posOffset>2079625</wp:posOffset>
                </wp:positionV>
                <wp:extent cx="1762125" cy="295275"/>
                <wp:effectExtent l="0" t="0" r="28575" b="28575"/>
                <wp:wrapTopAndBottom/>
                <wp:docPr id="12" name="文本框 12"/>
                <wp:cNvGraphicFramePr/>
                <a:graphic xmlns:a="http://schemas.openxmlformats.org/drawingml/2006/main">
                  <a:graphicData uri="http://schemas.microsoft.com/office/word/2010/wordprocessingShape">
                    <wps:wsp>
                      <wps:cNvSpPr txBox="1"/>
                      <wps:spPr>
                        <a:xfrm>
                          <a:off x="0" y="0"/>
                          <a:ext cx="1762125"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rPr>
                                <w:sz w:val="18"/>
                                <w:szCs w:val="18"/>
                              </w:rPr>
                            </w:pPr>
                            <w:r>
                              <w:rPr>
                                <w:rFonts w:hint="eastAsia"/>
                                <w:sz w:val="18"/>
                                <w:szCs w:val="18"/>
                              </w:rPr>
                              <w:t>现场检测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6.2pt;margin-top:163.75pt;height:23.25pt;width:138.75pt;mso-wrap-distance-bottom:0pt;mso-wrap-distance-top:0pt;z-index:251663360;mso-width-relative:page;mso-height-relative:page;" fillcolor="#FFFFFF [3201]" filled="t" stroked="t" coordsize="21600,21600" o:gfxdata="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vzo9k2QAAAAsBAAAPAAAAAAAAAAEAIAAAACIAAABkcnMvZG93bnJldi54bWxQSwECFAAUAAAA&#10;CACHTuJAHZQh5l8CAADHBAAADgAAAAAAAAABACAAAAAoAQAAZHJzL2Uyb0RvYy54bWxQSwUGAAAA&#10;AAYABgBZAQAA+QUAAAAA&#10;">
                <v:fill on="t" focussize="0,0"/>
                <v:stroke weight="0.5pt" color="#000000 [3204]" joinstyle="round"/>
                <v:imagedata o:title=""/>
                <o:lock v:ext="edit" aspectratio="f"/>
                <v:textbox>
                  <w:txbxContent>
                    <w:p>
                      <w:pPr>
                        <w:jc w:val="center"/>
                        <w:rPr>
                          <w:sz w:val="18"/>
                          <w:szCs w:val="18"/>
                        </w:rPr>
                      </w:pPr>
                      <w:r>
                        <w:rPr>
                          <w:rFonts w:hint="eastAsia"/>
                          <w:sz w:val="18"/>
                          <w:szCs w:val="18"/>
                        </w:rPr>
                        <w:t>现场检测</w:t>
                      </w:r>
                    </w:p>
                  </w:txbxContent>
                </v:textbox>
                <w10:wrap type="topAndBottom"/>
              </v:shape>
            </w:pict>
          </mc:Fallback>
        </mc:AlternateContent>
      </w:r>
    </w:p>
    <w:p>
      <w:pPr>
        <w:spacing w:line="360" w:lineRule="auto"/>
        <w:jc w:val="center"/>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Cs/>
          <w:color w:val="000000" w:themeColor="text1"/>
          <w:szCs w:val="21"/>
          <w14:textFill>
            <w14:solidFill>
              <w14:schemeClr w14:val="tx1"/>
            </w14:solidFill>
          </w14:textFill>
        </w:rPr>
        <w:t>图</w:t>
      </w:r>
      <w:r>
        <w:rPr>
          <w:rFonts w:hint="eastAsia" w:ascii="Times New Roman" w:hAnsi="Times New Roman" w:cs="Times New Roman"/>
          <w:bCs/>
          <w:color w:val="000000" w:themeColor="text1"/>
          <w:szCs w:val="21"/>
          <w14:textFill>
            <w14:solidFill>
              <w14:schemeClr w14:val="tx1"/>
            </w14:solidFill>
          </w14:textFill>
        </w:rPr>
        <w:t>3.2.1 检测工作程序框图</w:t>
      </w:r>
    </w:p>
    <w:p>
      <w:pPr>
        <w:spacing w:line="360" w:lineRule="auto"/>
        <w:jc w:val="left"/>
        <w:rPr>
          <w:rFonts w:ascii="Times New Roman" w:hAnsi="Times New Roman" w:cs="Times New Roman"/>
          <w:bCs/>
          <w:color w:val="000000" w:themeColor="text1"/>
          <w:szCs w:val="21"/>
          <w14:textFill>
            <w14:solidFill>
              <w14:schemeClr w14:val="tx1"/>
            </w14:solidFill>
          </w14:textFill>
        </w:rPr>
      </w:pPr>
    </w:p>
    <w:p>
      <w:pPr>
        <w:spacing w:line="360" w:lineRule="auto"/>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t>3.2.2</w:t>
      </w:r>
      <w:r>
        <w:rPr>
          <w:rFonts w:hint="eastAsia" w:ascii="Times New Roman" w:hAnsi="Times New Roman" w:cs="Times New Roman"/>
          <w:bCs/>
          <w:color w:val="000000" w:themeColor="text1"/>
          <w:szCs w:val="21"/>
          <w14:textFill>
            <w14:solidFill>
              <w14:schemeClr w14:val="tx1"/>
            </w14:solidFill>
          </w14:textFill>
        </w:rPr>
        <w:t>调查、</w:t>
      </w:r>
      <w:r>
        <w:rPr>
          <w:rFonts w:ascii="Times New Roman" w:hAnsi="Times New Roman" w:cs="Times New Roman"/>
          <w:bCs/>
          <w:color w:val="000000" w:themeColor="text1"/>
          <w:szCs w:val="21"/>
          <w14:textFill>
            <w14:solidFill>
              <w14:schemeClr w14:val="tx1"/>
            </w14:solidFill>
          </w14:textFill>
        </w:rPr>
        <w:t>资料收集</w:t>
      </w:r>
      <w:r>
        <w:rPr>
          <w:rFonts w:hint="eastAsia" w:ascii="Times New Roman" w:hAnsi="Times New Roman" w:cs="Times New Roman"/>
          <w:bCs/>
          <w:color w:val="000000" w:themeColor="text1"/>
          <w:szCs w:val="21"/>
          <w14:textFill>
            <w14:solidFill>
              <w14:schemeClr w14:val="tx1"/>
            </w14:solidFill>
          </w14:textFill>
        </w:rPr>
        <w:t>宜包括</w:t>
      </w:r>
      <w:r>
        <w:rPr>
          <w:rFonts w:ascii="Times New Roman" w:hAnsi="Times New Roman" w:cs="Times New Roman"/>
          <w:bCs/>
          <w:color w:val="000000" w:themeColor="text1"/>
          <w:szCs w:val="21"/>
          <w14:textFill>
            <w14:solidFill>
              <w14:schemeClr w14:val="tx1"/>
            </w14:solidFill>
          </w14:textFill>
        </w:rPr>
        <w:t>下列内容：</w:t>
      </w:r>
    </w:p>
    <w:p>
      <w:pPr>
        <w:spacing w:line="360" w:lineRule="auto"/>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Cs/>
          <w:color w:val="000000" w:themeColor="text1"/>
          <w:szCs w:val="21"/>
          <w14:textFill>
            <w14:solidFill>
              <w14:schemeClr w14:val="tx1"/>
            </w14:solidFill>
          </w14:textFill>
        </w:rPr>
        <w:t xml:space="preserve">   1 </w:t>
      </w:r>
      <w:r>
        <w:rPr>
          <w:rFonts w:hint="eastAsia" w:ascii="Times New Roman" w:hAnsi="Times New Roman" w:cs="Times New Roman"/>
          <w:bCs/>
          <w:color w:val="000000" w:themeColor="text1"/>
          <w:szCs w:val="21"/>
          <w14:textFill>
            <w14:solidFill>
              <w14:schemeClr w14:val="tx1"/>
            </w14:solidFill>
          </w14:textFill>
        </w:rPr>
        <w:t>收集</w:t>
      </w:r>
      <w:r>
        <w:rPr>
          <w:rFonts w:ascii="Times New Roman" w:hAnsi="Times New Roman" w:cs="Times New Roman"/>
          <w:bCs/>
          <w:color w:val="000000" w:themeColor="text1"/>
          <w:szCs w:val="21"/>
          <w14:textFill>
            <w14:solidFill>
              <w14:schemeClr w14:val="tx1"/>
            </w14:solidFill>
          </w14:textFill>
        </w:rPr>
        <w:t>工程的岩土工程勘察资料、桩基设计文件</w:t>
      </w:r>
      <w:r>
        <w:rPr>
          <w:rFonts w:hint="eastAsia" w:ascii="Times New Roman" w:hAnsi="Times New Roman" w:cs="Times New Roman"/>
          <w:bCs/>
          <w:color w:val="000000" w:themeColor="text1"/>
          <w:szCs w:val="21"/>
          <w14:textFill>
            <w14:solidFill>
              <w14:schemeClr w14:val="tx1"/>
            </w14:solidFill>
          </w14:textFill>
        </w:rPr>
        <w:t>，了解</w:t>
      </w:r>
      <w:r>
        <w:rPr>
          <w:rFonts w:ascii="Times New Roman" w:hAnsi="Times New Roman" w:cs="Times New Roman"/>
          <w:bCs/>
          <w:color w:val="000000" w:themeColor="text1"/>
          <w:szCs w:val="21"/>
          <w14:textFill>
            <w14:solidFill>
              <w14:schemeClr w14:val="tx1"/>
            </w14:solidFill>
          </w14:textFill>
        </w:rPr>
        <w:t>施工工艺</w:t>
      </w:r>
      <w:r>
        <w:rPr>
          <w:rFonts w:hint="eastAsia" w:ascii="Times New Roman" w:hAnsi="Times New Roman" w:cs="Times New Roman"/>
          <w:bCs/>
          <w:color w:val="000000" w:themeColor="text1"/>
          <w:szCs w:val="21"/>
          <w14:textFill>
            <w14:solidFill>
              <w14:schemeClr w14:val="tx1"/>
            </w14:solidFill>
          </w14:textFill>
        </w:rPr>
        <w:t>；</w:t>
      </w:r>
    </w:p>
    <w:p>
      <w:pPr>
        <w:spacing w:line="360" w:lineRule="auto"/>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Cs/>
          <w:color w:val="000000" w:themeColor="text1"/>
          <w:szCs w:val="21"/>
          <w14:textFill>
            <w14:solidFill>
              <w14:schemeClr w14:val="tx1"/>
            </w14:solidFill>
          </w14:textFill>
        </w:rPr>
        <w:t xml:space="preserve">   2 </w:t>
      </w:r>
      <w:r>
        <w:rPr>
          <w:rFonts w:hint="eastAsia" w:ascii="Times New Roman" w:hAnsi="Times New Roman" w:cs="Times New Roman"/>
          <w:bCs/>
          <w:color w:val="000000" w:themeColor="text1"/>
          <w:szCs w:val="21"/>
          <w14:textFill>
            <w14:solidFill>
              <w14:schemeClr w14:val="tx1"/>
            </w14:solidFill>
          </w14:textFill>
        </w:rPr>
        <w:t>委托方</w:t>
      </w:r>
      <w:r>
        <w:rPr>
          <w:rFonts w:ascii="Times New Roman" w:hAnsi="Times New Roman" w:cs="Times New Roman"/>
          <w:bCs/>
          <w:color w:val="000000" w:themeColor="text1"/>
          <w:szCs w:val="21"/>
          <w14:textFill>
            <w14:solidFill>
              <w14:schemeClr w14:val="tx1"/>
            </w14:solidFill>
          </w14:textFill>
        </w:rPr>
        <w:t>的具体要求；</w:t>
      </w:r>
    </w:p>
    <w:p>
      <w:pPr>
        <w:spacing w:line="360" w:lineRule="auto"/>
        <w:jc w:val="left"/>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cs="Times New Roman"/>
          <w:bCs/>
          <w:color w:val="000000" w:themeColor="text1"/>
          <w:szCs w:val="21"/>
          <w14:textFill>
            <w14:solidFill>
              <w14:schemeClr w14:val="tx1"/>
            </w14:solidFill>
          </w14:textFill>
        </w:rPr>
        <w:t xml:space="preserve">   3 检测项目</w:t>
      </w:r>
      <w:r>
        <w:rPr>
          <w:rFonts w:ascii="Times New Roman" w:hAnsi="Times New Roman" w:cs="Times New Roman"/>
          <w:bCs/>
          <w:color w:val="000000" w:themeColor="text1"/>
          <w:szCs w:val="21"/>
          <w14:textFill>
            <w14:solidFill>
              <w14:schemeClr w14:val="tx1"/>
            </w14:solidFill>
          </w14:textFill>
        </w:rPr>
        <w:t>现场实施的可行性</w:t>
      </w:r>
      <w:r>
        <w:rPr>
          <w:rFonts w:hint="eastAsia" w:ascii="Times New Roman" w:hAnsi="Times New Roman" w:cs="Times New Roman"/>
          <w:bCs/>
          <w:color w:val="000000" w:themeColor="text1"/>
          <w:szCs w:val="21"/>
          <w14:textFill>
            <w14:solidFill>
              <w14:schemeClr w14:val="tx1"/>
            </w14:solidFill>
          </w14:textFill>
        </w:rPr>
        <w:t>。</w:t>
      </w:r>
    </w:p>
    <w:p>
      <w:pPr>
        <w:spacing w:line="360" w:lineRule="auto"/>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t>3.2.3</w:t>
      </w:r>
      <w:r>
        <w:rPr>
          <w:rFonts w:ascii="Times New Roman" w:hAnsi="Times New Roman" w:cs="Times New Roman"/>
          <w:bCs/>
          <w:color w:val="000000" w:themeColor="text1"/>
          <w:szCs w:val="21"/>
          <w14:textFill>
            <w14:solidFill>
              <w14:schemeClr w14:val="tx1"/>
            </w14:solidFill>
          </w14:textFill>
        </w:rPr>
        <w:t xml:space="preserve"> </w:t>
      </w:r>
      <w:r>
        <w:rPr>
          <w:rFonts w:hint="eastAsia" w:ascii="Times New Roman" w:hAnsi="Times New Roman" w:cs="Times New Roman"/>
          <w:bCs/>
          <w:color w:val="000000" w:themeColor="text1"/>
          <w:szCs w:val="21"/>
          <w14:textFill>
            <w14:solidFill>
              <w14:schemeClr w14:val="tx1"/>
            </w14:solidFill>
          </w14:textFill>
        </w:rPr>
        <w:t>检测方案的内容</w:t>
      </w:r>
      <w:r>
        <w:rPr>
          <w:rFonts w:ascii="Times New Roman" w:hAnsi="Times New Roman" w:cs="Times New Roman"/>
          <w:bCs/>
          <w:color w:val="000000" w:themeColor="text1"/>
          <w:szCs w:val="21"/>
          <w14:textFill>
            <w14:solidFill>
              <w14:schemeClr w14:val="tx1"/>
            </w14:solidFill>
          </w14:textFill>
        </w:rPr>
        <w:t>宜包括：工程概况、地基条件、桩基设计要求、施工工艺、</w:t>
      </w:r>
      <w:r>
        <w:rPr>
          <w:rFonts w:hint="eastAsia" w:ascii="Times New Roman" w:hAnsi="Times New Roman" w:cs="Times New Roman"/>
          <w:bCs/>
          <w:color w:val="000000" w:themeColor="text1"/>
          <w:szCs w:val="21"/>
          <w14:textFill>
            <w14:solidFill>
              <w14:schemeClr w14:val="tx1"/>
            </w14:solidFill>
          </w14:textFill>
        </w:rPr>
        <w:t>传力杆设置方式及承压板埋设、</w:t>
      </w:r>
      <w:r>
        <w:rPr>
          <w:rFonts w:ascii="Times New Roman" w:hAnsi="Times New Roman" w:cs="Times New Roman"/>
          <w:bCs/>
          <w:color w:val="000000" w:themeColor="text1"/>
          <w:szCs w:val="21"/>
          <w14:textFill>
            <w14:solidFill>
              <w14:schemeClr w14:val="tx1"/>
            </w14:solidFill>
          </w14:textFill>
        </w:rPr>
        <w:t>检测</w:t>
      </w:r>
      <w:r>
        <w:rPr>
          <w:rFonts w:hint="eastAsia" w:ascii="Times New Roman" w:hAnsi="Times New Roman" w:cs="Times New Roman"/>
          <w:bCs/>
          <w:color w:val="000000" w:themeColor="text1"/>
          <w:szCs w:val="21"/>
          <w14:textFill>
            <w14:solidFill>
              <w14:schemeClr w14:val="tx1"/>
            </w14:solidFill>
          </w14:textFill>
        </w:rPr>
        <w:t>数量</w:t>
      </w:r>
      <w:r>
        <w:rPr>
          <w:rFonts w:ascii="Times New Roman" w:hAnsi="Times New Roman" w:cs="Times New Roman"/>
          <w:bCs/>
          <w:color w:val="000000" w:themeColor="text1"/>
          <w:szCs w:val="21"/>
          <w14:textFill>
            <w14:solidFill>
              <w14:schemeClr w14:val="tx1"/>
            </w14:solidFill>
          </w14:textFill>
        </w:rPr>
        <w:t>、检测进度及所需的</w:t>
      </w:r>
      <w:r>
        <w:rPr>
          <w:rFonts w:hint="eastAsia" w:ascii="Times New Roman" w:hAnsi="Times New Roman" w:cs="Times New Roman"/>
          <w:bCs/>
          <w:color w:val="000000" w:themeColor="text1"/>
          <w:szCs w:val="21"/>
          <w14:textFill>
            <w14:solidFill>
              <w14:schemeClr w14:val="tx1"/>
            </w14:solidFill>
          </w14:textFill>
        </w:rPr>
        <w:t>桩基施工单位</w:t>
      </w:r>
      <w:r>
        <w:rPr>
          <w:rFonts w:ascii="Times New Roman" w:hAnsi="Times New Roman" w:cs="Times New Roman"/>
          <w:bCs/>
          <w:color w:val="000000" w:themeColor="text1"/>
          <w:szCs w:val="21"/>
          <w14:textFill>
            <w14:solidFill>
              <w14:schemeClr w14:val="tx1"/>
            </w14:solidFill>
          </w14:textFill>
        </w:rPr>
        <w:t>机械和人工配合</w:t>
      </w:r>
      <w:r>
        <w:rPr>
          <w:rFonts w:hint="eastAsia" w:ascii="Times New Roman" w:hAnsi="Times New Roman" w:cs="Times New Roman"/>
          <w:bCs/>
          <w:color w:val="000000" w:themeColor="text1"/>
          <w:szCs w:val="21"/>
          <w14:textFill>
            <w14:solidFill>
              <w14:schemeClr w14:val="tx1"/>
            </w14:solidFill>
          </w14:textFill>
        </w:rPr>
        <w:t>。</w:t>
      </w:r>
    </w:p>
    <w:p>
      <w:pPr>
        <w:spacing w:line="360" w:lineRule="auto"/>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t>3.2.4</w:t>
      </w:r>
      <w:r>
        <w:rPr>
          <w:rFonts w:ascii="Times New Roman" w:hAnsi="Times New Roman" w:cs="Times New Roman"/>
          <w:bCs/>
          <w:color w:val="000000" w:themeColor="text1"/>
          <w:szCs w:val="21"/>
          <w14:textFill>
            <w14:solidFill>
              <w14:schemeClr w14:val="tx1"/>
            </w14:solidFill>
          </w14:textFill>
        </w:rPr>
        <w:t xml:space="preserve"> </w:t>
      </w:r>
      <w:r>
        <w:rPr>
          <w:rFonts w:hint="eastAsia" w:ascii="Times New Roman" w:hAnsi="Times New Roman" w:cs="Times New Roman"/>
          <w:bCs/>
          <w:color w:val="000000" w:themeColor="text1"/>
          <w:szCs w:val="21"/>
          <w14:textFill>
            <w14:solidFill>
              <w14:schemeClr w14:val="tx1"/>
            </w14:solidFill>
          </w14:textFill>
        </w:rPr>
        <w:t>基桩检测用</w:t>
      </w:r>
      <w:r>
        <w:rPr>
          <w:rFonts w:ascii="Times New Roman" w:hAnsi="Times New Roman" w:cs="Times New Roman"/>
          <w:bCs/>
          <w:color w:val="000000" w:themeColor="text1"/>
          <w:szCs w:val="21"/>
          <w14:textFill>
            <w14:solidFill>
              <w14:schemeClr w14:val="tx1"/>
            </w14:solidFill>
          </w14:textFill>
        </w:rPr>
        <w:t>仪器设备</w:t>
      </w:r>
      <w:r>
        <w:rPr>
          <w:rFonts w:hint="eastAsia" w:ascii="Times New Roman" w:hAnsi="Times New Roman" w:cs="Times New Roman"/>
          <w:bCs/>
          <w:color w:val="000000" w:themeColor="text1"/>
          <w:szCs w:val="21"/>
          <w14:textFill>
            <w14:solidFill>
              <w14:schemeClr w14:val="tx1"/>
            </w14:solidFill>
          </w14:textFill>
        </w:rPr>
        <w:t>应</w:t>
      </w:r>
      <w:r>
        <w:rPr>
          <w:rFonts w:ascii="Times New Roman" w:hAnsi="Times New Roman" w:cs="Times New Roman"/>
          <w:bCs/>
          <w:color w:val="000000" w:themeColor="text1"/>
          <w:szCs w:val="21"/>
          <w14:textFill>
            <w14:solidFill>
              <w14:schemeClr w14:val="tx1"/>
            </w14:solidFill>
          </w14:textFill>
        </w:rPr>
        <w:t>在</w:t>
      </w:r>
      <w:r>
        <w:rPr>
          <w:rFonts w:hint="eastAsia" w:ascii="Times New Roman" w:hAnsi="Times New Roman" w:cs="Times New Roman"/>
          <w:bCs/>
          <w:color w:val="000000" w:themeColor="text1"/>
          <w:szCs w:val="21"/>
          <w14:textFill>
            <w14:solidFill>
              <w14:schemeClr w14:val="tx1"/>
            </w14:solidFill>
          </w14:textFill>
        </w:rPr>
        <w:t>检定</w:t>
      </w:r>
      <w:r>
        <w:rPr>
          <w:rFonts w:ascii="Times New Roman" w:hAnsi="Times New Roman" w:cs="Times New Roman"/>
          <w:bCs/>
          <w:color w:val="000000" w:themeColor="text1"/>
          <w:szCs w:val="21"/>
          <w14:textFill>
            <w14:solidFill>
              <w14:schemeClr w14:val="tx1"/>
            </w14:solidFill>
          </w14:textFill>
        </w:rPr>
        <w:t>或校准</w:t>
      </w:r>
      <w:r>
        <w:rPr>
          <w:rFonts w:hint="eastAsia" w:ascii="Times New Roman" w:hAnsi="Times New Roman" w:cs="Times New Roman"/>
          <w:bCs/>
          <w:color w:val="000000" w:themeColor="text1"/>
          <w:szCs w:val="21"/>
          <w14:textFill>
            <w14:solidFill>
              <w14:schemeClr w14:val="tx1"/>
            </w14:solidFill>
          </w14:textFill>
        </w:rPr>
        <w:t>的有效期内</w:t>
      </w:r>
      <w:r>
        <w:rPr>
          <w:rFonts w:ascii="Times New Roman" w:hAnsi="Times New Roman" w:cs="Times New Roman"/>
          <w:bCs/>
          <w:color w:val="000000" w:themeColor="text1"/>
          <w:szCs w:val="21"/>
          <w14:textFill>
            <w14:solidFill>
              <w14:schemeClr w14:val="tx1"/>
            </w14:solidFill>
          </w14:textFill>
        </w:rPr>
        <w:t>；基桩检测前，应对仪器设备进行检查调试。</w:t>
      </w:r>
    </w:p>
    <w:p>
      <w:pPr>
        <w:spacing w:line="360" w:lineRule="auto"/>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t>3.2.5</w:t>
      </w:r>
      <w:r>
        <w:rPr>
          <w:rFonts w:ascii="Times New Roman" w:hAnsi="Times New Roman" w:cs="Times New Roman"/>
          <w:bCs/>
          <w:color w:val="000000" w:themeColor="text1"/>
          <w:szCs w:val="21"/>
          <w14:textFill>
            <w14:solidFill>
              <w14:schemeClr w14:val="tx1"/>
            </w14:solidFill>
          </w14:textFill>
        </w:rPr>
        <w:t xml:space="preserve"> </w:t>
      </w:r>
      <w:r>
        <w:rPr>
          <w:rFonts w:hint="eastAsia" w:ascii="Times New Roman" w:hAnsi="Times New Roman" w:cs="Times New Roman"/>
          <w:bCs/>
          <w:color w:val="000000" w:themeColor="text1"/>
          <w:szCs w:val="21"/>
          <w14:textFill>
            <w14:solidFill>
              <w14:schemeClr w14:val="tx1"/>
            </w14:solidFill>
          </w14:textFill>
        </w:rPr>
        <w:t>基桩检测</w:t>
      </w:r>
      <w:r>
        <w:rPr>
          <w:rFonts w:ascii="Times New Roman" w:hAnsi="Times New Roman" w:cs="Times New Roman"/>
          <w:bCs/>
          <w:color w:val="000000" w:themeColor="text1"/>
          <w:szCs w:val="21"/>
          <w14:textFill>
            <w14:solidFill>
              <w14:schemeClr w14:val="tx1"/>
            </w14:solidFill>
          </w14:textFill>
        </w:rPr>
        <w:t>开始时间应符合下列规定：</w:t>
      </w:r>
    </w:p>
    <w:p>
      <w:pPr>
        <w:spacing w:line="360" w:lineRule="auto"/>
        <w:ind w:firstLine="315" w:firstLineChars="150"/>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Cs/>
          <w:color w:val="000000" w:themeColor="text1"/>
          <w:szCs w:val="21"/>
          <w14:textFill>
            <w14:solidFill>
              <w14:schemeClr w14:val="tx1"/>
            </w14:solidFill>
          </w14:textFill>
        </w:rPr>
        <w:t xml:space="preserve">1 </w:t>
      </w:r>
      <w:r>
        <w:rPr>
          <w:rFonts w:hint="eastAsia" w:ascii="Times New Roman" w:hAnsi="Times New Roman" w:cs="Times New Roman"/>
          <w:bCs/>
          <w:color w:val="000000" w:themeColor="text1"/>
          <w:szCs w:val="21"/>
          <w14:textFill>
            <w14:solidFill>
              <w14:schemeClr w14:val="tx1"/>
            </w14:solidFill>
          </w14:textFill>
        </w:rPr>
        <w:t>地层以</w:t>
      </w:r>
      <w:r>
        <w:rPr>
          <w:rFonts w:ascii="Times New Roman" w:hAnsi="Times New Roman" w:cs="Times New Roman"/>
          <w:bCs/>
          <w:color w:val="000000" w:themeColor="text1"/>
          <w:szCs w:val="21"/>
          <w14:textFill>
            <w14:solidFill>
              <w14:schemeClr w14:val="tx1"/>
            </w14:solidFill>
          </w14:textFill>
        </w:rPr>
        <w:t>砂土</w:t>
      </w:r>
      <w:r>
        <w:rPr>
          <w:rFonts w:hint="eastAsia" w:ascii="Times New Roman" w:hAnsi="Times New Roman" w:cs="Times New Roman"/>
          <w:bCs/>
          <w:color w:val="000000" w:themeColor="text1"/>
          <w:szCs w:val="21"/>
          <w14:textFill>
            <w14:solidFill>
              <w14:schemeClr w14:val="tx1"/>
            </w14:solidFill>
          </w14:textFill>
        </w:rPr>
        <w:t>为主</w:t>
      </w:r>
      <w:r>
        <w:rPr>
          <w:rFonts w:ascii="Times New Roman" w:hAnsi="Times New Roman" w:cs="Times New Roman"/>
          <w:bCs/>
          <w:color w:val="000000" w:themeColor="text1"/>
          <w:szCs w:val="21"/>
          <w14:textFill>
            <w14:solidFill>
              <w14:schemeClr w14:val="tx1"/>
            </w14:solidFill>
          </w14:textFill>
        </w:rPr>
        <w:t>的桩，</w:t>
      </w:r>
      <w:r>
        <w:rPr>
          <w:rFonts w:hint="eastAsia" w:ascii="Times New Roman" w:hAnsi="Times New Roman" w:cs="Times New Roman"/>
          <w:bCs/>
          <w:color w:val="000000" w:themeColor="text1"/>
          <w:szCs w:val="21"/>
          <w14:textFill>
            <w14:solidFill>
              <w14:schemeClr w14:val="tx1"/>
            </w14:solidFill>
          </w14:textFill>
        </w:rPr>
        <w:t>桩休止时间</w:t>
      </w:r>
      <w:r>
        <w:rPr>
          <w:rFonts w:ascii="Times New Roman" w:hAnsi="Times New Roman" w:cs="Times New Roman"/>
          <w:bCs/>
          <w:color w:val="000000" w:themeColor="text1"/>
          <w:szCs w:val="21"/>
          <w14:textFill>
            <w14:solidFill>
              <w14:schemeClr w14:val="tx1"/>
            </w14:solidFill>
          </w14:textFill>
        </w:rPr>
        <w:t>不</w:t>
      </w:r>
      <w:r>
        <w:rPr>
          <w:rFonts w:hint="eastAsia" w:ascii="Times New Roman" w:hAnsi="Times New Roman" w:cs="Times New Roman"/>
          <w:bCs/>
          <w:color w:val="000000" w:themeColor="text1"/>
          <w:szCs w:val="21"/>
          <w14:textFill>
            <w14:solidFill>
              <w14:schemeClr w14:val="tx1"/>
            </w14:solidFill>
          </w14:textFill>
        </w:rPr>
        <w:t>少</w:t>
      </w:r>
      <w:r>
        <w:rPr>
          <w:rFonts w:ascii="Times New Roman" w:hAnsi="Times New Roman" w:cs="Times New Roman"/>
          <w:bCs/>
          <w:color w:val="000000" w:themeColor="text1"/>
          <w:szCs w:val="21"/>
          <w14:textFill>
            <w14:solidFill>
              <w14:schemeClr w14:val="tx1"/>
            </w14:solidFill>
          </w14:textFill>
        </w:rPr>
        <w:t>于</w:t>
      </w:r>
      <w:r>
        <w:rPr>
          <w:rFonts w:hint="eastAsia" w:ascii="Times New Roman" w:hAnsi="Times New Roman" w:cs="Times New Roman"/>
          <w:bCs/>
          <w:color w:val="000000" w:themeColor="text1"/>
          <w:szCs w:val="21"/>
          <w14:textFill>
            <w14:solidFill>
              <w14:schemeClr w14:val="tx1"/>
            </w14:solidFill>
          </w14:textFill>
        </w:rPr>
        <w:t>7</w:t>
      </w:r>
      <w:r>
        <w:rPr>
          <w:rFonts w:ascii="Times New Roman" w:hAnsi="Times New Roman" w:cs="Times New Roman"/>
          <w:bCs/>
          <w:color w:val="000000" w:themeColor="text1"/>
          <w:szCs w:val="21"/>
          <w14:textFill>
            <w14:solidFill>
              <w14:schemeClr w14:val="tx1"/>
            </w14:solidFill>
          </w14:textFill>
        </w:rPr>
        <w:t>d，</w:t>
      </w:r>
      <w:r>
        <w:rPr>
          <w:rFonts w:hint="eastAsia" w:ascii="Times New Roman" w:hAnsi="Times New Roman" w:cs="Times New Roman"/>
          <w:bCs/>
          <w:color w:val="000000" w:themeColor="text1"/>
          <w:szCs w:val="21"/>
          <w14:textFill>
            <w14:solidFill>
              <w14:schemeClr w14:val="tx1"/>
            </w14:solidFill>
          </w14:textFill>
        </w:rPr>
        <w:t>地层</w:t>
      </w:r>
      <w:r>
        <w:rPr>
          <w:rFonts w:ascii="Times New Roman" w:hAnsi="Times New Roman" w:cs="Times New Roman"/>
          <w:bCs/>
          <w:color w:val="000000" w:themeColor="text1"/>
          <w:szCs w:val="21"/>
          <w14:textFill>
            <w14:solidFill>
              <w14:schemeClr w14:val="tx1"/>
            </w14:solidFill>
          </w14:textFill>
        </w:rPr>
        <w:t>以粉土</w:t>
      </w:r>
      <w:r>
        <w:rPr>
          <w:rFonts w:hint="eastAsia" w:ascii="Times New Roman" w:hAnsi="Times New Roman" w:cs="Times New Roman"/>
          <w:bCs/>
          <w:color w:val="000000" w:themeColor="text1"/>
          <w:szCs w:val="21"/>
          <w14:textFill>
            <w14:solidFill>
              <w14:schemeClr w14:val="tx1"/>
            </w14:solidFill>
          </w14:textFill>
        </w:rPr>
        <w:t>为主</w:t>
      </w:r>
      <w:r>
        <w:rPr>
          <w:rFonts w:ascii="Times New Roman" w:hAnsi="Times New Roman" w:cs="Times New Roman"/>
          <w:bCs/>
          <w:color w:val="000000" w:themeColor="text1"/>
          <w:szCs w:val="21"/>
          <w14:textFill>
            <w14:solidFill>
              <w14:schemeClr w14:val="tx1"/>
            </w14:solidFill>
          </w14:textFill>
        </w:rPr>
        <w:t>的桩，</w:t>
      </w:r>
      <w:r>
        <w:rPr>
          <w:rFonts w:hint="eastAsia" w:ascii="Times New Roman" w:hAnsi="Times New Roman" w:cs="Times New Roman"/>
          <w:bCs/>
          <w:color w:val="000000" w:themeColor="text1"/>
          <w:szCs w:val="21"/>
          <w14:textFill>
            <w14:solidFill>
              <w14:schemeClr w14:val="tx1"/>
            </w14:solidFill>
          </w14:textFill>
        </w:rPr>
        <w:t>桩休止时间</w:t>
      </w:r>
      <w:r>
        <w:rPr>
          <w:rFonts w:ascii="Times New Roman" w:hAnsi="Times New Roman" w:cs="Times New Roman"/>
          <w:bCs/>
          <w:color w:val="000000" w:themeColor="text1"/>
          <w:szCs w:val="21"/>
          <w14:textFill>
            <w14:solidFill>
              <w14:schemeClr w14:val="tx1"/>
            </w14:solidFill>
          </w14:textFill>
        </w:rPr>
        <w:t>不</w:t>
      </w:r>
      <w:r>
        <w:rPr>
          <w:rFonts w:hint="eastAsia" w:ascii="Times New Roman" w:hAnsi="Times New Roman" w:cs="Times New Roman"/>
          <w:bCs/>
          <w:color w:val="000000" w:themeColor="text1"/>
          <w:szCs w:val="21"/>
          <w14:textFill>
            <w14:solidFill>
              <w14:schemeClr w14:val="tx1"/>
            </w14:solidFill>
          </w14:textFill>
        </w:rPr>
        <w:t>少</w:t>
      </w:r>
      <w:r>
        <w:rPr>
          <w:rFonts w:ascii="Times New Roman" w:hAnsi="Times New Roman" w:cs="Times New Roman"/>
          <w:bCs/>
          <w:color w:val="000000" w:themeColor="text1"/>
          <w:szCs w:val="21"/>
          <w14:textFill>
            <w14:solidFill>
              <w14:schemeClr w14:val="tx1"/>
            </w14:solidFill>
          </w14:textFill>
        </w:rPr>
        <w:t>于</w:t>
      </w:r>
      <w:r>
        <w:rPr>
          <w:rFonts w:hint="eastAsia" w:ascii="Times New Roman" w:hAnsi="Times New Roman" w:cs="Times New Roman"/>
          <w:bCs/>
          <w:color w:val="000000" w:themeColor="text1"/>
          <w:szCs w:val="21"/>
          <w14:textFill>
            <w14:solidFill>
              <w14:schemeClr w14:val="tx1"/>
            </w14:solidFill>
          </w14:textFill>
        </w:rPr>
        <w:t>10</w:t>
      </w:r>
      <w:r>
        <w:rPr>
          <w:rFonts w:ascii="Times New Roman" w:hAnsi="Times New Roman" w:cs="Times New Roman"/>
          <w:bCs/>
          <w:color w:val="000000" w:themeColor="text1"/>
          <w:szCs w:val="21"/>
          <w14:textFill>
            <w14:solidFill>
              <w14:schemeClr w14:val="tx1"/>
            </w14:solidFill>
          </w14:textFill>
        </w:rPr>
        <w:t>d，</w:t>
      </w:r>
      <w:r>
        <w:rPr>
          <w:rFonts w:hint="eastAsia" w:ascii="Times New Roman" w:hAnsi="Times New Roman" w:cs="Times New Roman"/>
          <w:bCs/>
          <w:color w:val="000000" w:themeColor="text1"/>
          <w:szCs w:val="21"/>
          <w14:textFill>
            <w14:solidFill>
              <w14:schemeClr w14:val="tx1"/>
            </w14:solidFill>
          </w14:textFill>
        </w:rPr>
        <w:t>地层以</w:t>
      </w:r>
      <w:r>
        <w:rPr>
          <w:rFonts w:ascii="Times New Roman" w:hAnsi="Times New Roman" w:cs="Times New Roman"/>
          <w:bCs/>
          <w:color w:val="000000" w:themeColor="text1"/>
          <w:szCs w:val="21"/>
          <w14:textFill>
            <w14:solidFill>
              <w14:schemeClr w14:val="tx1"/>
            </w14:solidFill>
          </w14:textFill>
        </w:rPr>
        <w:t>黏</w:t>
      </w:r>
      <w:r>
        <w:rPr>
          <w:rFonts w:hint="eastAsia" w:ascii="Times New Roman" w:hAnsi="Times New Roman" w:cs="Times New Roman"/>
          <w:bCs/>
          <w:color w:val="000000" w:themeColor="text1"/>
          <w:szCs w:val="21"/>
          <w14:textFill>
            <w14:solidFill>
              <w14:schemeClr w14:val="tx1"/>
            </w14:solidFill>
          </w14:textFill>
        </w:rPr>
        <w:t>性</w:t>
      </w:r>
      <w:r>
        <w:rPr>
          <w:rFonts w:ascii="Times New Roman" w:hAnsi="Times New Roman" w:cs="Times New Roman"/>
          <w:bCs/>
          <w:color w:val="000000" w:themeColor="text1"/>
          <w:szCs w:val="21"/>
          <w14:textFill>
            <w14:solidFill>
              <w14:schemeClr w14:val="tx1"/>
            </w14:solidFill>
          </w14:textFill>
        </w:rPr>
        <w:t>土</w:t>
      </w:r>
      <w:r>
        <w:rPr>
          <w:rFonts w:hint="eastAsia" w:ascii="Times New Roman" w:hAnsi="Times New Roman" w:cs="Times New Roman"/>
          <w:bCs/>
          <w:color w:val="000000" w:themeColor="text1"/>
          <w:szCs w:val="21"/>
          <w14:textFill>
            <w14:solidFill>
              <w14:schemeClr w14:val="tx1"/>
            </w14:solidFill>
          </w14:textFill>
        </w:rPr>
        <w:t>为主</w:t>
      </w:r>
      <w:r>
        <w:rPr>
          <w:rFonts w:ascii="Times New Roman" w:hAnsi="Times New Roman" w:cs="Times New Roman"/>
          <w:bCs/>
          <w:color w:val="000000" w:themeColor="text1"/>
          <w:szCs w:val="21"/>
          <w14:textFill>
            <w14:solidFill>
              <w14:schemeClr w14:val="tx1"/>
            </w14:solidFill>
          </w14:textFill>
        </w:rPr>
        <w:t>的</w:t>
      </w:r>
      <w:r>
        <w:rPr>
          <w:rFonts w:hint="eastAsia" w:ascii="Times New Roman" w:hAnsi="Times New Roman" w:cs="Times New Roman"/>
          <w:bCs/>
          <w:color w:val="000000" w:themeColor="text1"/>
          <w:szCs w:val="21"/>
          <w14:textFill>
            <w14:solidFill>
              <w14:schemeClr w14:val="tx1"/>
            </w14:solidFill>
          </w14:textFill>
        </w:rPr>
        <w:t>桩，桩休止时间</w:t>
      </w:r>
      <w:r>
        <w:rPr>
          <w:rFonts w:ascii="Times New Roman" w:hAnsi="Times New Roman" w:cs="Times New Roman"/>
          <w:bCs/>
          <w:color w:val="000000" w:themeColor="text1"/>
          <w:szCs w:val="21"/>
          <w14:textFill>
            <w14:solidFill>
              <w14:schemeClr w14:val="tx1"/>
            </w14:solidFill>
          </w14:textFill>
        </w:rPr>
        <w:t>不</w:t>
      </w:r>
      <w:r>
        <w:rPr>
          <w:rFonts w:hint="eastAsia" w:ascii="Times New Roman" w:hAnsi="Times New Roman" w:cs="Times New Roman"/>
          <w:bCs/>
          <w:color w:val="000000" w:themeColor="text1"/>
          <w:szCs w:val="21"/>
          <w14:textFill>
            <w14:solidFill>
              <w14:schemeClr w14:val="tx1"/>
            </w14:solidFill>
          </w14:textFill>
        </w:rPr>
        <w:t>少</w:t>
      </w:r>
      <w:r>
        <w:rPr>
          <w:rFonts w:ascii="Times New Roman" w:hAnsi="Times New Roman" w:cs="Times New Roman"/>
          <w:bCs/>
          <w:color w:val="000000" w:themeColor="text1"/>
          <w:szCs w:val="21"/>
          <w14:textFill>
            <w14:solidFill>
              <w14:schemeClr w14:val="tx1"/>
            </w14:solidFill>
          </w14:textFill>
        </w:rPr>
        <w:t>于25d</w:t>
      </w:r>
      <w:r>
        <w:rPr>
          <w:rFonts w:hint="eastAsia" w:ascii="Times New Roman" w:hAnsi="Times New Roman" w:cs="Times New Roman"/>
          <w:bCs/>
          <w:color w:val="000000" w:themeColor="text1"/>
          <w:szCs w:val="21"/>
          <w14:textFill>
            <w14:solidFill>
              <w14:schemeClr w14:val="tx1"/>
            </w14:solidFill>
          </w14:textFill>
        </w:rPr>
        <w:t>；</w:t>
      </w:r>
    </w:p>
    <w:p>
      <w:pPr>
        <w:spacing w:line="360" w:lineRule="auto"/>
        <w:ind w:firstLine="315" w:firstLineChars="150"/>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Cs/>
          <w:color w:val="000000" w:themeColor="text1"/>
          <w:szCs w:val="21"/>
          <w14:textFill>
            <w14:solidFill>
              <w14:schemeClr w14:val="tx1"/>
            </w14:solidFill>
          </w14:textFill>
        </w:rPr>
        <w:t xml:space="preserve">2 </w:t>
      </w:r>
      <w:r>
        <w:rPr>
          <w:rFonts w:hint="eastAsia" w:ascii="Times New Roman" w:hAnsi="Times New Roman" w:cs="Times New Roman"/>
          <w:bCs/>
          <w:color w:val="000000" w:themeColor="text1"/>
          <w:szCs w:val="21"/>
          <w14:textFill>
            <w14:solidFill>
              <w14:schemeClr w14:val="tx1"/>
            </w14:solidFill>
          </w14:textFill>
        </w:rPr>
        <w:t>现场灌注混凝土桩，混凝土强度不应低于设计强度的80%</w:t>
      </w:r>
      <w:r>
        <w:rPr>
          <w:rFonts w:ascii="Times New Roman" w:hAnsi="Times New Roman" w:cs="Times New Roman"/>
          <w:bCs/>
          <w:color w:val="000000" w:themeColor="text1"/>
          <w:szCs w:val="21"/>
          <w14:textFill>
            <w14:solidFill>
              <w14:schemeClr w14:val="tx1"/>
            </w14:solidFill>
          </w14:textFill>
        </w:rPr>
        <w:t>。</w:t>
      </w:r>
    </w:p>
    <w:p>
      <w:pPr>
        <w:pStyle w:val="3"/>
        <w:rPr>
          <w:color w:val="000000" w:themeColor="text1"/>
          <w14:textFill>
            <w14:solidFill>
              <w14:schemeClr w14:val="tx1"/>
            </w14:solidFill>
          </w14:textFill>
        </w:rPr>
      </w:pPr>
      <w:bookmarkStart w:id="33" w:name="_Toc154757367"/>
      <w:bookmarkStart w:id="34" w:name="_Toc154934713"/>
      <w:bookmarkStart w:id="35" w:name="_Toc165274007"/>
      <w:r>
        <w:rPr>
          <w:color w:val="000000" w:themeColor="text1"/>
          <w14:textFill>
            <w14:solidFill>
              <w14:schemeClr w14:val="tx1"/>
            </w14:solidFill>
          </w14:textFill>
        </w:rPr>
        <w:t xml:space="preserve">3.3 </w:t>
      </w:r>
      <w:r>
        <w:rPr>
          <w:rFonts w:hint="eastAsia"/>
          <w:color w:val="000000" w:themeColor="text1"/>
          <w14:textFill>
            <w14:solidFill>
              <w14:schemeClr w14:val="tx1"/>
            </w14:solidFill>
          </w14:textFill>
        </w:rPr>
        <w:t>试桩数量</w:t>
      </w:r>
      <w:bookmarkEnd w:id="33"/>
      <w:bookmarkEnd w:id="34"/>
      <w:bookmarkEnd w:id="35"/>
    </w:p>
    <w:p>
      <w:pPr>
        <w:spacing w:line="360" w:lineRule="auto"/>
        <w:ind w:firstLine="420" w:firstLineChars="200"/>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Cs/>
          <w:color w:val="000000" w:themeColor="text1"/>
          <w:szCs w:val="21"/>
          <w14:textFill>
            <w14:solidFill>
              <w14:schemeClr w14:val="tx1"/>
            </w14:solidFill>
          </w14:textFill>
        </w:rPr>
        <w:t>自锚试桩的检测数量不</w:t>
      </w:r>
      <w:r>
        <w:rPr>
          <w:rFonts w:hint="eastAsia" w:ascii="Times New Roman" w:hAnsi="Times New Roman" w:cs="Times New Roman"/>
          <w:bCs/>
          <w:color w:val="000000" w:themeColor="text1"/>
          <w:szCs w:val="21"/>
          <w14:textFill>
            <w14:solidFill>
              <w14:schemeClr w14:val="tx1"/>
            </w14:solidFill>
          </w14:textFill>
        </w:rPr>
        <w:t>应</w:t>
      </w:r>
      <w:r>
        <w:rPr>
          <w:rFonts w:ascii="Times New Roman" w:hAnsi="Times New Roman" w:cs="Times New Roman"/>
          <w:bCs/>
          <w:color w:val="000000" w:themeColor="text1"/>
          <w:szCs w:val="21"/>
          <w14:textFill>
            <w14:solidFill>
              <w14:schemeClr w14:val="tx1"/>
            </w14:solidFill>
          </w14:textFill>
        </w:rPr>
        <w:t>少于同一条件下桩基分项工程总桩数的</w:t>
      </w:r>
      <w:r>
        <w:rPr>
          <w:rFonts w:hint="eastAsia" w:ascii="Times New Roman" w:hAnsi="Times New Roman" w:cs="Times New Roman"/>
          <w:bCs/>
          <w:color w:val="000000" w:themeColor="text1"/>
          <w:szCs w:val="21"/>
          <w14:textFill>
            <w14:solidFill>
              <w14:schemeClr w14:val="tx1"/>
            </w14:solidFill>
          </w14:textFill>
        </w:rPr>
        <w:t>1%，且</w:t>
      </w:r>
      <w:r>
        <w:rPr>
          <w:rFonts w:ascii="Times New Roman" w:hAnsi="Times New Roman" w:cs="Times New Roman"/>
          <w:bCs/>
          <w:color w:val="000000" w:themeColor="text1"/>
          <w:szCs w:val="21"/>
          <w14:textFill>
            <w14:solidFill>
              <w14:schemeClr w14:val="tx1"/>
            </w14:solidFill>
          </w14:textFill>
        </w:rPr>
        <w:t>不</w:t>
      </w:r>
      <w:r>
        <w:rPr>
          <w:rFonts w:hint="eastAsia" w:ascii="Times New Roman" w:hAnsi="Times New Roman" w:cs="Times New Roman"/>
          <w:bCs/>
          <w:color w:val="000000" w:themeColor="text1"/>
          <w:szCs w:val="21"/>
          <w14:textFill>
            <w14:solidFill>
              <w14:schemeClr w14:val="tx1"/>
            </w14:solidFill>
          </w14:textFill>
        </w:rPr>
        <w:t>应</w:t>
      </w:r>
      <w:r>
        <w:rPr>
          <w:rFonts w:ascii="Times New Roman" w:hAnsi="Times New Roman" w:cs="Times New Roman"/>
          <w:bCs/>
          <w:color w:val="000000" w:themeColor="text1"/>
          <w:szCs w:val="21"/>
          <w14:textFill>
            <w14:solidFill>
              <w14:schemeClr w14:val="tx1"/>
            </w14:solidFill>
          </w14:textFill>
        </w:rPr>
        <w:t>少于3根；当工程总桩数在50根以内时不</w:t>
      </w:r>
      <w:r>
        <w:rPr>
          <w:rFonts w:hint="eastAsia" w:ascii="Times New Roman" w:hAnsi="Times New Roman" w:cs="Times New Roman"/>
          <w:bCs/>
          <w:color w:val="000000" w:themeColor="text1"/>
          <w:szCs w:val="21"/>
          <w14:textFill>
            <w14:solidFill>
              <w14:schemeClr w14:val="tx1"/>
            </w14:solidFill>
          </w14:textFill>
        </w:rPr>
        <w:t>应</w:t>
      </w:r>
      <w:r>
        <w:rPr>
          <w:rFonts w:ascii="Times New Roman" w:hAnsi="Times New Roman" w:cs="Times New Roman"/>
          <w:bCs/>
          <w:color w:val="000000" w:themeColor="text1"/>
          <w:szCs w:val="21"/>
          <w14:textFill>
            <w14:solidFill>
              <w14:schemeClr w14:val="tx1"/>
            </w14:solidFill>
          </w14:textFill>
        </w:rPr>
        <w:t>少于2根。</w:t>
      </w:r>
    </w:p>
    <w:p>
      <w:pPr>
        <w:pStyle w:val="3"/>
        <w:rPr>
          <w:color w:val="000000" w:themeColor="text1"/>
          <w14:textFill>
            <w14:solidFill>
              <w14:schemeClr w14:val="tx1"/>
            </w14:solidFill>
          </w14:textFill>
        </w:rPr>
      </w:pPr>
      <w:bookmarkStart w:id="36" w:name="_Toc154934714"/>
      <w:bookmarkStart w:id="37" w:name="_Toc165274008"/>
      <w:bookmarkStart w:id="38" w:name="_Toc154757368"/>
      <w:bookmarkStart w:id="39" w:name="_Hlk154753746"/>
      <w:r>
        <w:rPr>
          <w:color w:val="000000" w:themeColor="text1"/>
          <w14:textFill>
            <w14:solidFill>
              <w14:schemeClr w14:val="tx1"/>
            </w14:solidFill>
          </w14:textFill>
        </w:rPr>
        <w:t xml:space="preserve">3.4 </w:t>
      </w:r>
      <w:r>
        <w:rPr>
          <w:rFonts w:hint="eastAsia"/>
          <w:color w:val="000000" w:themeColor="text1"/>
          <w14:textFill>
            <w14:solidFill>
              <w14:schemeClr w14:val="tx1"/>
            </w14:solidFill>
          </w14:textFill>
        </w:rPr>
        <w:t>试桩位置</w:t>
      </w:r>
      <w:bookmarkEnd w:id="36"/>
      <w:bookmarkEnd w:id="37"/>
      <w:bookmarkEnd w:id="38"/>
    </w:p>
    <w:p>
      <w:pPr>
        <w:spacing w:line="360" w:lineRule="auto"/>
        <w:ind w:firstLine="420" w:firstLineChars="200"/>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Cs/>
          <w:color w:val="000000" w:themeColor="text1"/>
          <w:szCs w:val="21"/>
          <w14:textFill>
            <w14:solidFill>
              <w14:schemeClr w14:val="tx1"/>
            </w14:solidFill>
          </w14:textFill>
        </w:rPr>
        <w:t>试桩位置应符合设计要求。设计无要求时，宜选择在有代表性</w:t>
      </w:r>
      <w:r>
        <w:rPr>
          <w:rFonts w:hint="eastAsia" w:ascii="Times New Roman" w:hAnsi="Times New Roman" w:cs="Times New Roman"/>
          <w:bCs/>
          <w:color w:val="000000" w:themeColor="text1"/>
          <w:szCs w:val="21"/>
          <w14:textFill>
            <w14:solidFill>
              <w14:schemeClr w14:val="tx1"/>
            </w14:solidFill>
          </w14:textFill>
        </w:rPr>
        <w:t>地层的位置</w:t>
      </w:r>
      <w:r>
        <w:rPr>
          <w:rFonts w:ascii="Times New Roman" w:hAnsi="Times New Roman" w:cs="Times New Roman"/>
          <w:bCs/>
          <w:color w:val="000000" w:themeColor="text1"/>
          <w:szCs w:val="21"/>
          <w14:textFill>
            <w14:solidFill>
              <w14:schemeClr w14:val="tx1"/>
            </w14:solidFill>
          </w14:textFill>
        </w:rPr>
        <w:t>，并尽量靠近钻探孔或静力触探孔。</w:t>
      </w:r>
    </w:p>
    <w:p>
      <w:pPr>
        <w:pStyle w:val="3"/>
        <w:rPr>
          <w:color w:val="000000" w:themeColor="text1"/>
          <w14:textFill>
            <w14:solidFill>
              <w14:schemeClr w14:val="tx1"/>
            </w14:solidFill>
          </w14:textFill>
        </w:rPr>
      </w:pPr>
      <w:bookmarkStart w:id="40" w:name="_Toc165274009"/>
      <w:bookmarkStart w:id="41" w:name="_Toc154934715"/>
      <w:bookmarkStart w:id="42" w:name="_Toc154757369"/>
      <w:r>
        <w:rPr>
          <w:color w:val="000000" w:themeColor="text1"/>
          <w14:textFill>
            <w14:solidFill>
              <w14:schemeClr w14:val="tx1"/>
            </w14:solidFill>
          </w14:textFill>
        </w:rPr>
        <w:t xml:space="preserve">3.5 </w:t>
      </w:r>
      <w:r>
        <w:rPr>
          <w:rFonts w:hint="eastAsia"/>
          <w:color w:val="000000" w:themeColor="text1"/>
          <w14:textFill>
            <w14:solidFill>
              <w14:schemeClr w14:val="tx1"/>
            </w14:solidFill>
          </w14:textFill>
        </w:rPr>
        <w:t>试桩加载值</w:t>
      </w:r>
      <w:bookmarkEnd w:id="40"/>
      <w:bookmarkEnd w:id="41"/>
      <w:bookmarkEnd w:id="42"/>
    </w:p>
    <w:p>
      <w:pPr>
        <w:spacing w:line="360" w:lineRule="auto"/>
        <w:ind w:firstLine="420" w:firstLineChars="200"/>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Cs/>
          <w:color w:val="000000" w:themeColor="text1"/>
          <w:szCs w:val="21"/>
          <w14:textFill>
            <w14:solidFill>
              <w14:schemeClr w14:val="tx1"/>
            </w14:solidFill>
          </w14:textFill>
        </w:rPr>
        <w:t>为设计提供依据的试桩，应加载至破坏</w:t>
      </w:r>
      <w:r>
        <w:rPr>
          <w:rFonts w:hint="eastAsia" w:ascii="Times New Roman" w:hAnsi="Times New Roman" w:cs="Times New Roman"/>
          <w:bCs/>
          <w:color w:val="000000" w:themeColor="text1"/>
          <w:szCs w:val="21"/>
          <w14:textFill>
            <w14:solidFill>
              <w14:schemeClr w14:val="tx1"/>
            </w14:solidFill>
          </w14:textFill>
        </w:rPr>
        <w:t>，</w:t>
      </w:r>
      <w:r>
        <w:rPr>
          <w:rFonts w:ascii="Times New Roman" w:hAnsi="Times New Roman" w:cs="Times New Roman"/>
          <w:bCs/>
          <w:color w:val="000000" w:themeColor="text1"/>
          <w:szCs w:val="21"/>
          <w14:textFill>
            <w14:solidFill>
              <w14:schemeClr w14:val="tx1"/>
            </w14:solidFill>
          </w14:textFill>
        </w:rPr>
        <w:t>最大加载值</w:t>
      </w:r>
      <w:bookmarkStart w:id="43" w:name="_Hlk152920169"/>
      <w:r>
        <w:rPr>
          <w:rFonts w:hint="eastAsia" w:ascii="Times New Roman" w:hAnsi="Times New Roman" w:cs="Times New Roman"/>
          <w:bCs/>
          <w:color w:val="000000" w:themeColor="text1"/>
          <w:szCs w:val="21"/>
          <w14:textFill>
            <w14:solidFill>
              <w14:schemeClr w14:val="tx1"/>
            </w14:solidFill>
          </w14:textFill>
        </w:rPr>
        <w:t>不低于岩土工程勘察</w:t>
      </w:r>
      <w:r>
        <w:rPr>
          <w:rFonts w:ascii="Times New Roman" w:hAnsi="Times New Roman" w:cs="Times New Roman"/>
          <w:bCs/>
          <w:color w:val="000000" w:themeColor="text1"/>
          <w:szCs w:val="21"/>
          <w14:textFill>
            <w14:solidFill>
              <w14:schemeClr w14:val="tx1"/>
            </w14:solidFill>
          </w14:textFill>
        </w:rPr>
        <w:t>报告计算的单桩极限承载力的1.2-1.5倍</w:t>
      </w:r>
      <w:r>
        <w:rPr>
          <w:rFonts w:hint="eastAsia" w:ascii="Times New Roman" w:hAnsi="Times New Roman" w:cs="Times New Roman"/>
          <w:bCs/>
          <w:color w:val="000000" w:themeColor="text1"/>
          <w:szCs w:val="21"/>
          <w14:textFill>
            <w14:solidFill>
              <w14:schemeClr w14:val="tx1"/>
            </w14:solidFill>
          </w14:textFill>
        </w:rPr>
        <w:t>的一半</w:t>
      </w:r>
      <w:bookmarkEnd w:id="43"/>
      <w:r>
        <w:rPr>
          <w:rFonts w:hint="eastAsia" w:ascii="Times New Roman" w:hAnsi="Times New Roman" w:cs="Times New Roman"/>
          <w:bCs/>
          <w:color w:val="000000" w:themeColor="text1"/>
          <w:szCs w:val="21"/>
          <w14:textFill>
            <w14:solidFill>
              <w14:schemeClr w14:val="tx1"/>
            </w14:solidFill>
          </w14:textFill>
        </w:rPr>
        <w:t>。</w:t>
      </w:r>
      <w:bookmarkStart w:id="44" w:name="_Hlk152920193"/>
      <w:r>
        <w:rPr>
          <w:rFonts w:ascii="Times New Roman" w:hAnsi="Times New Roman" w:cs="Times New Roman"/>
          <w:bCs/>
          <w:color w:val="000000" w:themeColor="text1"/>
          <w:szCs w:val="21"/>
          <w14:textFill>
            <w14:solidFill>
              <w14:schemeClr w14:val="tx1"/>
            </w14:solidFill>
          </w14:textFill>
        </w:rPr>
        <w:t>作为工程桩</w:t>
      </w:r>
      <w:r>
        <w:rPr>
          <w:rFonts w:hint="eastAsia" w:ascii="Times New Roman" w:hAnsi="Times New Roman" w:cs="Times New Roman"/>
          <w:bCs/>
          <w:color w:val="000000" w:themeColor="text1"/>
          <w:szCs w:val="21"/>
          <w14:textFill>
            <w14:solidFill>
              <w14:schemeClr w14:val="tx1"/>
            </w14:solidFill>
          </w14:textFill>
        </w:rPr>
        <w:t>验收</w:t>
      </w:r>
      <w:r>
        <w:rPr>
          <w:rFonts w:ascii="Times New Roman" w:hAnsi="Times New Roman" w:cs="Times New Roman"/>
          <w:bCs/>
          <w:color w:val="000000" w:themeColor="text1"/>
          <w:szCs w:val="21"/>
          <w14:textFill>
            <w14:solidFill>
              <w14:schemeClr w14:val="tx1"/>
            </w14:solidFill>
          </w14:textFill>
        </w:rPr>
        <w:t>检测时，</w:t>
      </w:r>
      <w:r>
        <w:rPr>
          <w:rFonts w:hint="eastAsia" w:ascii="Times New Roman" w:hAnsi="Times New Roman" w:cs="Times New Roman"/>
          <w:bCs/>
          <w:color w:val="000000" w:themeColor="text1"/>
          <w:szCs w:val="21"/>
          <w14:textFill>
            <w14:solidFill>
              <w14:schemeClr w14:val="tx1"/>
            </w14:solidFill>
          </w14:textFill>
        </w:rPr>
        <w:t>加载量</w:t>
      </w:r>
      <w:r>
        <w:rPr>
          <w:rFonts w:ascii="Times New Roman" w:hAnsi="Times New Roman" w:cs="Times New Roman"/>
          <w:bCs/>
          <w:color w:val="000000" w:themeColor="text1"/>
          <w:szCs w:val="21"/>
          <w14:textFill>
            <w14:solidFill>
              <w14:schemeClr w14:val="tx1"/>
            </w14:solidFill>
          </w14:textFill>
        </w:rPr>
        <w:t>不应小于设计要求的单桩承载力特征值</w:t>
      </w:r>
      <w:bookmarkEnd w:id="44"/>
      <w:r>
        <w:rPr>
          <w:rFonts w:hint="eastAsia" w:ascii="Times New Roman" w:hAnsi="Times New Roman" w:cs="Times New Roman"/>
          <w:bCs/>
          <w:color w:val="000000" w:themeColor="text1"/>
          <w:szCs w:val="21"/>
          <w14:textFill>
            <w14:solidFill>
              <w14:schemeClr w14:val="tx1"/>
            </w14:solidFill>
          </w14:textFill>
        </w:rPr>
        <w:t>。</w:t>
      </w:r>
    </w:p>
    <w:p>
      <w:pPr>
        <w:pStyle w:val="3"/>
        <w:rPr>
          <w:color w:val="000000" w:themeColor="text1"/>
          <w14:textFill>
            <w14:solidFill>
              <w14:schemeClr w14:val="tx1"/>
            </w14:solidFill>
          </w14:textFill>
        </w:rPr>
      </w:pPr>
      <w:bookmarkStart w:id="45" w:name="_Toc165274010"/>
      <w:bookmarkStart w:id="46" w:name="_Toc154934716"/>
      <w:bookmarkStart w:id="47" w:name="_Toc154757370"/>
      <w:r>
        <w:rPr>
          <w:color w:val="000000" w:themeColor="text1"/>
          <w14:textFill>
            <w14:solidFill>
              <w14:schemeClr w14:val="tx1"/>
            </w14:solidFill>
          </w14:textFill>
        </w:rPr>
        <w:t xml:space="preserve">3.6 </w:t>
      </w:r>
      <w:r>
        <w:rPr>
          <w:rFonts w:hint="eastAsia"/>
          <w:color w:val="000000" w:themeColor="text1"/>
          <w14:textFill>
            <w14:solidFill>
              <w14:schemeClr w14:val="tx1"/>
            </w14:solidFill>
          </w14:textFill>
        </w:rPr>
        <w:t>平衡点及通道灌浆</w:t>
      </w:r>
      <w:bookmarkEnd w:id="45"/>
      <w:bookmarkEnd w:id="46"/>
      <w:bookmarkEnd w:id="47"/>
    </w:p>
    <w:p>
      <w:pPr>
        <w:spacing w:line="360" w:lineRule="auto"/>
        <w:ind w:firstLine="420" w:firstLineChars="200"/>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在工程桩上进行试验</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bCs/>
          <w:color w:val="000000" w:themeColor="text1"/>
          <w:szCs w:val="21"/>
          <w14:textFill>
            <w14:solidFill>
              <w14:schemeClr w14:val="tx1"/>
            </w14:solidFill>
          </w14:textFill>
        </w:rPr>
        <w:t>试验结束后，应对平衡点处及传力杆通道灌浆处理，处理后的工程桩可正常使用。</w:t>
      </w:r>
    </w:p>
    <w:bookmarkEnd w:id="39"/>
    <w:p>
      <w:pPr>
        <w:pStyle w:val="3"/>
        <w:rPr>
          <w:color w:val="000000" w:themeColor="text1"/>
          <w14:textFill>
            <w14:solidFill>
              <w14:schemeClr w14:val="tx1"/>
            </w14:solidFill>
          </w14:textFill>
        </w:rPr>
      </w:pPr>
      <w:bookmarkStart w:id="48" w:name="_Toc154934717"/>
      <w:bookmarkStart w:id="49" w:name="_Toc165274011"/>
      <w:bookmarkStart w:id="50" w:name="_Toc154757371"/>
      <w:bookmarkStart w:id="51" w:name="_Hlk154753812"/>
      <w:r>
        <w:rPr>
          <w:color w:val="000000" w:themeColor="text1"/>
          <w14:textFill>
            <w14:solidFill>
              <w14:schemeClr w14:val="tx1"/>
            </w14:solidFill>
          </w14:textFill>
        </w:rPr>
        <w:t>3.7 检测机构、人员及检测程序和要求</w:t>
      </w:r>
      <w:bookmarkEnd w:id="48"/>
      <w:bookmarkEnd w:id="49"/>
      <w:bookmarkEnd w:id="50"/>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3.7.1</w:t>
      </w:r>
      <w:r>
        <w:rPr>
          <w:rFonts w:ascii="Times New Roman" w:hAnsi="Times New Roman" w:cs="Times New Roman"/>
          <w:color w:val="000000" w:themeColor="text1"/>
          <w:szCs w:val="21"/>
          <w14:textFill>
            <w14:solidFill>
              <w14:schemeClr w14:val="tx1"/>
            </w14:solidFill>
          </w14:textFill>
        </w:rPr>
        <w:t xml:space="preserve"> 检测机构</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检测机构应具有基桩静载试验的资质。</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3.7.2</w:t>
      </w:r>
      <w:r>
        <w:rPr>
          <w:rFonts w:ascii="Times New Roman" w:hAnsi="Times New Roman" w:cs="Times New Roman"/>
          <w:color w:val="000000" w:themeColor="text1"/>
          <w:szCs w:val="21"/>
          <w14:textFill>
            <w14:solidFill>
              <w14:schemeClr w14:val="tx1"/>
            </w14:solidFill>
          </w14:textFill>
        </w:rPr>
        <w:t xml:space="preserve"> 人员</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从事自锚试桩法静载试验的检测人员，</w:t>
      </w:r>
      <w:r>
        <w:rPr>
          <w:rFonts w:hint="eastAsia" w:ascii="Times New Roman" w:hAnsi="Times New Roman" w:cs="Times New Roman"/>
          <w:color w:val="000000" w:themeColor="text1"/>
          <w:szCs w:val="21"/>
          <w14:textFill>
            <w14:solidFill>
              <w14:schemeClr w14:val="tx1"/>
            </w14:solidFill>
          </w14:textFill>
        </w:rPr>
        <w:t>宜</w:t>
      </w:r>
      <w:r>
        <w:rPr>
          <w:rFonts w:ascii="Times New Roman" w:hAnsi="Times New Roman" w:cs="Times New Roman"/>
          <w:color w:val="000000" w:themeColor="text1"/>
          <w:szCs w:val="21"/>
          <w14:textFill>
            <w14:solidFill>
              <w14:schemeClr w14:val="tx1"/>
            </w14:solidFill>
          </w14:textFill>
        </w:rPr>
        <w:t>通过自锚试桩法静载试验的培训，</w:t>
      </w:r>
      <w:r>
        <w:rPr>
          <w:rFonts w:hint="eastAsia" w:ascii="Times New Roman" w:hAnsi="Times New Roman" w:cs="Times New Roman"/>
          <w:color w:val="000000" w:themeColor="text1"/>
          <w:szCs w:val="21"/>
          <w14:textFill>
            <w14:solidFill>
              <w14:schemeClr w14:val="tx1"/>
            </w14:solidFill>
          </w14:textFill>
        </w:rPr>
        <w:t>并具备相应能力</w:t>
      </w:r>
      <w:r>
        <w:rPr>
          <w:rFonts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3.7.3</w:t>
      </w:r>
      <w:r>
        <w:rPr>
          <w:rFonts w:ascii="Times New Roman" w:hAnsi="Times New Roman" w:cs="Times New Roman"/>
          <w:color w:val="000000" w:themeColor="text1"/>
          <w:szCs w:val="21"/>
          <w14:textFill>
            <w14:solidFill>
              <w14:schemeClr w14:val="tx1"/>
            </w14:solidFill>
          </w14:textFill>
        </w:rPr>
        <w:t xml:space="preserve"> </w:t>
      </w:r>
      <w:bookmarkStart w:id="52" w:name="_Hlk153121577"/>
      <w:r>
        <w:rPr>
          <w:rFonts w:ascii="Times New Roman" w:hAnsi="Times New Roman" w:cs="Times New Roman"/>
          <w:color w:val="000000" w:themeColor="text1"/>
          <w:szCs w:val="21"/>
          <w14:textFill>
            <w14:solidFill>
              <w14:schemeClr w14:val="tx1"/>
            </w14:solidFill>
          </w14:textFill>
        </w:rPr>
        <w:t>检测</w:t>
      </w:r>
      <w:r>
        <w:rPr>
          <w:rFonts w:hint="eastAsia" w:ascii="Times New Roman" w:hAnsi="Times New Roman" w:cs="Times New Roman"/>
          <w:color w:val="000000" w:themeColor="text1"/>
          <w:szCs w:val="21"/>
          <w14:textFill>
            <w14:solidFill>
              <w14:schemeClr w14:val="tx1"/>
            </w14:solidFill>
          </w14:textFill>
        </w:rPr>
        <w:t>方案</w:t>
      </w:r>
      <w:r>
        <w:rPr>
          <w:rFonts w:ascii="Times New Roman" w:hAnsi="Times New Roman" w:cs="Times New Roman"/>
          <w:color w:val="000000" w:themeColor="text1"/>
          <w:szCs w:val="21"/>
          <w14:textFill>
            <w14:solidFill>
              <w14:schemeClr w14:val="tx1"/>
            </w14:solidFill>
          </w14:textFill>
        </w:rPr>
        <w:t>和要求</w:t>
      </w:r>
      <w:bookmarkEnd w:id="52"/>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w:t>
      </w:r>
      <w:r>
        <w:rPr>
          <w:rFonts w:ascii="Times New Roman" w:hAnsi="Times New Roman" w:cs="Times New Roman"/>
          <w:color w:val="000000" w:themeColor="text1"/>
          <w:szCs w:val="21"/>
          <w14:textFill>
            <w14:solidFill>
              <w14:schemeClr w14:val="tx1"/>
            </w14:solidFill>
          </w14:textFill>
        </w:rPr>
        <w:t xml:space="preserve"> 工程概况，地质条件，试验目的、要求及依据</w:t>
      </w:r>
      <w:r>
        <w:rPr>
          <w:rFonts w:hint="eastAsia" w:ascii="Times New Roman" w:hAnsi="Times New Roman" w:cs="Times New Roman"/>
          <w:color w:val="000000" w:themeColor="text1"/>
          <w:szCs w:val="21"/>
          <w14:textFill>
            <w14:solidFill>
              <w14:schemeClr w14:val="tx1"/>
            </w14:solidFill>
          </w14:textFill>
        </w:rPr>
        <w:t>；</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 每根试桩的位置和最大加载值</w:t>
      </w:r>
      <w:r>
        <w:rPr>
          <w:rFonts w:hint="eastAsia" w:ascii="Times New Roman" w:hAnsi="Times New Roman" w:cs="Times New Roman"/>
          <w:color w:val="000000" w:themeColor="text1"/>
          <w:szCs w:val="21"/>
          <w14:textFill>
            <w14:solidFill>
              <w14:schemeClr w14:val="tx1"/>
            </w14:solidFill>
          </w14:textFill>
        </w:rPr>
        <w:t>；</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Cs/>
          <w:color w:val="000000" w:themeColor="text1"/>
          <w:szCs w:val="21"/>
          <w14:textFill>
            <w14:solidFill>
              <w14:schemeClr w14:val="tx1"/>
            </w14:solidFill>
          </w14:textFill>
        </w:rPr>
        <w:t>3 传力杆安装方法及承压板埋设；</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w:t>
      </w:r>
      <w:r>
        <w:rPr>
          <w:rFonts w:ascii="Times New Roman" w:hAnsi="Times New Roman" w:cs="Times New Roman"/>
          <w:color w:val="000000" w:themeColor="text1"/>
          <w:szCs w:val="21"/>
          <w14:textFill>
            <w14:solidFill>
              <w14:schemeClr w14:val="tx1"/>
            </w14:solidFill>
          </w14:textFill>
        </w:rPr>
        <w:t xml:space="preserve"> 试桩的施工要求和需施工单位配合的机械、人工等</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5</w:t>
      </w:r>
      <w:r>
        <w:rPr>
          <w:rFonts w:ascii="Times New Roman" w:hAnsi="Times New Roman" w:cs="Times New Roman"/>
          <w:color w:val="000000" w:themeColor="text1"/>
          <w:szCs w:val="21"/>
          <w14:textFill>
            <w14:solidFill>
              <w14:schemeClr w14:val="tx1"/>
            </w14:solidFill>
          </w14:textFill>
        </w:rPr>
        <w:t xml:space="preserve"> 安全措施和</w:t>
      </w:r>
      <w:r>
        <w:rPr>
          <w:rFonts w:hint="eastAsia" w:ascii="Times New Roman" w:hAnsi="Times New Roman" w:cs="Times New Roman"/>
          <w:color w:val="000000" w:themeColor="text1"/>
          <w:szCs w:val="21"/>
          <w14:textFill>
            <w14:solidFill>
              <w14:schemeClr w14:val="tx1"/>
            </w14:solidFill>
          </w14:textFill>
        </w:rPr>
        <w:t>质量保证</w:t>
      </w:r>
      <w:r>
        <w:rPr>
          <w:rFonts w:ascii="Times New Roman" w:hAnsi="Times New Roman" w:cs="Times New Roman"/>
          <w:color w:val="000000" w:themeColor="text1"/>
          <w:szCs w:val="21"/>
          <w14:textFill>
            <w14:solidFill>
              <w14:schemeClr w14:val="tx1"/>
            </w14:solidFill>
          </w14:textFill>
        </w:rPr>
        <w:t>体系</w:t>
      </w:r>
      <w:r>
        <w:rPr>
          <w:rFonts w:hint="eastAsia" w:ascii="Times New Roman" w:hAnsi="Times New Roman" w:cs="Times New Roman"/>
          <w:color w:val="000000" w:themeColor="text1"/>
          <w:szCs w:val="21"/>
          <w14:textFill>
            <w14:solidFill>
              <w14:schemeClr w14:val="tx1"/>
            </w14:solidFill>
          </w14:textFill>
        </w:rPr>
        <w:t>；</w:t>
      </w:r>
    </w:p>
    <w:p>
      <w:pPr>
        <w:spacing w:line="360" w:lineRule="auto"/>
        <w:ind w:firstLine="43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w:t>
      </w:r>
      <w:r>
        <w:rPr>
          <w:rFonts w:ascii="Times New Roman" w:hAnsi="Times New Roman" w:cs="Times New Roman"/>
          <w:color w:val="000000" w:themeColor="text1"/>
          <w:szCs w:val="21"/>
          <w14:textFill>
            <w14:solidFill>
              <w14:schemeClr w14:val="tx1"/>
            </w14:solidFill>
          </w14:textFill>
        </w:rPr>
        <w:t xml:space="preserve"> 试桩周期和进度</w:t>
      </w:r>
      <w:r>
        <w:rPr>
          <w:rFonts w:hint="eastAsia" w:ascii="Times New Roman" w:hAnsi="Times New Roman" w:cs="Times New Roman"/>
          <w:color w:val="000000" w:themeColor="text1"/>
          <w:szCs w:val="21"/>
          <w14:textFill>
            <w14:solidFill>
              <w14:schemeClr w14:val="tx1"/>
            </w14:solidFill>
          </w14:textFill>
        </w:rPr>
        <w:t>。</w:t>
      </w:r>
    </w:p>
    <w:bookmarkEnd w:id="51"/>
    <w:p>
      <w:pPr>
        <w:pStyle w:val="3"/>
        <w:rPr>
          <w:color w:val="000000" w:themeColor="text1"/>
          <w14:textFill>
            <w14:solidFill>
              <w14:schemeClr w14:val="tx1"/>
            </w14:solidFill>
          </w14:textFill>
        </w:rPr>
      </w:pPr>
      <w:bookmarkStart w:id="53" w:name="_Toc154757372"/>
      <w:bookmarkStart w:id="54" w:name="_Toc154934718"/>
      <w:bookmarkStart w:id="55" w:name="_Toc165274012"/>
      <w:bookmarkStart w:id="56" w:name="_Hlk153200035"/>
      <w:r>
        <w:rPr>
          <w:color w:val="000000" w:themeColor="text1"/>
          <w14:textFill>
            <w14:solidFill>
              <w14:schemeClr w14:val="tx1"/>
            </w14:solidFill>
          </w14:textFill>
        </w:rPr>
        <w:t xml:space="preserve">3.8 </w:t>
      </w:r>
      <w:bookmarkEnd w:id="53"/>
      <w:bookmarkEnd w:id="54"/>
      <w:r>
        <w:rPr>
          <w:rFonts w:hint="eastAsia"/>
        </w:rPr>
        <w:t>检测结果评价和检测报告</w:t>
      </w:r>
      <w:bookmarkEnd w:id="55"/>
    </w:p>
    <w:bookmarkEnd w:id="56"/>
    <w:p>
      <w:pPr>
        <w:spacing w:line="360" w:lineRule="auto"/>
        <w:jc w:val="lef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3</w:t>
      </w:r>
      <w:r>
        <w:rPr>
          <w:rFonts w:ascii="Times New Roman" w:hAnsi="Times New Roman" w:cs="Times New Roman"/>
          <w:b/>
          <w:bCs/>
          <w:color w:val="000000" w:themeColor="text1"/>
          <w:szCs w:val="21"/>
          <w14:textFill>
            <w14:solidFill>
              <w14:schemeClr w14:val="tx1"/>
            </w14:solidFill>
          </w14:textFill>
        </w:rPr>
        <w:t>.8.1</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工程桩承载力验收检测应给出受检桩的承载力检测值，并评价单桩承载力是否满足设计要求。</w:t>
      </w:r>
    </w:p>
    <w:p>
      <w:pPr>
        <w:spacing w:line="360" w:lineRule="auto"/>
        <w:jc w:val="lef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3</w:t>
      </w:r>
      <w:r>
        <w:rPr>
          <w:rFonts w:ascii="Times New Roman" w:hAnsi="Times New Roman" w:cs="Times New Roman"/>
          <w:b/>
          <w:bCs/>
          <w:color w:val="000000" w:themeColor="text1"/>
          <w:szCs w:val="21"/>
          <w14:textFill>
            <w14:solidFill>
              <w14:schemeClr w14:val="tx1"/>
            </w14:solidFill>
          </w14:textFill>
        </w:rPr>
        <w:t>.8.2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为设计提供依据的桩，应给出受检桩的极限承载力。</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3</w:t>
      </w:r>
      <w:r>
        <w:rPr>
          <w:rFonts w:ascii="Times New Roman" w:hAnsi="Times New Roman" w:cs="Times New Roman"/>
          <w:b/>
          <w:bCs/>
          <w:color w:val="000000" w:themeColor="text1"/>
          <w:szCs w:val="21"/>
          <w14:textFill>
            <w14:solidFill>
              <w14:schemeClr w14:val="tx1"/>
            </w14:solidFill>
          </w14:textFill>
        </w:rPr>
        <w:t>.8.3</w:t>
      </w:r>
      <w:r>
        <w:rPr>
          <w:rFonts w:ascii="Times New Roman" w:hAnsi="Times New Roman" w:cs="Times New Roman"/>
          <w:color w:val="000000" w:themeColor="text1"/>
          <w:szCs w:val="21"/>
          <w14:textFill>
            <w14:solidFill>
              <w14:schemeClr w14:val="tx1"/>
            </w14:solidFill>
          </w14:textFill>
        </w:rPr>
        <w:t xml:space="preserve"> 检测报告应包含以下内容：</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委托方名称，工程名称、地点、建设、勘察、设计、监理和施工单位，设计要求，检测目的，检测依据，检测数量，检测日期；</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地基情况描述；</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受检桩的桩型、尺寸、桩号、桩位、桩顶标高和相关施工记录；</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检测仪器设备，检测过程叙述；</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5 原始数据记录表、汇总表</w:t>
      </w:r>
      <w:r>
        <w:rPr>
          <w:rFonts w:hint="eastAsia" w:ascii="Times New Roman" w:hAnsi="Times New Roman" w:cs="Times New Roman"/>
          <w:color w:val="000000" w:themeColor="text1"/>
          <w:szCs w:val="21"/>
          <w14:textFill>
            <w14:solidFill>
              <w14:schemeClr w14:val="tx1"/>
            </w14:solidFill>
          </w14:textFill>
        </w:rPr>
        <w:t>；</w:t>
      </w:r>
    </w:p>
    <w:p>
      <w:pPr>
        <w:spacing w:line="360" w:lineRule="auto"/>
        <w:ind w:firstLine="420" w:firstLineChars="200"/>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6 与检测内容相应的检测结论。</w:t>
      </w:r>
    </w:p>
    <w:p>
      <w:pPr>
        <w:spacing w:line="360" w:lineRule="auto"/>
        <w:jc w:val="left"/>
        <w:rPr>
          <w:rFonts w:ascii="Times New Roman" w:hAnsi="Times New Roman" w:cs="Times New Roman"/>
          <w:b/>
          <w:color w:val="000000" w:themeColor="text1"/>
          <w:sz w:val="24"/>
          <w:szCs w:val="24"/>
          <w14:textFill>
            <w14:solidFill>
              <w14:schemeClr w14:val="tx1"/>
            </w14:solidFill>
          </w14:textFill>
        </w:rPr>
      </w:pPr>
    </w:p>
    <w:p>
      <w:pPr>
        <w:pStyle w:val="2"/>
        <w:rPr>
          <w:color w:val="000000" w:themeColor="text1"/>
          <w14:textFill>
            <w14:solidFill>
              <w14:schemeClr w14:val="tx1"/>
            </w14:solidFill>
          </w14:textFill>
        </w:rPr>
      </w:pPr>
      <w:bookmarkStart w:id="57" w:name="_Hlk154753960"/>
      <w:bookmarkStart w:id="58" w:name="_Toc154934719"/>
      <w:bookmarkStart w:id="59" w:name="_Toc154757373"/>
      <w:bookmarkStart w:id="60" w:name="_Toc165274013"/>
      <w:r>
        <w:rPr>
          <w:color w:val="000000" w:themeColor="text1"/>
          <w14:textFill>
            <w14:solidFill>
              <w14:schemeClr w14:val="tx1"/>
            </w14:solidFill>
          </w14:textFill>
        </w:rPr>
        <w:t>4  设备仪器及安装</w:t>
      </w:r>
      <w:bookmarkEnd w:id="57"/>
      <w:bookmarkEnd w:id="58"/>
      <w:bookmarkEnd w:id="59"/>
      <w:bookmarkEnd w:id="60"/>
    </w:p>
    <w:p>
      <w:pPr>
        <w:pStyle w:val="3"/>
        <w:rPr>
          <w:color w:val="000000" w:themeColor="text1"/>
          <w14:textFill>
            <w14:solidFill>
              <w14:schemeClr w14:val="tx1"/>
            </w14:solidFill>
          </w14:textFill>
        </w:rPr>
      </w:pPr>
      <w:bookmarkStart w:id="61" w:name="_Toc154934720"/>
      <w:bookmarkStart w:id="62" w:name="_Toc154757374"/>
      <w:bookmarkStart w:id="63" w:name="_Toc165274014"/>
      <w:r>
        <w:rPr>
          <w:color w:val="000000" w:themeColor="text1"/>
          <w14:textFill>
            <w14:solidFill>
              <w14:schemeClr w14:val="tx1"/>
            </w14:solidFill>
          </w14:textFill>
        </w:rPr>
        <w:t>4.1  设备仪器</w:t>
      </w:r>
      <w:bookmarkEnd w:id="61"/>
      <w:bookmarkEnd w:id="62"/>
      <w:bookmarkEnd w:id="63"/>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4.1.1</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试验加载设备宜采用液压千斤顶。当采用两台或两台以上千斤顶加载时，应并联同步工作，且应符合下列规定：</w:t>
      </w:r>
    </w:p>
    <w:p>
      <w:pPr>
        <w:spacing w:line="360" w:lineRule="auto"/>
        <w:ind w:firstLine="57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1 </w:t>
      </w:r>
      <w:r>
        <w:rPr>
          <w:rFonts w:hint="eastAsia" w:ascii="Times New Roman" w:hAnsi="Times New Roman" w:cs="Times New Roman"/>
          <w:color w:val="000000" w:themeColor="text1"/>
          <w:szCs w:val="21"/>
          <w14:textFill>
            <w14:solidFill>
              <w14:schemeClr w14:val="tx1"/>
            </w14:solidFill>
          </w14:textFill>
        </w:rPr>
        <w:t>采用的千斤顶型号、规格应相同；</w:t>
      </w:r>
    </w:p>
    <w:p>
      <w:pPr>
        <w:spacing w:line="360" w:lineRule="auto"/>
        <w:ind w:firstLine="57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2 </w:t>
      </w:r>
      <w:r>
        <w:rPr>
          <w:rFonts w:hint="eastAsia" w:ascii="Times New Roman" w:hAnsi="Times New Roman" w:cs="Times New Roman"/>
          <w:color w:val="000000" w:themeColor="text1"/>
          <w:szCs w:val="21"/>
          <w14:textFill>
            <w14:solidFill>
              <w14:schemeClr w14:val="tx1"/>
            </w14:solidFill>
          </w14:textFill>
        </w:rPr>
        <w:t>千斤顶的合力中心应与受检桩的横截面形心重合。</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4</w:t>
      </w:r>
      <w:r>
        <w:rPr>
          <w:rFonts w:ascii="Times New Roman" w:hAnsi="Times New Roman" w:cs="Times New Roman"/>
          <w:b/>
          <w:bCs/>
          <w:color w:val="000000" w:themeColor="text1"/>
          <w:szCs w:val="21"/>
          <w14:textFill>
            <w14:solidFill>
              <w14:schemeClr w14:val="tx1"/>
            </w14:solidFill>
          </w14:textFill>
        </w:rPr>
        <w:t>.1.2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荷载测量可用放置在千斤顶上的荷重传感器直接测定。当通过并联于千斤顶油路的压力表或压力传感器测定油压并换算荷载时，应该根据千斤顶率定曲线进行荷载换算。荷重传感器、</w:t>
      </w:r>
      <w:r>
        <w:rPr>
          <w:rFonts w:hint="eastAsia"/>
        </w:rPr>
        <w:t>压力传感器误差不应大于1%，压力表的精度应大于等于0.5级</w:t>
      </w:r>
      <w:r>
        <w:rPr>
          <w:rFonts w:hint="eastAsia" w:ascii="Times New Roman" w:hAnsi="Times New Roman" w:cs="Times New Roman"/>
          <w:color w:val="000000" w:themeColor="text1"/>
          <w:szCs w:val="21"/>
          <w14:textFill>
            <w14:solidFill>
              <w14:schemeClr w14:val="tx1"/>
            </w14:solidFill>
          </w14:textFill>
        </w:rPr>
        <w:t>，压力表、油泵、油管在最大加载时的压力不应超过额定工作压力的80%。</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4.1.3</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沉降测量宜采用大量程的位移传感器或百分表，且应符合下列规定：</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1 </w:t>
      </w:r>
      <w:r>
        <w:rPr>
          <w:rFonts w:hint="eastAsia" w:ascii="Times New Roman" w:hAnsi="Times New Roman" w:cs="Times New Roman"/>
          <w:color w:val="000000" w:themeColor="text1"/>
          <w:szCs w:val="21"/>
          <w14:textFill>
            <w14:solidFill>
              <w14:schemeClr w14:val="tx1"/>
            </w14:solidFill>
          </w14:textFill>
        </w:rPr>
        <w:t>测量误差不得大于0</w:t>
      </w: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%FS</w:t>
      </w:r>
      <w:r>
        <w:rPr>
          <w:rFonts w:ascii="Times New Roman" w:hAnsi="Times New Roman" w:cs="Times New Roman"/>
          <w:color w:val="000000" w:themeColor="text1"/>
          <w:szCs w:val="21"/>
          <w14:textFill>
            <w14:solidFill>
              <w14:schemeClr w14:val="tx1"/>
            </w14:solidFill>
          </w14:textFill>
        </w:rPr>
        <w:t>，分辨率</w:t>
      </w:r>
      <w:r>
        <w:rPr>
          <w:rFonts w:hint="eastAsia" w:ascii="Times New Roman" w:hAnsi="Times New Roman" w:cs="Times New Roman"/>
          <w:color w:val="000000" w:themeColor="text1"/>
          <w:szCs w:val="21"/>
          <w14:textFill>
            <w14:solidFill>
              <w14:schemeClr w14:val="tx1"/>
            </w14:solidFill>
          </w14:textFill>
        </w:rPr>
        <w:t>应</w:t>
      </w:r>
      <w:r>
        <w:rPr>
          <w:rFonts w:ascii="Times New Roman" w:hAnsi="Times New Roman" w:cs="Times New Roman"/>
          <w:color w:val="000000" w:themeColor="text1"/>
          <w:szCs w:val="21"/>
          <w14:textFill>
            <w14:solidFill>
              <w14:schemeClr w14:val="tx1"/>
            </w14:solidFill>
          </w14:textFill>
        </w:rPr>
        <w:t>优于或等于0.01mm</w:t>
      </w:r>
      <w:r>
        <w:rPr>
          <w:rFonts w:hint="eastAsia" w:ascii="Times New Roman" w:hAnsi="Times New Roman" w:cs="Times New Roman"/>
          <w:color w:val="000000" w:themeColor="text1"/>
          <w:szCs w:val="21"/>
          <w14:textFill>
            <w14:solidFill>
              <w14:schemeClr w14:val="tx1"/>
            </w14:solidFill>
          </w14:textFill>
        </w:rPr>
        <w:t>；</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应分别在上段桩桩顶、下反力梁的对称位置各安装2个位移测试仪表；</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 固定和支承位移传感器</w:t>
      </w:r>
      <w:r>
        <w:rPr>
          <w:rFonts w:hint="eastAsia" w:ascii="Times New Roman" w:hAnsi="Times New Roman" w:cs="Times New Roman"/>
          <w:color w:val="000000" w:themeColor="text1"/>
          <w:szCs w:val="21"/>
          <w14:textFill>
            <w14:solidFill>
              <w14:schemeClr w14:val="tx1"/>
            </w14:solidFill>
          </w14:textFill>
        </w:rPr>
        <w:t>（百分表）</w:t>
      </w:r>
      <w:r>
        <w:rPr>
          <w:rFonts w:ascii="Times New Roman" w:hAnsi="Times New Roman" w:cs="Times New Roman"/>
          <w:color w:val="000000" w:themeColor="text1"/>
          <w:szCs w:val="21"/>
          <w14:textFill>
            <w14:solidFill>
              <w14:schemeClr w14:val="tx1"/>
            </w14:solidFill>
          </w14:textFill>
        </w:rPr>
        <w:t>的夹具和基准梁</w:t>
      </w:r>
      <w:r>
        <w:rPr>
          <w:rFonts w:hint="eastAsia" w:ascii="Times New Roman" w:hAnsi="Times New Roman" w:cs="Times New Roman"/>
          <w:color w:val="000000" w:themeColor="text1"/>
          <w:szCs w:val="21"/>
          <w14:textFill>
            <w14:solidFill>
              <w14:schemeClr w14:val="tx1"/>
            </w14:solidFill>
          </w14:textFill>
        </w:rPr>
        <w:t>不得受</w:t>
      </w:r>
      <w:r>
        <w:rPr>
          <w:rFonts w:ascii="Times New Roman" w:hAnsi="Times New Roman" w:cs="Times New Roman"/>
          <w:color w:val="000000" w:themeColor="text1"/>
          <w:szCs w:val="21"/>
          <w14:textFill>
            <w14:solidFill>
              <w14:schemeClr w14:val="tx1"/>
            </w14:solidFill>
          </w14:textFill>
        </w:rPr>
        <w:t>气温、振动及其他外界因素的影响</w:t>
      </w:r>
      <w:r>
        <w:rPr>
          <w:rFonts w:hint="eastAsia" w:ascii="Times New Roman" w:hAnsi="Times New Roman" w:cs="Times New Roman"/>
          <w:color w:val="000000" w:themeColor="text1"/>
          <w:szCs w:val="21"/>
          <w14:textFill>
            <w14:solidFill>
              <w14:schemeClr w14:val="tx1"/>
            </w14:solidFill>
          </w14:textFill>
        </w:rPr>
        <w:t>。</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4当桩的直径大于500mm时，应分别在上段桩桩顶、下反力梁的对称位置各安装4个位移测试仪表。</w:t>
      </w:r>
    </w:p>
    <w:p>
      <w:pPr>
        <w:pStyle w:val="3"/>
        <w:rPr>
          <w:color w:val="000000" w:themeColor="text1"/>
          <w14:textFill>
            <w14:solidFill>
              <w14:schemeClr w14:val="tx1"/>
            </w14:solidFill>
          </w14:textFill>
        </w:rPr>
      </w:pPr>
      <w:bookmarkStart w:id="64" w:name="_Toc154757375"/>
      <w:bookmarkStart w:id="65" w:name="_Toc165274015"/>
      <w:bookmarkStart w:id="66" w:name="_Toc154934721"/>
      <w:bookmarkStart w:id="67" w:name="_Hlk153202430"/>
      <w:r>
        <w:rPr>
          <w:color w:val="000000" w:themeColor="text1"/>
          <w14:textFill>
            <w14:solidFill>
              <w14:schemeClr w14:val="tx1"/>
            </w14:solidFill>
          </w14:textFill>
        </w:rPr>
        <w:t>4.2  设备安装</w:t>
      </w:r>
      <w:bookmarkEnd w:id="64"/>
      <w:bookmarkEnd w:id="65"/>
      <w:bookmarkEnd w:id="66"/>
    </w:p>
    <w:bookmarkEnd w:id="67"/>
    <w:p>
      <w:pPr>
        <w:spacing w:line="360" w:lineRule="auto"/>
        <w:rPr>
          <w:rFonts w:ascii="Times New Roman" w:hAnsi="Times New Roman" w:cs="Times New Roman"/>
          <w:color w:val="000000" w:themeColor="text1"/>
          <w:szCs w:val="21"/>
          <w14:textFill>
            <w14:solidFill>
              <w14:schemeClr w14:val="tx1"/>
            </w14:solidFill>
          </w14:textFill>
        </w:rPr>
      </w:pPr>
      <w:bookmarkStart w:id="68" w:name="_Hlk153202449"/>
      <w:r>
        <w:rPr>
          <w:rFonts w:ascii="Times New Roman" w:hAnsi="Times New Roman" w:cs="Times New Roman"/>
          <w:b/>
          <w:bCs/>
          <w:color w:val="000000" w:themeColor="text1"/>
          <w:szCs w:val="21"/>
          <w14:textFill>
            <w14:solidFill>
              <w14:schemeClr w14:val="tx1"/>
            </w14:solidFill>
          </w14:textFill>
        </w:rPr>
        <w:t>4</w:t>
      </w:r>
      <w:r>
        <w:rPr>
          <w:rFonts w:hint="eastAsia" w:ascii="Times New Roman" w:hAnsi="Times New Roman" w:cs="Times New Roman"/>
          <w:b/>
          <w:bCs/>
          <w:color w:val="000000" w:themeColor="text1"/>
          <w:szCs w:val="21"/>
          <w14:textFill>
            <w14:solidFill>
              <w14:schemeClr w14:val="tx1"/>
            </w14:solidFill>
          </w14:textFill>
        </w:rPr>
        <w:t>.2.1</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传力杆应满足传递荷载的强度和刚度要求，并满足稳定性要求。</w:t>
      </w:r>
    </w:p>
    <w:bookmarkEnd w:id="68"/>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4.2.2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传力杆安装垂直度偏差应不大于</w:t>
      </w:r>
      <w:r>
        <w:rPr>
          <w:rFonts w:ascii="Times New Roman" w:hAnsi="Times New Roman" w:cs="Times New Roman"/>
          <w:color w:val="000000" w:themeColor="text1"/>
          <w:szCs w:val="21"/>
          <w14:textFill>
            <w14:solidFill>
              <w14:schemeClr w14:val="tx1"/>
            </w14:solidFill>
          </w14:textFill>
        </w:rPr>
        <w:t>5</w:t>
      </w:r>
      <w:r>
        <w:rPr>
          <w:rFonts w:ascii="Times New Roman" w:hAnsi="Times New Roman" w:eastAsia="宋体"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4</w:t>
      </w:r>
      <w:r>
        <w:rPr>
          <w:rFonts w:hint="eastAsia" w:ascii="Times New Roman" w:hAnsi="Times New Roman" w:cs="Times New Roman"/>
          <w:b/>
          <w:bCs/>
          <w:color w:val="000000" w:themeColor="text1"/>
          <w:szCs w:val="21"/>
          <w14:textFill>
            <w14:solidFill>
              <w14:schemeClr w14:val="tx1"/>
            </w14:solidFill>
          </w14:textFill>
        </w:rPr>
        <w:t>.2.</w:t>
      </w:r>
      <w:r>
        <w:rPr>
          <w:rFonts w:ascii="Times New Roman" w:hAnsi="Times New Roman" w:cs="Times New Roman"/>
          <w:b/>
          <w:bCs/>
          <w:color w:val="000000" w:themeColor="text1"/>
          <w:szCs w:val="21"/>
          <w14:textFill>
            <w14:solidFill>
              <w14:schemeClr w14:val="tx1"/>
            </w14:solidFill>
          </w14:textFill>
        </w:rPr>
        <w:t>3</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上反力梁刚度应满足加载要求，锚筋宜采用穿孔法穿过上反力梁，并与上反力梁锚固。</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4</w:t>
      </w:r>
      <w:r>
        <w:rPr>
          <w:rFonts w:hint="eastAsia" w:ascii="Times New Roman" w:hAnsi="Times New Roman" w:cs="Times New Roman"/>
          <w:b/>
          <w:bCs/>
          <w:color w:val="000000" w:themeColor="text1"/>
          <w:szCs w:val="21"/>
          <w14:textFill>
            <w14:solidFill>
              <w14:schemeClr w14:val="tx1"/>
            </w14:solidFill>
          </w14:textFill>
        </w:rPr>
        <w:t>.2.</w:t>
      </w:r>
      <w:r>
        <w:rPr>
          <w:rFonts w:ascii="Times New Roman" w:hAnsi="Times New Roman" w:cs="Times New Roman"/>
          <w:b/>
          <w:bCs/>
          <w:color w:val="000000" w:themeColor="text1"/>
          <w:szCs w:val="21"/>
          <w14:textFill>
            <w14:solidFill>
              <w14:schemeClr w14:val="tx1"/>
            </w14:solidFill>
          </w14:textFill>
        </w:rPr>
        <w:t>4</w:t>
      </w:r>
      <w:r>
        <w:rPr>
          <w:rFonts w:hint="eastAsia" w:ascii="Times New Roman" w:hAnsi="Times New Roman" w:cs="Times New Roman"/>
          <w:color w:val="000000" w:themeColor="text1"/>
          <w:szCs w:val="21"/>
          <w14:textFill>
            <w14:solidFill>
              <w14:schemeClr w14:val="tx1"/>
            </w14:solidFill>
          </w14:textFill>
        </w:rPr>
        <w:t xml:space="preserve"> 基准桩与受检桩之间中心距离应不小于3倍受检桩桩径（边宽），且大于2</w:t>
      </w:r>
      <w:r>
        <w:rPr>
          <w:rFonts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14:textFill>
            <w14:solidFill>
              <w14:schemeClr w14:val="tx1"/>
            </w14:solidFill>
          </w14:textFill>
        </w:rPr>
        <w:t>m。基准桩打入地下深度应不小于1m。</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4</w:t>
      </w:r>
      <w:r>
        <w:rPr>
          <w:rFonts w:hint="eastAsia" w:ascii="Times New Roman" w:hAnsi="Times New Roman" w:cs="Times New Roman"/>
          <w:b/>
          <w:bCs/>
          <w:color w:val="000000" w:themeColor="text1"/>
          <w:szCs w:val="21"/>
          <w14:textFill>
            <w14:solidFill>
              <w14:schemeClr w14:val="tx1"/>
            </w14:solidFill>
          </w14:textFill>
        </w:rPr>
        <w:t>.2.</w:t>
      </w:r>
      <w:r>
        <w:rPr>
          <w:rFonts w:ascii="Times New Roman" w:hAnsi="Times New Roman" w:cs="Times New Roman"/>
          <w:b/>
          <w:bCs/>
          <w:color w:val="000000" w:themeColor="text1"/>
          <w:szCs w:val="21"/>
          <w14:textFill>
            <w14:solidFill>
              <w14:schemeClr w14:val="tx1"/>
            </w14:solidFill>
          </w14:textFill>
        </w:rPr>
        <w:t>5</w:t>
      </w:r>
      <w:r>
        <w:rPr>
          <w:rFonts w:hint="eastAsia" w:ascii="Times New Roman" w:hAnsi="Times New Roman" w:cs="Times New Roman"/>
          <w:color w:val="000000" w:themeColor="text1"/>
          <w:szCs w:val="21"/>
          <w14:textFill>
            <w14:solidFill>
              <w14:schemeClr w14:val="tx1"/>
            </w14:solidFill>
          </w14:textFill>
        </w:rPr>
        <w:t xml:space="preserve"> 基准梁应具有足够的刚度，梁的一端应固定在基准桩上，另一端应简支于基准桩上。</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4</w:t>
      </w:r>
      <w:r>
        <w:rPr>
          <w:rFonts w:ascii="Times New Roman" w:hAnsi="Times New Roman" w:cs="Times New Roman"/>
          <w:b/>
          <w:bCs/>
          <w:color w:val="000000" w:themeColor="text1"/>
          <w:szCs w:val="21"/>
          <w14:textFill>
            <w14:solidFill>
              <w14:schemeClr w14:val="tx1"/>
            </w14:solidFill>
          </w14:textFill>
        </w:rPr>
        <w:t>.2.6</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试验设备安装应符合附录B要求。</w:t>
      </w:r>
    </w:p>
    <w:p>
      <w:pPr>
        <w:spacing w:line="360" w:lineRule="auto"/>
        <w:rPr>
          <w:rFonts w:ascii="Times New Roman" w:hAnsi="Times New Roman" w:cs="Times New Roman"/>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bookmarkStart w:id="69" w:name="_Toc165274016"/>
      <w:bookmarkStart w:id="70" w:name="_Toc154934722"/>
      <w:bookmarkStart w:id="71" w:name="_Toc154757376"/>
      <w:bookmarkStart w:id="72" w:name="_Hlk154754044"/>
      <w:r>
        <w:rPr>
          <w:color w:val="000000" w:themeColor="text1"/>
          <w14:textFill>
            <w14:solidFill>
              <w14:schemeClr w14:val="tx1"/>
            </w14:solidFill>
          </w14:textFill>
        </w:rPr>
        <w:t>5  现场检测</w:t>
      </w:r>
      <w:bookmarkEnd w:id="69"/>
      <w:bookmarkEnd w:id="70"/>
      <w:bookmarkEnd w:id="71"/>
    </w:p>
    <w:bookmarkEnd w:id="72"/>
    <w:p>
      <w:pPr>
        <w:pStyle w:val="3"/>
        <w:rPr>
          <w:color w:val="000000" w:themeColor="text1"/>
          <w:szCs w:val="21"/>
          <w14:textFill>
            <w14:solidFill>
              <w14:schemeClr w14:val="tx1"/>
            </w14:solidFill>
          </w14:textFill>
        </w:rPr>
      </w:pPr>
      <w:bookmarkStart w:id="73" w:name="_Toc165274017"/>
      <w:bookmarkStart w:id="74" w:name="_Toc154757377"/>
      <w:bookmarkStart w:id="75" w:name="_Toc154934723"/>
      <w:r>
        <w:rPr>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 xml:space="preserve">1 </w:t>
      </w:r>
      <w:bookmarkStart w:id="76" w:name="_Hlk152860839"/>
      <w:r>
        <w:rPr>
          <w:rFonts w:hint="eastAsia"/>
          <w:color w:val="000000" w:themeColor="text1"/>
          <w14:textFill>
            <w14:solidFill>
              <w14:schemeClr w14:val="tx1"/>
            </w14:solidFill>
          </w14:textFill>
        </w:rPr>
        <w:t>试验</w:t>
      </w:r>
      <w:r>
        <w:rPr>
          <w:color w:val="000000" w:themeColor="text1"/>
          <w14:textFill>
            <w14:solidFill>
              <w14:schemeClr w14:val="tx1"/>
            </w14:solidFill>
          </w14:textFill>
        </w:rPr>
        <w:t>加</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卸载</w:t>
      </w:r>
      <w:r>
        <w:rPr>
          <w:rFonts w:hint="eastAsia"/>
          <w:color w:val="000000" w:themeColor="text1"/>
          <w14:textFill>
            <w14:solidFill>
              <w14:schemeClr w14:val="tx1"/>
            </w14:solidFill>
          </w14:textFill>
        </w:rPr>
        <w:t>方式</w:t>
      </w:r>
      <w:bookmarkEnd w:id="73"/>
      <w:bookmarkEnd w:id="74"/>
      <w:bookmarkEnd w:id="75"/>
    </w:p>
    <w:bookmarkEnd w:id="76"/>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5.1.1</w:t>
      </w:r>
      <w:r>
        <w:rPr>
          <w:rFonts w:ascii="Times New Roman" w:hAnsi="Times New Roman" w:cs="Times New Roman"/>
          <w:color w:val="000000" w:themeColor="text1"/>
          <w:szCs w:val="21"/>
          <w14:textFill>
            <w14:solidFill>
              <w14:schemeClr w14:val="tx1"/>
            </w14:solidFill>
          </w14:textFill>
        </w:rPr>
        <w:t xml:space="preserve"> 加载应分级进行，</w:t>
      </w:r>
      <w:r>
        <w:rPr>
          <w:rFonts w:hint="eastAsia" w:ascii="Times New Roman" w:hAnsi="Times New Roman" w:cs="Times New Roman"/>
          <w:color w:val="000000" w:themeColor="text1"/>
          <w:szCs w:val="21"/>
          <w14:textFill>
            <w14:solidFill>
              <w14:schemeClr w14:val="tx1"/>
            </w14:solidFill>
          </w14:textFill>
        </w:rPr>
        <w:t>宜</w:t>
      </w:r>
      <w:r>
        <w:rPr>
          <w:rFonts w:ascii="Times New Roman" w:hAnsi="Times New Roman" w:cs="Times New Roman"/>
          <w:color w:val="000000" w:themeColor="text1"/>
          <w:szCs w:val="21"/>
          <w14:textFill>
            <w14:solidFill>
              <w14:schemeClr w14:val="tx1"/>
            </w14:solidFill>
          </w14:textFill>
        </w:rPr>
        <w:t>采用逐级等量加载方式，每级加载量</w:t>
      </w:r>
      <w:r>
        <w:rPr>
          <w:rFonts w:hint="eastAsia" w:ascii="Times New Roman" w:hAnsi="Times New Roman" w:cs="Times New Roman"/>
          <w:color w:val="000000" w:themeColor="text1"/>
          <w:szCs w:val="21"/>
          <w14:textFill>
            <w14:solidFill>
              <w14:schemeClr w14:val="tx1"/>
            </w14:solidFill>
          </w14:textFill>
        </w:rPr>
        <w:t>宜</w:t>
      </w:r>
      <w:r>
        <w:rPr>
          <w:rFonts w:ascii="Times New Roman" w:hAnsi="Times New Roman" w:cs="Times New Roman"/>
          <w:color w:val="000000" w:themeColor="text1"/>
          <w:szCs w:val="21"/>
          <w14:textFill>
            <w14:solidFill>
              <w14:schemeClr w14:val="tx1"/>
            </w14:solidFill>
          </w14:textFill>
        </w:rPr>
        <w:t>为预估最大加载</w:t>
      </w:r>
      <w:r>
        <w:rPr>
          <w:rFonts w:hint="eastAsia" w:ascii="Times New Roman" w:hAnsi="Times New Roman" w:cs="Times New Roman"/>
          <w:color w:val="000000" w:themeColor="text1"/>
          <w:szCs w:val="21"/>
          <w14:textFill>
            <w14:solidFill>
              <w14:schemeClr w14:val="tx1"/>
            </w14:solidFill>
          </w14:textFill>
        </w:rPr>
        <w:t>值</w:t>
      </w:r>
      <w:r>
        <w:rPr>
          <w:rFonts w:ascii="Times New Roman" w:hAnsi="Times New Roman" w:cs="Times New Roman"/>
          <w:color w:val="000000" w:themeColor="text1"/>
          <w:szCs w:val="21"/>
          <w14:textFill>
            <w14:solidFill>
              <w14:schemeClr w14:val="tx1"/>
            </w14:solidFill>
          </w14:textFill>
        </w:rPr>
        <w:t>的1/10-1/12，第一级</w:t>
      </w:r>
      <w:r>
        <w:rPr>
          <w:rFonts w:hint="eastAsia" w:ascii="Times New Roman" w:hAnsi="Times New Roman" w:cs="Times New Roman"/>
          <w:color w:val="000000" w:themeColor="text1"/>
          <w:szCs w:val="21"/>
          <w14:textFill>
            <w14:solidFill>
              <w14:schemeClr w14:val="tx1"/>
            </w14:solidFill>
          </w14:textFill>
        </w:rPr>
        <w:t>加载量</w:t>
      </w:r>
      <w:r>
        <w:rPr>
          <w:rFonts w:ascii="Times New Roman" w:hAnsi="Times New Roman" w:cs="Times New Roman"/>
          <w:color w:val="000000" w:themeColor="text1"/>
          <w:szCs w:val="21"/>
          <w14:textFill>
            <w14:solidFill>
              <w14:schemeClr w14:val="tx1"/>
            </w14:solidFill>
          </w14:textFill>
        </w:rPr>
        <w:t>可</w:t>
      </w:r>
      <w:r>
        <w:rPr>
          <w:rFonts w:hint="eastAsia" w:ascii="Times New Roman" w:hAnsi="Times New Roman" w:cs="Times New Roman"/>
          <w:color w:val="000000" w:themeColor="text1"/>
          <w:szCs w:val="21"/>
          <w14:textFill>
            <w14:solidFill>
              <w14:schemeClr w14:val="tx1"/>
            </w14:solidFill>
          </w14:textFill>
        </w:rPr>
        <w:t>取分级荷载的2倍；</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5.1.2</w:t>
      </w:r>
      <w:r>
        <w:rPr>
          <w:rFonts w:ascii="Times New Roman" w:hAnsi="Times New Roman" w:cs="Times New Roman"/>
          <w:color w:val="000000" w:themeColor="text1"/>
          <w:szCs w:val="21"/>
          <w14:textFill>
            <w14:solidFill>
              <w14:schemeClr w14:val="tx1"/>
            </w14:solidFill>
          </w14:textFill>
        </w:rPr>
        <w:t xml:space="preserve"> 卸载也应分级进行</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每级卸载量</w:t>
      </w:r>
      <w:r>
        <w:rPr>
          <w:rFonts w:hint="eastAsia" w:ascii="Times New Roman" w:hAnsi="Times New Roman" w:cs="Times New Roman"/>
          <w:color w:val="000000" w:themeColor="text1"/>
          <w:szCs w:val="21"/>
          <w14:textFill>
            <w14:solidFill>
              <w14:schemeClr w14:val="tx1"/>
            </w14:solidFill>
          </w14:textFill>
        </w:rPr>
        <w:t>宜取</w:t>
      </w:r>
      <w:r>
        <w:rPr>
          <w:rFonts w:ascii="Times New Roman" w:hAnsi="Times New Roman" w:cs="Times New Roman"/>
          <w:color w:val="000000" w:themeColor="text1"/>
          <w:szCs w:val="21"/>
          <w14:textFill>
            <w14:solidFill>
              <w14:schemeClr w14:val="tx1"/>
            </w14:solidFill>
          </w14:textFill>
        </w:rPr>
        <w:t>加</w:t>
      </w:r>
      <w:r>
        <w:rPr>
          <w:rFonts w:hint="eastAsia" w:ascii="Times New Roman" w:hAnsi="Times New Roman" w:cs="Times New Roman"/>
          <w:color w:val="000000" w:themeColor="text1"/>
          <w:szCs w:val="21"/>
          <w14:textFill>
            <w14:solidFill>
              <w14:schemeClr w14:val="tx1"/>
            </w14:solidFill>
          </w14:textFill>
        </w:rPr>
        <w:t>载时分</w:t>
      </w:r>
      <w:r>
        <w:rPr>
          <w:rFonts w:ascii="Times New Roman" w:hAnsi="Times New Roman" w:cs="Times New Roman"/>
          <w:color w:val="000000" w:themeColor="text1"/>
          <w:szCs w:val="21"/>
          <w14:textFill>
            <w14:solidFill>
              <w14:schemeClr w14:val="tx1"/>
            </w14:solidFill>
          </w14:textFill>
        </w:rPr>
        <w:t>级荷载值2倍</w:t>
      </w:r>
      <w:r>
        <w:rPr>
          <w:rFonts w:hint="eastAsia" w:ascii="Times New Roman" w:hAnsi="Times New Roman" w:cs="Times New Roman"/>
          <w:color w:val="000000" w:themeColor="text1"/>
          <w:szCs w:val="21"/>
          <w14:textFill>
            <w14:solidFill>
              <w14:schemeClr w14:val="tx1"/>
            </w14:solidFill>
          </w14:textFill>
        </w:rPr>
        <w:t>，且应逐级等量卸载；</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5.1.3</w:t>
      </w:r>
      <w:r>
        <w:rPr>
          <w:rFonts w:ascii="Times New Roman" w:hAnsi="Times New Roman" w:cs="Times New Roman"/>
          <w:color w:val="000000" w:themeColor="text1"/>
          <w:szCs w:val="21"/>
          <w14:textFill>
            <w14:solidFill>
              <w14:schemeClr w14:val="tx1"/>
            </w14:solidFill>
          </w14:textFill>
        </w:rPr>
        <w:t xml:space="preserve"> 加</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卸载</w:t>
      </w:r>
      <w:r>
        <w:rPr>
          <w:rFonts w:hint="eastAsia" w:ascii="Times New Roman" w:hAnsi="Times New Roman" w:cs="Times New Roman"/>
          <w:color w:val="000000" w:themeColor="text1"/>
          <w:szCs w:val="21"/>
          <w14:textFill>
            <w14:solidFill>
              <w14:schemeClr w14:val="tx1"/>
            </w14:solidFill>
          </w14:textFill>
        </w:rPr>
        <w:t>时，</w:t>
      </w:r>
      <w:r>
        <w:rPr>
          <w:rFonts w:ascii="Times New Roman" w:hAnsi="Times New Roman" w:cs="Times New Roman"/>
          <w:color w:val="000000" w:themeColor="text1"/>
          <w:szCs w:val="21"/>
          <w14:textFill>
            <w14:solidFill>
              <w14:schemeClr w14:val="tx1"/>
            </w14:solidFill>
          </w14:textFill>
        </w:rPr>
        <w:t>应</w:t>
      </w:r>
      <w:r>
        <w:rPr>
          <w:rFonts w:hint="eastAsia" w:ascii="Times New Roman" w:hAnsi="Times New Roman" w:cs="Times New Roman"/>
          <w:color w:val="000000" w:themeColor="text1"/>
          <w:szCs w:val="21"/>
          <w14:textFill>
            <w14:solidFill>
              <w14:schemeClr w14:val="tx1"/>
            </w14:solidFill>
          </w14:textFill>
        </w:rPr>
        <w:t>使荷载传递均匀、连续、无冲击，</w:t>
      </w:r>
      <w:r>
        <w:rPr>
          <w:rFonts w:ascii="Times New Roman" w:hAnsi="Times New Roman" w:cs="Times New Roman"/>
          <w:color w:val="000000" w:themeColor="text1"/>
          <w:szCs w:val="21"/>
          <w14:textFill>
            <w14:solidFill>
              <w14:schemeClr w14:val="tx1"/>
            </w14:solidFill>
          </w14:textFill>
        </w:rPr>
        <w:t>每级荷载在维持过程中的变化幅度不得超过</w:t>
      </w:r>
      <w:r>
        <w:rPr>
          <w:rFonts w:hint="eastAsia" w:ascii="Times New Roman" w:hAnsi="Times New Roman" w:cs="Times New Roman"/>
          <w:color w:val="000000" w:themeColor="text1"/>
          <w:szCs w:val="21"/>
          <w14:textFill>
            <w14:solidFill>
              <w14:schemeClr w14:val="tx1"/>
            </w14:solidFill>
          </w14:textFill>
        </w:rPr>
        <w:t>该级加卸载量</w:t>
      </w:r>
      <w:r>
        <w:rPr>
          <w:rFonts w:ascii="Times New Roman" w:hAnsi="Times New Roman" w:cs="Times New Roman"/>
          <w:color w:val="000000" w:themeColor="text1"/>
          <w:szCs w:val="21"/>
          <w14:textFill>
            <w14:solidFill>
              <w14:schemeClr w14:val="tx1"/>
            </w14:solidFill>
          </w14:textFill>
        </w:rPr>
        <w:t>的</w:t>
      </w:r>
      <w:r>
        <w:rPr>
          <w:rFonts w:hint="eastAsia" w:cs="Times New Roman" w:asciiTheme="minorEastAsia" w:hAnsiTheme="minorEastAsia"/>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10%。</w:t>
      </w:r>
    </w:p>
    <w:p>
      <w:pPr>
        <w:pStyle w:val="3"/>
        <w:rPr>
          <w:color w:val="000000" w:themeColor="text1"/>
          <w14:textFill>
            <w14:solidFill>
              <w14:schemeClr w14:val="tx1"/>
            </w14:solidFill>
          </w14:textFill>
        </w:rPr>
      </w:pPr>
      <w:bookmarkStart w:id="77" w:name="_Toc154757378"/>
      <w:bookmarkStart w:id="78" w:name="_Toc154934724"/>
      <w:bookmarkStart w:id="79" w:name="_Toc165274018"/>
      <w:r>
        <w:rPr>
          <w:color w:val="000000" w:themeColor="text1"/>
          <w14:textFill>
            <w14:solidFill>
              <w14:schemeClr w14:val="tx1"/>
            </w14:solidFill>
          </w14:textFill>
        </w:rPr>
        <w:t xml:space="preserve">5.2 </w:t>
      </w:r>
      <w:bookmarkStart w:id="80" w:name="_Hlk152860911"/>
      <w:r>
        <w:rPr>
          <w:color w:val="000000" w:themeColor="text1"/>
          <w14:textFill>
            <w14:solidFill>
              <w14:schemeClr w14:val="tx1"/>
            </w14:solidFill>
          </w14:textFill>
        </w:rPr>
        <w:t>慢速维持荷载法</w:t>
      </w:r>
      <w:r>
        <w:rPr>
          <w:rFonts w:hint="eastAsia"/>
          <w:color w:val="000000" w:themeColor="text1"/>
          <w14:textFill>
            <w14:solidFill>
              <w14:schemeClr w14:val="tx1"/>
            </w14:solidFill>
          </w14:textFill>
        </w:rPr>
        <w:t>试验</w:t>
      </w:r>
      <w:bookmarkEnd w:id="77"/>
      <w:bookmarkEnd w:id="78"/>
      <w:bookmarkEnd w:id="79"/>
      <w:bookmarkEnd w:id="80"/>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5</w:t>
      </w:r>
      <w:r>
        <w:rPr>
          <w:rFonts w:hint="eastAsia" w:ascii="Times New Roman" w:hAnsi="Times New Roman" w:cs="Times New Roman"/>
          <w:b/>
          <w:bCs/>
          <w:color w:val="000000" w:themeColor="text1"/>
          <w:szCs w:val="21"/>
          <w14:textFill>
            <w14:solidFill>
              <w14:schemeClr w14:val="tx1"/>
            </w14:solidFill>
          </w14:textFill>
        </w:rPr>
        <w:t>.</w:t>
      </w:r>
      <w:r>
        <w:rPr>
          <w:rFonts w:ascii="Times New Roman" w:hAnsi="Times New Roman" w:cs="Times New Roman"/>
          <w:b/>
          <w:bCs/>
          <w:color w:val="000000" w:themeColor="text1"/>
          <w:szCs w:val="21"/>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每级荷载施加后，应分别</w:t>
      </w:r>
      <w:r>
        <w:rPr>
          <w:rFonts w:ascii="Times New Roman" w:hAnsi="Times New Roman" w:cs="Times New Roman"/>
          <w:color w:val="000000" w:themeColor="text1"/>
          <w:szCs w:val="21"/>
          <w14:textFill>
            <w14:solidFill>
              <w14:schemeClr w14:val="tx1"/>
            </w14:solidFill>
          </w14:textFill>
        </w:rPr>
        <w:t>按</w:t>
      </w:r>
      <w:r>
        <w:rPr>
          <w:rFonts w:hint="eastAsia" w:ascii="Times New Roman" w:hAnsi="Times New Roman" w:cs="Times New Roman"/>
          <w:color w:val="000000" w:themeColor="text1"/>
          <w:szCs w:val="21"/>
          <w14:textFill>
            <w14:solidFill>
              <w14:schemeClr w14:val="tx1"/>
            </w14:solidFill>
          </w14:textFill>
        </w:rPr>
        <w:t>第</w:t>
      </w:r>
      <w:r>
        <w:rPr>
          <w:rFonts w:ascii="Times New Roman" w:hAnsi="Times New Roman" w:cs="Times New Roman"/>
          <w:color w:val="000000" w:themeColor="text1"/>
          <w:szCs w:val="21"/>
          <w14:textFill>
            <w14:solidFill>
              <w14:schemeClr w14:val="tx1"/>
            </w14:solidFill>
          </w14:textFill>
        </w:rPr>
        <w:t>5min、15min、30min、45min、60min测读</w:t>
      </w:r>
      <w:r>
        <w:rPr>
          <w:rFonts w:hint="eastAsia" w:ascii="Times New Roman" w:hAnsi="Times New Roman" w:cs="Times New Roman"/>
          <w:color w:val="000000" w:themeColor="text1"/>
          <w:szCs w:val="21"/>
          <w14:textFill>
            <w14:solidFill>
              <w14:schemeClr w14:val="tx1"/>
            </w14:solidFill>
          </w14:textFill>
        </w:rPr>
        <w:t>上段桩、下段桩</w:t>
      </w:r>
      <w:r>
        <w:rPr>
          <w:rFonts w:ascii="Times New Roman" w:hAnsi="Times New Roman" w:cs="Times New Roman"/>
          <w:color w:val="000000" w:themeColor="text1"/>
          <w:szCs w:val="21"/>
          <w14:textFill>
            <w14:solidFill>
              <w14:schemeClr w14:val="tx1"/>
            </w14:solidFill>
          </w14:textFill>
        </w:rPr>
        <w:t>位移，以后每隔30min测读一次</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5</w:t>
      </w:r>
      <w:r>
        <w:rPr>
          <w:rFonts w:hint="eastAsia" w:ascii="Times New Roman" w:hAnsi="Times New Roman" w:cs="Times New Roman"/>
          <w:b/>
          <w:bCs/>
          <w:color w:val="000000" w:themeColor="text1"/>
          <w:szCs w:val="21"/>
          <w14:textFill>
            <w14:solidFill>
              <w14:schemeClr w14:val="tx1"/>
            </w14:solidFill>
          </w14:textFill>
        </w:rPr>
        <w:t>.</w:t>
      </w:r>
      <w:r>
        <w:rPr>
          <w:rFonts w:ascii="Times New Roman" w:hAnsi="Times New Roman" w:cs="Times New Roman"/>
          <w:b/>
          <w:bCs/>
          <w:color w:val="000000" w:themeColor="text1"/>
          <w:szCs w:val="21"/>
          <w14:textFill>
            <w14:solidFill>
              <w14:schemeClr w14:val="tx1"/>
            </w14:solidFill>
          </w14:textFill>
        </w:rPr>
        <w:t>2.2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试桩沉降相对稳定标准：每一小时内的桩顶位移量不得超过0</w:t>
      </w: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mm，并连续出现两次（从分级荷载施加后的第3</w:t>
      </w:r>
      <w:r>
        <w:rPr>
          <w:rFonts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14:textFill>
            <w14:solidFill>
              <w14:schemeClr w14:val="tx1"/>
            </w14:solidFill>
          </w14:textFill>
        </w:rPr>
        <w:t>min开始，按1</w:t>
      </w:r>
      <w:r>
        <w:rPr>
          <w:rFonts w:ascii="Times New Roman" w:hAnsi="Times New Roman" w:cs="Times New Roman"/>
          <w:color w:val="000000" w:themeColor="text1"/>
          <w:szCs w:val="21"/>
          <w14:textFill>
            <w14:solidFill>
              <w14:schemeClr w14:val="tx1"/>
            </w14:solidFill>
          </w14:textFill>
        </w:rPr>
        <w:t>.5</w:t>
      </w:r>
      <w:r>
        <w:rPr>
          <w:rFonts w:hint="eastAsia" w:ascii="Times New Roman" w:hAnsi="Times New Roman" w:cs="Times New Roman"/>
          <w:color w:val="000000" w:themeColor="text1"/>
          <w:szCs w:val="21"/>
          <w14:textFill>
            <w14:solidFill>
              <w14:schemeClr w14:val="tx1"/>
            </w14:solidFill>
          </w14:textFill>
        </w:rPr>
        <w:t>h连续三次每3</w:t>
      </w:r>
      <w:r>
        <w:rPr>
          <w:rFonts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14:textFill>
            <w14:solidFill>
              <w14:schemeClr w14:val="tx1"/>
            </w14:solidFill>
          </w14:textFill>
        </w:rPr>
        <w:t>min的位移观测值计算）；</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5</w:t>
      </w:r>
      <w:r>
        <w:rPr>
          <w:rFonts w:ascii="Times New Roman" w:hAnsi="Times New Roman" w:cs="Times New Roman"/>
          <w:b/>
          <w:bCs/>
          <w:color w:val="000000" w:themeColor="text1"/>
          <w:szCs w:val="21"/>
          <w14:textFill>
            <w14:solidFill>
              <w14:schemeClr w14:val="tx1"/>
            </w14:solidFill>
          </w14:textFill>
        </w:rPr>
        <w:t>.2.3</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当桩顶位移速率达到相对稳定标准时，可施加下一级荷载；</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5</w:t>
      </w:r>
      <w:r>
        <w:rPr>
          <w:rFonts w:ascii="Times New Roman" w:hAnsi="Times New Roman" w:cs="Times New Roman"/>
          <w:b/>
          <w:bCs/>
          <w:color w:val="000000" w:themeColor="text1"/>
          <w:szCs w:val="21"/>
          <w14:textFill>
            <w14:solidFill>
              <w14:schemeClr w14:val="tx1"/>
            </w14:solidFill>
          </w14:textFill>
        </w:rPr>
        <w:t>.2.4</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卸载时，每级荷载应维持1h，应分别</w:t>
      </w:r>
      <w:r>
        <w:rPr>
          <w:rFonts w:ascii="Times New Roman" w:hAnsi="Times New Roman" w:cs="Times New Roman"/>
          <w:color w:val="000000" w:themeColor="text1"/>
          <w:szCs w:val="21"/>
          <w14:textFill>
            <w14:solidFill>
              <w14:schemeClr w14:val="tx1"/>
            </w14:solidFill>
          </w14:textFill>
        </w:rPr>
        <w:t>按</w:t>
      </w:r>
      <w:r>
        <w:rPr>
          <w:rFonts w:hint="eastAsia" w:ascii="Times New Roman" w:hAnsi="Times New Roman" w:cs="Times New Roman"/>
          <w:color w:val="000000" w:themeColor="text1"/>
          <w:szCs w:val="21"/>
          <w14:textFill>
            <w14:solidFill>
              <w14:schemeClr w14:val="tx1"/>
            </w14:solidFill>
          </w14:textFill>
        </w:rPr>
        <w:t>第</w:t>
      </w:r>
      <w:r>
        <w:rPr>
          <w:rFonts w:ascii="Times New Roman" w:hAnsi="Times New Roman" w:cs="Times New Roman"/>
          <w:color w:val="000000" w:themeColor="text1"/>
          <w:szCs w:val="21"/>
          <w14:textFill>
            <w14:solidFill>
              <w14:schemeClr w14:val="tx1"/>
            </w14:solidFill>
          </w14:textFill>
        </w:rPr>
        <w:t>15min、30min、60min测读</w:t>
      </w:r>
      <w:r>
        <w:rPr>
          <w:rFonts w:hint="eastAsia" w:ascii="Times New Roman" w:hAnsi="Times New Roman" w:cs="Times New Roman"/>
          <w:color w:val="000000" w:themeColor="text1"/>
          <w:szCs w:val="21"/>
          <w14:textFill>
            <w14:solidFill>
              <w14:schemeClr w14:val="tx1"/>
            </w14:solidFill>
          </w14:textFill>
        </w:rPr>
        <w:t>上段桩、下段桩</w:t>
      </w:r>
      <w:r>
        <w:rPr>
          <w:rFonts w:ascii="Times New Roman" w:hAnsi="Times New Roman" w:cs="Times New Roman"/>
          <w:color w:val="000000" w:themeColor="text1"/>
          <w:szCs w:val="21"/>
          <w14:textFill>
            <w14:solidFill>
              <w14:schemeClr w14:val="tx1"/>
            </w14:solidFill>
          </w14:textFill>
        </w:rPr>
        <w:t>位移</w:t>
      </w:r>
      <w:r>
        <w:rPr>
          <w:rFonts w:hint="eastAsia" w:ascii="Times New Roman" w:hAnsi="Times New Roman" w:cs="Times New Roman"/>
          <w:color w:val="000000" w:themeColor="text1"/>
          <w:szCs w:val="21"/>
          <w14:textFill>
            <w14:solidFill>
              <w14:schemeClr w14:val="tx1"/>
            </w14:solidFill>
          </w14:textFill>
        </w:rPr>
        <w:t>后，即可卸下一级荷载。卸载至零后，应测读桩顶残余变形量，维持时间不得少于3h，测读时间分别为第1</w:t>
      </w:r>
      <w:r>
        <w:rPr>
          <w:rFonts w:ascii="Times New Roman" w:hAnsi="Times New Roman" w:cs="Times New Roman"/>
          <w:color w:val="000000" w:themeColor="text1"/>
          <w:szCs w:val="21"/>
          <w14:textFill>
            <w14:solidFill>
              <w14:schemeClr w14:val="tx1"/>
            </w14:solidFill>
          </w14:textFill>
        </w:rPr>
        <w:t>5</w:t>
      </w:r>
      <w:r>
        <w:rPr>
          <w:rFonts w:hint="eastAsia" w:ascii="Times New Roman" w:hAnsi="Times New Roman" w:cs="Times New Roman"/>
          <w:color w:val="000000" w:themeColor="text1"/>
          <w:szCs w:val="21"/>
          <w14:textFill>
            <w14:solidFill>
              <w14:schemeClr w14:val="tx1"/>
            </w14:solidFill>
          </w14:textFill>
        </w:rPr>
        <w:t>min、3</w:t>
      </w:r>
      <w:r>
        <w:rPr>
          <w:rFonts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14:textFill>
            <w14:solidFill>
              <w14:schemeClr w14:val="tx1"/>
            </w14:solidFill>
          </w14:textFill>
        </w:rPr>
        <w:t>min，以后每隔3</w:t>
      </w:r>
      <w:r>
        <w:rPr>
          <w:rFonts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14:textFill>
            <w14:solidFill>
              <w14:schemeClr w14:val="tx1"/>
            </w14:solidFill>
          </w14:textFill>
        </w:rPr>
        <w:t>min测读一次。</w:t>
      </w:r>
    </w:p>
    <w:p>
      <w:pPr>
        <w:pStyle w:val="3"/>
        <w:rPr>
          <w:color w:val="000000" w:themeColor="text1"/>
          <w:szCs w:val="21"/>
          <w14:textFill>
            <w14:solidFill>
              <w14:schemeClr w14:val="tx1"/>
            </w14:solidFill>
          </w14:textFill>
        </w:rPr>
      </w:pPr>
      <w:bookmarkStart w:id="81" w:name="_Toc165274019"/>
      <w:bookmarkStart w:id="82" w:name="_Toc154757379"/>
      <w:bookmarkStart w:id="83" w:name="_Toc154934725"/>
      <w:bookmarkStart w:id="84" w:name="_Hlk153204695"/>
      <w:r>
        <w:rPr>
          <w:color w:val="000000" w:themeColor="text1"/>
          <w14:textFill>
            <w14:solidFill>
              <w14:schemeClr w14:val="tx1"/>
            </w14:solidFill>
          </w14:textFill>
        </w:rPr>
        <w:t>5.3</w:t>
      </w:r>
      <w:bookmarkStart w:id="85" w:name="_Hlk152860954"/>
      <w:r>
        <w:rPr>
          <w:rFonts w:hint="eastAsia"/>
          <w:color w:val="000000" w:themeColor="text1"/>
          <w14:textFill>
            <w14:solidFill>
              <w14:schemeClr w14:val="tx1"/>
            </w14:solidFill>
          </w14:textFill>
        </w:rPr>
        <w:t>终止加载条件</w:t>
      </w:r>
      <w:bookmarkEnd w:id="81"/>
      <w:bookmarkEnd w:id="82"/>
      <w:bookmarkEnd w:id="83"/>
      <w:bookmarkEnd w:id="85"/>
    </w:p>
    <w:bookmarkEnd w:id="84"/>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5.3.1</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已达到设计要求的最大加载值，且桩顶位移达到相对稳定标准。</w:t>
      </w:r>
    </w:p>
    <w:p>
      <w:pPr>
        <w:spacing w:line="360" w:lineRule="auto"/>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 xml:space="preserve">5.3.2 </w:t>
      </w:r>
      <w:r>
        <w:rPr>
          <w:rFonts w:hint="eastAsia" w:ascii="Times New Roman" w:hAnsi="Times New Roman" w:cs="Times New Roman"/>
          <w:color w:val="000000" w:themeColor="text1"/>
          <w:szCs w:val="21"/>
          <w14:textFill>
            <w14:solidFill>
              <w14:schemeClr w14:val="tx1"/>
            </w14:solidFill>
          </w14:textFill>
        </w:rPr>
        <w:t>或满足下列条件：</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 xml:space="preserve">   1</w:t>
      </w:r>
      <w:r>
        <w:rPr>
          <w:rFonts w:hint="eastAsia" w:ascii="Times New Roman" w:hAnsi="Times New Roman" w:cs="Times New Roman"/>
          <w:color w:val="000000" w:themeColor="text1"/>
          <w:szCs w:val="21"/>
          <w14:textFill>
            <w14:solidFill>
              <w14:schemeClr w14:val="tx1"/>
            </w14:solidFill>
          </w14:textFill>
        </w:rPr>
        <w:t>对于下段桩：</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本级荷载的位移量大于或等于前一级荷载位移量的5倍，</w:t>
      </w:r>
      <w:r>
        <w:rPr>
          <w:rFonts w:hint="eastAsia" w:ascii="Times New Roman" w:hAnsi="Times New Roman" w:cs="Times New Roman"/>
          <w:color w:val="000000" w:themeColor="text1"/>
          <w:szCs w:val="21"/>
          <w14:textFill>
            <w14:solidFill>
              <w14:schemeClr w14:val="tx1"/>
            </w14:solidFill>
          </w14:textFill>
        </w:rPr>
        <w:t>且下段桩的桩顶总位移量超过4</w:t>
      </w:r>
      <w:r>
        <w:rPr>
          <w:rFonts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14:textFill>
            <w14:solidFill>
              <w14:schemeClr w14:val="tx1"/>
            </w14:solidFill>
          </w14:textFill>
        </w:rPr>
        <w:t>mm；</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本级荷载的桩顶位移量大于前一级荷载作用下的位移量的2倍</w:t>
      </w:r>
      <w:r>
        <w:rPr>
          <w:rFonts w:ascii="Times New Roman" w:hAnsi="Times New Roman" w:cs="Times New Roman"/>
          <w:color w:val="000000" w:themeColor="text1"/>
          <w:szCs w:val="21"/>
          <w14:textFill>
            <w14:solidFill>
              <w14:schemeClr w14:val="tx1"/>
            </w14:solidFill>
          </w14:textFill>
        </w:rPr>
        <w:t>，且</w:t>
      </w:r>
      <w:r>
        <w:rPr>
          <w:rFonts w:hint="eastAsia" w:ascii="Times New Roman" w:hAnsi="Times New Roman" w:cs="Times New Roman"/>
          <w:color w:val="000000" w:themeColor="text1"/>
          <w:szCs w:val="21"/>
          <w14:textFill>
            <w14:solidFill>
              <w14:schemeClr w14:val="tx1"/>
            </w14:solidFill>
          </w14:textFill>
        </w:rPr>
        <w:t>经</w:t>
      </w:r>
      <w:r>
        <w:rPr>
          <w:rFonts w:ascii="Times New Roman" w:hAnsi="Times New Roman" w:cs="Times New Roman"/>
          <w:color w:val="000000" w:themeColor="text1"/>
          <w:szCs w:val="21"/>
          <w14:textFill>
            <w14:solidFill>
              <w14:schemeClr w14:val="tx1"/>
            </w14:solidFill>
          </w14:textFill>
        </w:rPr>
        <w:t>24h</w:t>
      </w:r>
      <w:r>
        <w:rPr>
          <w:rFonts w:hint="eastAsia" w:ascii="Times New Roman" w:hAnsi="Times New Roman" w:cs="Times New Roman"/>
          <w:color w:val="000000" w:themeColor="text1"/>
          <w:szCs w:val="21"/>
          <w14:textFill>
            <w14:solidFill>
              <w14:schemeClr w14:val="tx1"/>
            </w14:solidFill>
          </w14:textFill>
        </w:rPr>
        <w:t>尚未达到本规范第5</w:t>
      </w:r>
      <w:r>
        <w:rPr>
          <w:rFonts w:ascii="Times New Roman" w:hAnsi="Times New Roman" w:cs="Times New Roman"/>
          <w:color w:val="000000" w:themeColor="text1"/>
          <w:szCs w:val="21"/>
          <w14:textFill>
            <w14:solidFill>
              <w14:schemeClr w14:val="tx1"/>
            </w14:solidFill>
          </w14:textFill>
        </w:rPr>
        <w:t>.2.2</w:t>
      </w:r>
      <w:r>
        <w:rPr>
          <w:rFonts w:hint="eastAsia" w:ascii="Times New Roman" w:hAnsi="Times New Roman" w:cs="Times New Roman"/>
          <w:color w:val="000000" w:themeColor="text1"/>
          <w:szCs w:val="21"/>
          <w14:textFill>
            <w14:solidFill>
              <w14:schemeClr w14:val="tx1"/>
            </w14:solidFill>
          </w14:textFill>
        </w:rPr>
        <w:t>条相对稳定标准。</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 xml:space="preserve">   2</w:t>
      </w:r>
      <w:r>
        <w:rPr>
          <w:rFonts w:hint="eastAsia" w:ascii="Times New Roman" w:hAnsi="Times New Roman" w:cs="Times New Roman"/>
          <w:color w:val="000000" w:themeColor="text1"/>
          <w:szCs w:val="21"/>
          <w14:textFill>
            <w14:solidFill>
              <w14:schemeClr w14:val="tx1"/>
            </w14:solidFill>
          </w14:textFill>
        </w:rPr>
        <w:t>对于上段桩：</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 xml:space="preserve"> 本级荷载的位移量大于或等于前一级荷载的位移量的5倍</w:t>
      </w:r>
      <w:r>
        <w:rPr>
          <w:rFonts w:hint="eastAsia" w:ascii="Times New Roman" w:hAnsi="Times New Roman" w:cs="Times New Roman"/>
          <w:color w:val="000000" w:themeColor="text1"/>
          <w:szCs w:val="21"/>
          <w14:textFill>
            <w14:solidFill>
              <w14:schemeClr w14:val="tx1"/>
            </w14:solidFill>
          </w14:textFill>
        </w:rPr>
        <w:t>；</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按桩顶上拔量控制，累计桩顶上拔量超过1</w:t>
      </w:r>
      <w:r>
        <w:rPr>
          <w:rFonts w:ascii="Times New Roman" w:hAnsi="Times New Roman" w:cs="Times New Roman"/>
          <w:color w:val="000000" w:themeColor="text1"/>
          <w:szCs w:val="21"/>
          <w14:textFill>
            <w14:solidFill>
              <w14:schemeClr w14:val="tx1"/>
            </w14:solidFill>
          </w14:textFill>
        </w:rPr>
        <w:t>00</w:t>
      </w:r>
      <w:r>
        <w:rPr>
          <w:rFonts w:hint="eastAsia" w:ascii="Times New Roman" w:hAnsi="Times New Roman" w:cs="Times New Roman"/>
          <w:color w:val="000000" w:themeColor="text1"/>
          <w:szCs w:val="21"/>
          <w14:textFill>
            <w14:solidFill>
              <w14:schemeClr w14:val="tx1"/>
            </w14:solidFill>
          </w14:textFill>
        </w:rPr>
        <w:t>mm；</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按钢筋抗拉强度控制，钢筋应力达到钢筋强度设计值，或某根钢筋拉断。</w:t>
      </w:r>
    </w:p>
    <w:p>
      <w:pPr>
        <w:pStyle w:val="3"/>
        <w:rPr>
          <w:color w:val="000000" w:themeColor="text1"/>
          <w14:textFill>
            <w14:solidFill>
              <w14:schemeClr w14:val="tx1"/>
            </w14:solidFill>
          </w14:textFill>
        </w:rPr>
      </w:pPr>
      <w:bookmarkStart w:id="86" w:name="_Toc154757380"/>
      <w:bookmarkStart w:id="87" w:name="_Toc154934726"/>
      <w:bookmarkStart w:id="88" w:name="_Toc165274020"/>
      <w:r>
        <w:rPr>
          <w:rFonts w:hint="eastAsia"/>
          <w:color w:val="000000" w:themeColor="text1"/>
          <w14:textFill>
            <w14:solidFill>
              <w14:schemeClr w14:val="tx1"/>
            </w14:solidFill>
          </w14:textFill>
        </w:rPr>
        <w:t>5</w:t>
      </w:r>
      <w:r>
        <w:rPr>
          <w:color w:val="000000" w:themeColor="text1"/>
          <w14:textFill>
            <w14:solidFill>
              <w14:schemeClr w14:val="tx1"/>
            </w14:solidFill>
          </w14:textFill>
        </w:rPr>
        <w:t xml:space="preserve">.4 </w:t>
      </w:r>
      <w:r>
        <w:rPr>
          <w:rFonts w:hint="eastAsia"/>
          <w:color w:val="000000" w:themeColor="text1"/>
          <w14:textFill>
            <w14:solidFill>
              <w14:schemeClr w14:val="tx1"/>
            </w14:solidFill>
          </w14:textFill>
        </w:rPr>
        <w:t>检测数据记录</w:t>
      </w:r>
      <w:bookmarkEnd w:id="86"/>
      <w:bookmarkEnd w:id="87"/>
      <w:bookmarkEnd w:id="88"/>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检测数据应按本规范附录C表C.1和表C.2的格式进行记录。</w:t>
      </w: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黑体" w:cs="Times New Roman"/>
          <w:b/>
          <w:bCs/>
          <w:color w:val="000000" w:themeColor="text1"/>
          <w:sz w:val="32"/>
          <w:szCs w:val="32"/>
          <w14:textFill>
            <w14:solidFill>
              <w14:schemeClr w14:val="tx1"/>
            </w14:solidFill>
          </w14:textFill>
        </w:rPr>
      </w:pPr>
    </w:p>
    <w:p>
      <w:pPr>
        <w:pStyle w:val="2"/>
        <w:rPr>
          <w:color w:val="000000" w:themeColor="text1"/>
          <w14:textFill>
            <w14:solidFill>
              <w14:schemeClr w14:val="tx1"/>
            </w14:solidFill>
          </w14:textFill>
        </w:rPr>
      </w:pPr>
      <w:bookmarkStart w:id="89" w:name="_Toc154757381"/>
      <w:bookmarkStart w:id="90" w:name="_Toc165274021"/>
      <w:bookmarkStart w:id="91" w:name="_Toc154934727"/>
      <w:bookmarkStart w:id="92" w:name="_Hlk154754092"/>
      <w:r>
        <w:rPr>
          <w:color w:val="000000" w:themeColor="text1"/>
          <w14:textFill>
            <w14:solidFill>
              <w14:schemeClr w14:val="tx1"/>
            </w14:solidFill>
          </w14:textFill>
        </w:rPr>
        <w:t xml:space="preserve">6  </w:t>
      </w:r>
      <w:bookmarkStart w:id="93" w:name="_Hlk152861024"/>
      <w:r>
        <w:rPr>
          <w:color w:val="000000" w:themeColor="text1"/>
          <w14:textFill>
            <w14:solidFill>
              <w14:schemeClr w14:val="tx1"/>
            </w14:solidFill>
          </w14:textFill>
        </w:rPr>
        <w:t>检测数据分析与</w:t>
      </w:r>
      <w:r>
        <w:rPr>
          <w:rFonts w:hint="eastAsia"/>
          <w:color w:val="000000" w:themeColor="text1"/>
          <w14:textFill>
            <w14:solidFill>
              <w14:schemeClr w14:val="tx1"/>
            </w14:solidFill>
          </w14:textFill>
        </w:rPr>
        <w:t>承载力</w:t>
      </w:r>
      <w:r>
        <w:rPr>
          <w:color w:val="000000" w:themeColor="text1"/>
          <w14:textFill>
            <w14:solidFill>
              <w14:schemeClr w14:val="tx1"/>
            </w14:solidFill>
          </w14:textFill>
        </w:rPr>
        <w:t>判定</w:t>
      </w:r>
      <w:bookmarkEnd w:id="89"/>
      <w:bookmarkEnd w:id="90"/>
      <w:bookmarkEnd w:id="91"/>
      <w:bookmarkEnd w:id="93"/>
    </w:p>
    <w:p>
      <w:pPr>
        <w:pStyle w:val="3"/>
        <w:rPr>
          <w:color w:val="000000" w:themeColor="text1"/>
          <w14:textFill>
            <w14:solidFill>
              <w14:schemeClr w14:val="tx1"/>
            </w14:solidFill>
          </w14:textFill>
        </w:rPr>
      </w:pPr>
      <w:bookmarkStart w:id="94" w:name="_Toc154757382"/>
      <w:bookmarkStart w:id="95" w:name="_Toc154934728"/>
      <w:bookmarkStart w:id="96" w:name="_Toc165274022"/>
      <w:r>
        <w:rPr>
          <w:rFonts w:hint="eastAsia"/>
          <w:color w:val="000000" w:themeColor="text1"/>
          <w14:textFill>
            <w14:solidFill>
              <w14:schemeClr w14:val="tx1"/>
            </w14:solidFill>
          </w14:textFill>
        </w:rPr>
        <w:t>6.1 绘制相关曲线</w:t>
      </w:r>
      <w:bookmarkEnd w:id="94"/>
      <w:bookmarkEnd w:id="95"/>
      <w:bookmarkEnd w:id="96"/>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6</w:t>
      </w:r>
      <w:r>
        <w:rPr>
          <w:rFonts w:ascii="Times New Roman" w:hAnsi="Times New Roman" w:cs="Times New Roman"/>
          <w:b/>
          <w:bCs/>
          <w:color w:val="000000" w:themeColor="text1"/>
          <w:szCs w:val="21"/>
          <w14:textFill>
            <w14:solidFill>
              <w14:schemeClr w14:val="tx1"/>
            </w14:solidFill>
          </w14:textFill>
        </w:rPr>
        <w:t>.1.1</w:t>
      </w:r>
      <w:r>
        <w:rPr>
          <w:rFonts w:hint="eastAsia" w:ascii="Times New Roman" w:hAnsi="Times New Roman" w:cs="Times New Roman"/>
          <w:color w:val="000000" w:themeColor="text1"/>
          <w:szCs w:val="21"/>
          <w14:textFill>
            <w14:solidFill>
              <w14:schemeClr w14:val="tx1"/>
            </w14:solidFill>
          </w14:textFill>
        </w:rPr>
        <w:t>根据实测的原始数据，绘制下段桩的荷载-位移</w:t>
      </w:r>
      <w:bookmarkStart w:id="97" w:name="_Hlk153268759"/>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w:t>
      </w:r>
      <w:bookmarkEnd w:id="97"/>
      <w:r>
        <w:rPr>
          <w:rFonts w:hint="eastAsia" w:ascii="Times New Roman" w:hAnsi="Times New Roman" w:cs="Times New Roman"/>
          <w:color w:val="000000" w:themeColor="text1"/>
          <w:szCs w:val="21"/>
          <w14:textFill>
            <w14:solidFill>
              <w14:schemeClr w14:val="tx1"/>
            </w14:solidFill>
          </w14:textFill>
        </w:rPr>
        <w:t>关系曲线、位移-时间对数（</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-lg</w:t>
      </w:r>
      <w:r>
        <w:rPr>
          <w:rFonts w:hint="eastAsia" w:ascii="Times New Roman" w:hAnsi="Times New Roman" w:cs="Times New Roman"/>
          <w:i/>
          <w:color w:val="000000" w:themeColor="text1"/>
          <w:szCs w:val="21"/>
          <w14:textFill>
            <w14:solidFill>
              <w14:schemeClr w14:val="tx1"/>
            </w14:solidFill>
          </w14:textFill>
        </w:rPr>
        <w:t>t</w:t>
      </w:r>
      <w:r>
        <w:rPr>
          <w:rFonts w:hint="eastAsia" w:ascii="Times New Roman" w:hAnsi="Times New Roman" w:cs="Times New Roman"/>
          <w:color w:val="000000" w:themeColor="text1"/>
          <w:szCs w:val="21"/>
          <w14:textFill>
            <w14:solidFill>
              <w14:schemeClr w14:val="tx1"/>
            </w14:solidFill>
          </w14:textFill>
        </w:rPr>
        <w:t>）关系曲线。</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6</w:t>
      </w:r>
      <w:r>
        <w:rPr>
          <w:rFonts w:ascii="Times New Roman" w:hAnsi="Times New Roman" w:cs="Times New Roman"/>
          <w:b/>
          <w:bCs/>
          <w:color w:val="000000" w:themeColor="text1"/>
          <w:szCs w:val="21"/>
          <w14:textFill>
            <w14:solidFill>
              <w14:schemeClr w14:val="tx1"/>
            </w14:solidFill>
          </w14:textFill>
        </w:rPr>
        <w:t>.1.2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根据实测的原始数据，绘制上段桩的荷载-位移</w:t>
      </w:r>
      <w:bookmarkStart w:id="98" w:name="_Hlk153268870"/>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w:t>
      </w:r>
      <w:bookmarkEnd w:id="98"/>
      <w:r>
        <w:rPr>
          <w:rFonts w:hint="eastAsia" w:ascii="Times New Roman" w:hAnsi="Times New Roman" w:cs="Times New Roman"/>
          <w:color w:val="000000" w:themeColor="text1"/>
          <w:szCs w:val="21"/>
          <w14:textFill>
            <w14:solidFill>
              <w14:schemeClr w14:val="tx1"/>
            </w14:solidFill>
          </w14:textFill>
        </w:rPr>
        <w:t>关系曲线、位移-时间对数</w:t>
      </w:r>
      <w:bookmarkStart w:id="99" w:name="_Hlk153269004"/>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-lg</w:t>
      </w:r>
      <w:r>
        <w:rPr>
          <w:rFonts w:hint="eastAsia" w:ascii="Times New Roman" w:hAnsi="Times New Roman" w:cs="Times New Roman"/>
          <w:i/>
          <w:color w:val="000000" w:themeColor="text1"/>
          <w:szCs w:val="21"/>
          <w14:textFill>
            <w14:solidFill>
              <w14:schemeClr w14:val="tx1"/>
            </w14:solidFill>
          </w14:textFill>
        </w:rPr>
        <w:t>t</w:t>
      </w:r>
      <w:r>
        <w:rPr>
          <w:rFonts w:hint="eastAsia" w:ascii="Times New Roman" w:hAnsi="Times New Roman" w:cs="Times New Roman"/>
          <w:color w:val="000000" w:themeColor="text1"/>
          <w:szCs w:val="21"/>
          <w14:textFill>
            <w14:solidFill>
              <w14:schemeClr w14:val="tx1"/>
            </w14:solidFill>
          </w14:textFill>
        </w:rPr>
        <w:t>）</w:t>
      </w:r>
      <w:bookmarkEnd w:id="99"/>
      <w:r>
        <w:rPr>
          <w:rFonts w:hint="eastAsia" w:ascii="Times New Roman" w:hAnsi="Times New Roman" w:cs="Times New Roman"/>
          <w:color w:val="000000" w:themeColor="text1"/>
          <w:szCs w:val="21"/>
          <w14:textFill>
            <w14:solidFill>
              <w14:schemeClr w14:val="tx1"/>
            </w14:solidFill>
          </w14:textFill>
        </w:rPr>
        <w:t>关系曲线。</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6.1.3</w:t>
      </w:r>
      <w:r>
        <w:rPr>
          <w:rFonts w:hint="eastAsia" w:ascii="Times New Roman" w:hAnsi="Times New Roman" w:cs="Times New Roman"/>
          <w:color w:val="000000" w:themeColor="text1"/>
          <w:szCs w:val="21"/>
          <w14:textFill>
            <w14:solidFill>
              <w14:schemeClr w14:val="tx1"/>
            </w14:solidFill>
          </w14:textFill>
        </w:rPr>
        <w:t xml:space="preserve"> 将自锚试桩法测得的上述两条</w:t>
      </w:r>
      <w:bookmarkStart w:id="100" w:name="_Hlk153269706"/>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bookmarkEnd w:id="100"/>
      <w:r>
        <w:rPr>
          <w:rFonts w:hint="eastAsia" w:ascii="Times New Roman" w:hAnsi="Times New Roman" w:cs="Times New Roman"/>
          <w:color w:val="000000" w:themeColor="text1"/>
          <w:szCs w:val="21"/>
          <w14:textFill>
            <w14:solidFill>
              <w14:schemeClr w14:val="tx1"/>
            </w14:solidFill>
          </w14:textFill>
        </w:rPr>
        <w:t>曲线（</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iCs/>
          <w:color w:val="000000" w:themeColor="text1"/>
          <w:szCs w:val="21"/>
          <w14:textFill>
            <w14:solidFill>
              <w14:schemeClr w14:val="tx1"/>
            </w14:solidFill>
          </w14:textFill>
        </w:rPr>
        <w:t>及</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iCs/>
          <w:color w:val="000000" w:themeColor="text1"/>
          <w:szCs w:val="21"/>
          <w14:textFill>
            <w14:solidFill>
              <w14:schemeClr w14:val="tx1"/>
            </w14:solidFill>
          </w14:textFill>
        </w:rPr>
        <w:t>曲线</w:t>
      </w:r>
      <w:r>
        <w:rPr>
          <w:rFonts w:hint="eastAsia" w:ascii="Times New Roman" w:hAnsi="Times New Roman" w:cs="Times New Roman"/>
          <w:color w:val="000000" w:themeColor="text1"/>
          <w:szCs w:val="21"/>
          <w14:textFill>
            <w14:solidFill>
              <w14:schemeClr w14:val="tx1"/>
            </w14:solidFill>
          </w14:textFill>
        </w:rPr>
        <w:t>），等效转换为常规方法桩顶加载的一条</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14:textFill>
            <w14:solidFill>
              <w14:schemeClr w14:val="tx1"/>
            </w14:solidFill>
          </w14:textFill>
        </w:rPr>
        <w:t>曲线，转换方法见附录D。</w:t>
      </w:r>
    </w:p>
    <w:bookmarkEnd w:id="92"/>
    <w:p>
      <w:pPr>
        <w:pStyle w:val="3"/>
        <w:rPr>
          <w:color w:val="000000" w:themeColor="text1"/>
          <w14:textFill>
            <w14:solidFill>
              <w14:schemeClr w14:val="tx1"/>
            </w14:solidFill>
          </w14:textFill>
        </w:rPr>
      </w:pPr>
      <w:bookmarkStart w:id="101" w:name="_Toc165274023"/>
      <w:bookmarkStart w:id="102" w:name="_Toc154934729"/>
      <w:bookmarkStart w:id="103" w:name="_Toc154757383"/>
      <w:bookmarkStart w:id="104" w:name="_Hlk154754134"/>
      <w:r>
        <w:rPr>
          <w:color w:val="000000" w:themeColor="text1"/>
          <w14:textFill>
            <w14:solidFill>
              <w14:schemeClr w14:val="tx1"/>
            </w14:solidFill>
          </w14:textFill>
        </w:rPr>
        <w:t>6.2  承载力确定</w:t>
      </w:r>
      <w:bookmarkEnd w:id="101"/>
      <w:bookmarkEnd w:id="102"/>
      <w:bookmarkEnd w:id="103"/>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6.2.1</w:t>
      </w:r>
      <w:r>
        <w:rPr>
          <w:rFonts w:hint="eastAsia" w:ascii="Times New Roman" w:hAnsi="Times New Roman" w:cs="Times New Roman"/>
          <w:color w:val="000000" w:themeColor="text1"/>
          <w:szCs w:val="21"/>
          <w14:textFill>
            <w14:solidFill>
              <w14:schemeClr w14:val="tx1"/>
            </w14:solidFill>
          </w14:textFill>
        </w:rPr>
        <w:t xml:space="preserve"> 下段桩抗压极限承载力按下列分析方法确定：</w:t>
      </w:r>
    </w:p>
    <w:p>
      <w:pPr>
        <w:spacing w:line="360" w:lineRule="auto"/>
        <w:ind w:firstLine="57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1 </w:t>
      </w:r>
      <w:r>
        <w:rPr>
          <w:rFonts w:hint="eastAsia" w:ascii="Times New Roman" w:hAnsi="Times New Roman" w:cs="Times New Roman"/>
          <w:color w:val="000000" w:themeColor="text1"/>
          <w:szCs w:val="21"/>
          <w14:textFill>
            <w14:solidFill>
              <w14:schemeClr w14:val="tx1"/>
            </w14:solidFill>
          </w14:textFill>
        </w:rPr>
        <w:t>根据位移随荷载变化的特征确定：对于陡降型</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曲线，应取其发生明显陡降的起始点对应的荷载值；</w:t>
      </w:r>
    </w:p>
    <w:p>
      <w:pPr>
        <w:spacing w:line="360" w:lineRule="auto"/>
        <w:ind w:firstLine="570"/>
        <w:rPr>
          <w:rFonts w:ascii="Times New Roman" w:hAnsi="Times New Roman" w:cs="Times New Roman"/>
          <w:iCs/>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根据位移随时间变化的特征确定：应取</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-lg</w:t>
      </w:r>
      <w:r>
        <w:rPr>
          <w:rFonts w:hint="eastAsia" w:ascii="Times New Roman" w:hAnsi="Times New Roman" w:cs="Times New Roman"/>
          <w:i/>
          <w:color w:val="000000" w:themeColor="text1"/>
          <w:szCs w:val="21"/>
          <w14:textFill>
            <w14:solidFill>
              <w14:schemeClr w14:val="tx1"/>
            </w14:solidFill>
          </w14:textFill>
        </w:rPr>
        <w:t>t</w:t>
      </w:r>
      <w:r>
        <w:rPr>
          <w:rFonts w:hint="eastAsia" w:ascii="Times New Roman" w:hAnsi="Times New Roman" w:cs="Times New Roman"/>
          <w:iCs/>
          <w:color w:val="000000" w:themeColor="text1"/>
          <w:szCs w:val="21"/>
          <w14:textFill>
            <w14:solidFill>
              <w14:schemeClr w14:val="tx1"/>
            </w14:solidFill>
          </w14:textFill>
        </w:rPr>
        <w:t>曲线尾部出现明显向下弯曲的前一级荷载值；</w:t>
      </w:r>
    </w:p>
    <w:p>
      <w:pPr>
        <w:spacing w:line="360" w:lineRule="auto"/>
        <w:ind w:firstLine="57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iCs/>
          <w:color w:val="000000" w:themeColor="text1"/>
          <w:szCs w:val="21"/>
          <w14:textFill>
            <w14:solidFill>
              <w14:schemeClr w14:val="tx1"/>
            </w14:solidFill>
          </w14:textFill>
        </w:rPr>
        <w:t>3</w:t>
      </w:r>
      <w:r>
        <w:rPr>
          <w:rFonts w:ascii="Times New Roman" w:hAnsi="Times New Roman" w:cs="Times New Roman"/>
          <w:iCs/>
          <w:color w:val="000000" w:themeColor="text1"/>
          <w:szCs w:val="21"/>
          <w14:textFill>
            <w14:solidFill>
              <w14:schemeClr w14:val="tx1"/>
            </w14:solidFill>
          </w14:textFill>
        </w:rPr>
        <w:t xml:space="preserve"> </w:t>
      </w:r>
      <w:r>
        <w:rPr>
          <w:rFonts w:hint="eastAsia" w:ascii="Times New Roman" w:hAnsi="Times New Roman" w:cs="Times New Roman"/>
          <w:iCs/>
          <w:color w:val="000000" w:themeColor="text1"/>
          <w:szCs w:val="21"/>
          <w14:textFill>
            <w14:solidFill>
              <w14:schemeClr w14:val="tx1"/>
            </w14:solidFill>
          </w14:textFill>
        </w:rPr>
        <w:t>对于缓变型</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曲线，宜根据桩顶总位移量，取</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iCs/>
          <w:color w:val="000000" w:themeColor="text1"/>
          <w:szCs w:val="21"/>
          <w14:textFill>
            <w14:solidFill>
              <w14:schemeClr w14:val="tx1"/>
            </w14:solidFill>
          </w14:textFill>
        </w:rPr>
        <w:t>等于4</w:t>
      </w:r>
      <w:r>
        <w:rPr>
          <w:rFonts w:ascii="Times New Roman" w:hAnsi="Times New Roman" w:cs="Times New Roman"/>
          <w:iCs/>
          <w:color w:val="000000" w:themeColor="text1"/>
          <w:szCs w:val="21"/>
          <w14:textFill>
            <w14:solidFill>
              <w14:schemeClr w14:val="tx1"/>
            </w14:solidFill>
          </w14:textFill>
        </w:rPr>
        <w:t>0</w:t>
      </w:r>
      <w:r>
        <w:rPr>
          <w:rFonts w:hint="eastAsia" w:ascii="Times New Roman" w:hAnsi="Times New Roman" w:cs="Times New Roman"/>
          <w:iCs/>
          <w:color w:val="000000" w:themeColor="text1"/>
          <w:szCs w:val="21"/>
          <w14:textFill>
            <w14:solidFill>
              <w14:schemeClr w14:val="tx1"/>
            </w14:solidFill>
          </w14:textFill>
        </w:rPr>
        <w:t>mm对应的荷载值；</w:t>
      </w:r>
      <w:r>
        <w:rPr>
          <w:rFonts w:hint="eastAsia" w:ascii="Times New Roman" w:hAnsi="Times New Roman" w:cs="Times New Roman"/>
          <w:color w:val="000000" w:themeColor="text1"/>
          <w:szCs w:val="21"/>
          <w14:textFill>
            <w14:solidFill>
              <w14:schemeClr w14:val="tx1"/>
            </w14:solidFill>
          </w14:textFill>
        </w:rPr>
        <w:t>当下段桩直径大于或等于800mm时，可取位移量为0.05</w:t>
      </w:r>
      <w:r>
        <w:rPr>
          <w:rFonts w:hint="eastAsia" w:ascii="Times New Roman" w:hAnsi="Times New Roman" w:cs="Times New Roman"/>
          <w:i/>
          <w:color w:val="000000" w:themeColor="text1"/>
          <w:szCs w:val="21"/>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为桩端直径）对应的荷载值。</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6.2.</w:t>
      </w:r>
      <w:r>
        <w:rPr>
          <w:rFonts w:ascii="Times New Roman" w:hAnsi="Times New Roman" w:cs="Times New Roman"/>
          <w:b/>
          <w:bCs/>
          <w:color w:val="000000" w:themeColor="text1"/>
          <w:szCs w:val="21"/>
          <w14:textFill>
            <w14:solidFill>
              <w14:schemeClr w14:val="tx1"/>
            </w14:solidFill>
          </w14:textFill>
        </w:rPr>
        <w:t>2</w:t>
      </w:r>
      <w:r>
        <w:rPr>
          <w:rFonts w:hint="eastAsia" w:ascii="Times New Roman" w:hAnsi="Times New Roman" w:cs="Times New Roman"/>
          <w:color w:val="000000" w:themeColor="text1"/>
          <w:szCs w:val="21"/>
          <w14:textFill>
            <w14:solidFill>
              <w14:schemeClr w14:val="tx1"/>
            </w14:solidFill>
          </w14:textFill>
        </w:rPr>
        <w:t xml:space="preserve"> 上段桩抗拔极限承载力按下列分析方法确定：</w:t>
      </w:r>
    </w:p>
    <w:p>
      <w:pPr>
        <w:spacing w:line="360" w:lineRule="auto"/>
        <w:ind w:firstLine="525" w:firstLineChars="25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1 </w:t>
      </w:r>
      <w:r>
        <w:rPr>
          <w:rFonts w:hint="eastAsia" w:ascii="Times New Roman" w:hAnsi="Times New Roman" w:cs="Times New Roman"/>
          <w:color w:val="000000" w:themeColor="text1"/>
          <w:szCs w:val="21"/>
          <w14:textFill>
            <w14:solidFill>
              <w14:schemeClr w14:val="tx1"/>
            </w14:solidFill>
          </w14:textFill>
        </w:rPr>
        <w:t>根据位移随荷载变化的特征确定：对于陡变型</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曲线，应取陡升起始点对应的荷载值；</w:t>
      </w:r>
    </w:p>
    <w:p>
      <w:pPr>
        <w:spacing w:line="360" w:lineRule="auto"/>
        <w:ind w:firstLine="570"/>
        <w:rPr>
          <w:rFonts w:ascii="Times New Roman" w:hAnsi="Times New Roman" w:cs="Times New Roman"/>
          <w:iCs/>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根据位移随时间变化的特征确定：应取</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-lg</w:t>
      </w:r>
      <w:r>
        <w:rPr>
          <w:rFonts w:hint="eastAsia" w:ascii="Times New Roman" w:hAnsi="Times New Roman" w:cs="Times New Roman"/>
          <w:i/>
          <w:color w:val="000000" w:themeColor="text1"/>
          <w:szCs w:val="21"/>
          <w14:textFill>
            <w14:solidFill>
              <w14:schemeClr w14:val="tx1"/>
            </w14:solidFill>
          </w14:textFill>
        </w:rPr>
        <w:t>t</w:t>
      </w:r>
      <w:r>
        <w:rPr>
          <w:rFonts w:hint="eastAsia" w:ascii="Times New Roman" w:hAnsi="Times New Roman" w:cs="Times New Roman"/>
          <w:iCs/>
          <w:color w:val="000000" w:themeColor="text1"/>
          <w:szCs w:val="21"/>
          <w14:textFill>
            <w14:solidFill>
              <w14:schemeClr w14:val="tx1"/>
            </w14:solidFill>
          </w14:textFill>
        </w:rPr>
        <w:t>曲线斜率明显变陡或曲线尾部明显弯曲的前一级荷载值；</w:t>
      </w:r>
    </w:p>
    <w:p>
      <w:pPr>
        <w:spacing w:line="360" w:lineRule="auto"/>
        <w:ind w:firstLine="570"/>
        <w:rPr>
          <w:rFonts w:ascii="Times New Roman" w:hAnsi="Times New Roman" w:cs="Times New Roman"/>
          <w:iCs/>
          <w:color w:val="000000" w:themeColor="text1"/>
          <w:szCs w:val="21"/>
          <w14:textFill>
            <w14:solidFill>
              <w14:schemeClr w14:val="tx1"/>
            </w14:solidFill>
          </w14:textFill>
        </w:rPr>
      </w:pPr>
      <w:r>
        <w:rPr>
          <w:rFonts w:ascii="Times New Roman" w:hAnsi="Times New Roman" w:cs="Times New Roman"/>
          <w:iCs/>
          <w:color w:val="000000" w:themeColor="text1"/>
          <w:szCs w:val="21"/>
          <w14:textFill>
            <w14:solidFill>
              <w14:schemeClr w14:val="tx1"/>
            </w14:solidFill>
          </w14:textFill>
        </w:rPr>
        <w:t xml:space="preserve">3 </w:t>
      </w:r>
      <w:r>
        <w:rPr>
          <w:rFonts w:hint="eastAsia" w:ascii="Times New Roman" w:hAnsi="Times New Roman" w:cs="Times New Roman"/>
          <w:iCs/>
          <w:color w:val="000000" w:themeColor="text1"/>
          <w:szCs w:val="21"/>
          <w14:textFill>
            <w14:solidFill>
              <w14:schemeClr w14:val="tx1"/>
            </w14:solidFill>
          </w14:textFill>
        </w:rPr>
        <w:t>当在某级荷载下抗拔钢筋断裂时，应取前一级荷载值。</w:t>
      </w:r>
    </w:p>
    <w:p>
      <w:pPr>
        <w:spacing w:line="360" w:lineRule="auto"/>
        <w:rPr>
          <w:rFonts w:ascii="Times New Roman" w:hAnsi="Times New Roman" w:cs="Times New Roman"/>
          <w:color w:val="000000" w:themeColor="text1"/>
          <w:szCs w:val="21"/>
          <w14:textFill>
            <w14:solidFill>
              <w14:schemeClr w14:val="tx1"/>
            </w14:solidFill>
          </w14:textFill>
        </w:rPr>
      </w:pPr>
      <w:bookmarkStart w:id="105" w:name="_Hlk153270040"/>
      <w:r>
        <w:rPr>
          <w:rFonts w:hint="eastAsia" w:ascii="Times New Roman" w:hAnsi="Times New Roman" w:cs="Times New Roman"/>
          <w:b/>
          <w:bCs/>
          <w:color w:val="000000" w:themeColor="text1"/>
          <w:szCs w:val="21"/>
          <w14:textFill>
            <w14:solidFill>
              <w14:schemeClr w14:val="tx1"/>
            </w14:solidFill>
          </w14:textFill>
        </w:rPr>
        <w:t>6.2.</w:t>
      </w:r>
      <w:r>
        <w:rPr>
          <w:rFonts w:ascii="Times New Roman" w:hAnsi="Times New Roman" w:cs="Times New Roman"/>
          <w:b/>
          <w:bCs/>
          <w:color w:val="000000" w:themeColor="text1"/>
          <w:szCs w:val="21"/>
          <w14:textFill>
            <w14:solidFill>
              <w14:schemeClr w14:val="tx1"/>
            </w14:solidFill>
          </w14:textFill>
        </w:rPr>
        <w:t>3</w:t>
      </w:r>
      <w:r>
        <w:rPr>
          <w:rFonts w:hint="eastAsia" w:ascii="Times New Roman" w:hAnsi="Times New Roman" w:cs="Times New Roman"/>
          <w:color w:val="000000" w:themeColor="text1"/>
          <w:szCs w:val="21"/>
          <w14:textFill>
            <w14:solidFill>
              <w14:schemeClr w14:val="tx1"/>
            </w14:solidFill>
          </w14:textFill>
        </w:rPr>
        <w:t xml:space="preserve"> 单桩</w:t>
      </w:r>
      <w:bookmarkEnd w:id="105"/>
      <w:r>
        <w:rPr>
          <w:rFonts w:hint="eastAsia" w:ascii="Times New Roman" w:hAnsi="Times New Roman" w:cs="Times New Roman"/>
          <w:color w:val="000000" w:themeColor="text1"/>
          <w:szCs w:val="21"/>
          <w14:textFill>
            <w14:solidFill>
              <w14:schemeClr w14:val="tx1"/>
            </w14:solidFill>
          </w14:textFill>
        </w:rPr>
        <w:t>竖向抗压极限承载力应按下列公式计算：</w:t>
      </w:r>
    </w:p>
    <w:p>
      <w:pPr>
        <w:spacing w:line="360" w:lineRule="auto"/>
        <w:jc w:val="center"/>
        <w:rPr>
          <w:color w:val="000000" w:themeColor="text1"/>
          <w:szCs w:val="21"/>
          <w14:textFill>
            <w14:solidFill>
              <w14:schemeClr w14:val="tx1"/>
            </w14:solidFill>
          </w14:textFill>
        </w:rPr>
      </w:pPr>
      <m:oMathPara>
        <m:oMath>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Q</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equ</m:t>
              </m:r>
              <m:ctrlPr>
                <w:rPr>
                  <w:rFonts w:ascii="Cambria Math" w:hAnsi="Cambria Math"/>
                  <w:i/>
                  <w:color w:val="000000" w:themeColor="text1"/>
                  <w:szCs w:val="21"/>
                  <w14:textFill>
                    <w14:solidFill>
                      <w14:schemeClr w14:val="tx1"/>
                    </w14:solidFill>
                  </w14:textFill>
                </w:rPr>
              </m:ctrlPr>
            </m:sub>
          </m:sSub>
          <m:r>
            <m:rPr/>
            <w:rPr>
              <w:rFonts w:ascii="Cambria Math"/>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r>
            <m:rPr/>
            <w:rPr>
              <w:rFonts w:ascii="Cambria Math"/>
              <w:color w:val="000000" w:themeColor="text1"/>
              <w:szCs w:val="21"/>
              <w14:textFill>
                <w14:solidFill>
                  <w14:schemeClr w14:val="tx1"/>
                </w14:solidFill>
              </w14:textFill>
            </w:rPr>
            <m:t>(</m:t>
          </m:r>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Q</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uu</m:t>
              </m:r>
              <m:ctrlPr>
                <w:rPr>
                  <w:rFonts w:ascii="Cambria Math" w:hAnsi="Cambria Math"/>
                  <w:i/>
                  <w:color w:val="000000" w:themeColor="text1"/>
                  <w:szCs w:val="21"/>
                  <w14:textFill>
                    <w14:solidFill>
                      <w14:schemeClr w14:val="tx1"/>
                    </w14:solidFill>
                  </w14:textFill>
                </w:rPr>
              </m:ctrlPr>
            </m:sub>
          </m:sSub>
          <m:r>
            <m:rPr/>
            <w:rPr>
              <w:rFonts w:hint="eastAsia" w:ascii="微软雅黑" w:hAnsi="微软雅黑" w:eastAsia="微软雅黑" w:cs="微软雅黑"/>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hint="eastAsia" w:ascii="Cambria Math" w:hAnsi="Cambria Math" w:cs="Times New Roman"/>
                  <w:color w:val="000000" w:themeColor="text1"/>
                  <w:szCs w:val="21"/>
                  <w14:textFill>
                    <w14:solidFill>
                      <w14:schemeClr w14:val="tx1"/>
                    </w14:solidFill>
                  </w14:textFill>
                </w:rPr>
                <m:t>G</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p</m:t>
              </m:r>
              <m:ctrlPr>
                <w:rPr>
                  <w:rFonts w:ascii="Cambria Math" w:hAnsi="Cambria Math" w:cs="Times New Roman"/>
                  <w:i/>
                  <w:color w:val="000000" w:themeColor="text1"/>
                  <w:szCs w:val="21"/>
                  <w14:textFill>
                    <w14:solidFill>
                      <w14:schemeClr w14:val="tx1"/>
                    </w14:solidFill>
                  </w14:textFill>
                </w:rPr>
              </m:ctrlPr>
            </m:sub>
          </m:sSub>
          <m:r>
            <m:rPr/>
            <w:rPr>
              <w:rFonts w:ascii="Cambria Math"/>
              <w:color w:val="000000" w:themeColor="text1"/>
              <w:szCs w:val="21"/>
              <w14:textFill>
                <w14:solidFill>
                  <w14:schemeClr w14:val="tx1"/>
                </w14:solidFill>
              </w14:textFill>
            </w:rPr>
            <m:t>)+</m:t>
          </m:r>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Q</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du</m:t>
              </m:r>
              <m:ctrlPr>
                <w:rPr>
                  <w:rFonts w:ascii="Cambria Math" w:hAnsi="Cambria Math"/>
                  <w:i/>
                  <w:color w:val="000000" w:themeColor="text1"/>
                  <w:szCs w:val="21"/>
                  <w14:textFill>
                    <w14:solidFill>
                      <w14:schemeClr w14:val="tx1"/>
                    </w14:solidFill>
                  </w14:textFill>
                </w:rPr>
              </m:ctrlPr>
            </m:sub>
          </m:sSub>
        </m:oMath>
      </m:oMathPara>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式中：</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Q</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equ</m:t>
            </m:r>
            <m:ctrlPr>
              <w:rPr>
                <w:rFonts w:ascii="Cambria Math" w:hAnsi="Cambria Math"/>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——单桩竖向抗压极限承载力（kN）；</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Q</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uu</m:t>
            </m:r>
            <m:ctrlPr>
              <w:rPr>
                <w:rFonts w:ascii="Cambria Math" w:hAnsi="Cambria Math"/>
                <w:i/>
                <w:color w:val="000000" w:themeColor="text1"/>
                <w:szCs w:val="21"/>
                <w14:textFill>
                  <w14:solidFill>
                    <w14:schemeClr w14:val="tx1"/>
                  </w14:solidFill>
                </w14:textFill>
              </w:rPr>
            </m:ctrlPr>
          </m:sub>
        </m:sSub>
      </m:oMath>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上段桩的极限加载值（kN）；</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Q</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du</m:t>
            </m:r>
            <m:ctrlPr>
              <w:rPr>
                <w:rFonts w:ascii="Cambria Math" w:hAnsi="Cambria Math"/>
                <w:i/>
                <w:color w:val="000000" w:themeColor="text1"/>
                <w:szCs w:val="21"/>
                <w14:textFill>
                  <w14:solidFill>
                    <w14:schemeClr w14:val="tx1"/>
                  </w14:solidFill>
                </w14:textFill>
              </w:rPr>
            </m:ctrlPr>
          </m:sub>
        </m:sSub>
      </m:oMath>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下段桩的极限加载值（kN）；</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G</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p</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上段桩自重（kN），地下水位以下应取浮重度计算自重；</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w:bookmarkStart w:id="106" w:name="_Hlk153271036"/>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 xml:space="preserve"> </w:t>
      </w:r>
      <w:bookmarkEnd w:id="106"/>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上段桩负摩阻力向正摩阻力的转换系数，宜根据实际土质情况和地区经验确定。一般情况下，黏性土、粉土取</w:t>
      </w:r>
      <w:r>
        <w:rPr>
          <w:rFonts w:ascii="Times New Roman" w:hAnsi="Times New Roman" w:cs="Times New Roman"/>
          <w:color w:val="000000" w:themeColor="text1"/>
          <w:szCs w:val="21"/>
          <w14:textFill>
            <w14:solidFill>
              <w14:schemeClr w14:val="tx1"/>
            </w14:solidFill>
          </w14:textFill>
        </w:rPr>
        <w:t>1.25</w:t>
      </w:r>
      <w:r>
        <w:rPr>
          <w:rFonts w:hint="eastAsia" w:ascii="Times New Roman" w:hAnsi="Times New Roman" w:cs="Times New Roman"/>
          <w:color w:val="000000" w:themeColor="text1"/>
          <w:szCs w:val="21"/>
          <w14:textFill>
            <w14:solidFill>
              <w14:schemeClr w14:val="tx1"/>
            </w14:solidFill>
          </w14:textFill>
        </w:rPr>
        <w:t>，砂土取</w:t>
      </w:r>
      <w:r>
        <w:rPr>
          <w:rFonts w:ascii="Times New Roman" w:hAnsi="Times New Roman" w:cs="Times New Roman"/>
          <w:color w:val="000000" w:themeColor="text1"/>
          <w:szCs w:val="21"/>
          <w14:textFill>
            <w14:solidFill>
              <w14:schemeClr w14:val="tx1"/>
            </w14:solidFill>
          </w14:textFill>
        </w:rPr>
        <w:t>1.43</w:t>
      </w:r>
      <w:r>
        <w:rPr>
          <w:rFonts w:hint="eastAsia" w:ascii="Times New Roman" w:hAnsi="Times New Roman" w:cs="Times New Roman"/>
          <w:color w:val="000000" w:themeColor="text1"/>
          <w:szCs w:val="21"/>
          <w14:textFill>
            <w14:solidFill>
              <w14:schemeClr w14:val="tx1"/>
            </w14:solidFill>
          </w14:textFill>
        </w:rPr>
        <w:t>。</w:t>
      </w:r>
    </w:p>
    <w:bookmarkEnd w:id="104"/>
    <w:p>
      <w:pPr>
        <w:widowControl/>
        <w:spacing w:line="360" w:lineRule="auto"/>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2"/>
        <w:rPr>
          <w:color w:val="000000" w:themeColor="text1"/>
          <w14:textFill>
            <w14:solidFill>
              <w14:schemeClr w14:val="tx1"/>
            </w14:solidFill>
          </w14:textFill>
        </w:rPr>
      </w:pPr>
      <w:bookmarkStart w:id="107" w:name="_Toc154757384"/>
      <w:bookmarkStart w:id="108" w:name="_Toc154934730"/>
      <w:bookmarkStart w:id="109" w:name="_Toc165274024"/>
      <w:bookmarkStart w:id="110" w:name="_Hlk154754199"/>
      <w:r>
        <w:rPr>
          <w:color w:val="000000" w:themeColor="text1"/>
          <w14:textFill>
            <w14:solidFill>
              <w14:schemeClr w14:val="tx1"/>
            </w14:solidFill>
          </w14:textFill>
        </w:rPr>
        <w:t>7  检测报告</w:t>
      </w:r>
      <w:bookmarkEnd w:id="107"/>
      <w:bookmarkEnd w:id="108"/>
      <w:bookmarkEnd w:id="109"/>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7</w:t>
      </w:r>
      <w:r>
        <w:rPr>
          <w:rFonts w:ascii="Times New Roman" w:hAnsi="Times New Roman" w:cs="Times New Roman"/>
          <w:color w:val="000000" w:themeColor="text1"/>
          <w:szCs w:val="21"/>
          <w14:textFill>
            <w14:solidFill>
              <w14:schemeClr w14:val="tx1"/>
            </w14:solidFill>
          </w14:textFill>
        </w:rPr>
        <w:t>.1 检测报告</w:t>
      </w:r>
      <w:r>
        <w:rPr>
          <w:rFonts w:hint="eastAsia" w:ascii="Times New Roman" w:hAnsi="Times New Roman" w:cs="Times New Roman"/>
          <w:color w:val="000000" w:themeColor="text1"/>
          <w:szCs w:val="21"/>
          <w14:textFill>
            <w14:solidFill>
              <w14:schemeClr w14:val="tx1"/>
            </w14:solidFill>
          </w14:textFill>
        </w:rPr>
        <w:t>除应包括本规范第3</w:t>
      </w:r>
      <w:r>
        <w:rPr>
          <w:rFonts w:ascii="Times New Roman" w:hAnsi="Times New Roman" w:cs="Times New Roman"/>
          <w:color w:val="000000" w:themeColor="text1"/>
          <w:szCs w:val="21"/>
          <w14:textFill>
            <w14:solidFill>
              <w14:schemeClr w14:val="tx1"/>
            </w14:solidFill>
          </w14:textFill>
        </w:rPr>
        <w:t>.8.3</w:t>
      </w:r>
      <w:r>
        <w:rPr>
          <w:rFonts w:hint="eastAsia" w:ascii="Times New Roman" w:hAnsi="Times New Roman" w:cs="Times New Roman"/>
          <w:color w:val="000000" w:themeColor="text1"/>
          <w:szCs w:val="21"/>
          <w14:textFill>
            <w14:solidFill>
              <w14:schemeClr w14:val="tx1"/>
            </w14:solidFill>
          </w14:textFill>
        </w:rPr>
        <w:t>条规定的内容外，尚应包括下列内容</w:t>
      </w:r>
      <w:r>
        <w:rPr>
          <w:rFonts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7.1.1 </w:t>
      </w:r>
      <w:r>
        <w:rPr>
          <w:rFonts w:hint="eastAsia" w:ascii="Times New Roman" w:hAnsi="Times New Roman" w:cs="Times New Roman"/>
          <w:color w:val="000000" w:themeColor="text1"/>
          <w:szCs w:val="21"/>
          <w14:textFill>
            <w14:solidFill>
              <w14:schemeClr w14:val="tx1"/>
            </w14:solidFill>
          </w14:textFill>
        </w:rPr>
        <w:t>受检桩桩位对应的地质柱状图；</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7.1.2 </w:t>
      </w:r>
      <w:r>
        <w:rPr>
          <w:rFonts w:hint="eastAsia" w:ascii="Times New Roman" w:hAnsi="Times New Roman" w:cs="Times New Roman"/>
          <w:color w:val="000000" w:themeColor="text1"/>
          <w:szCs w:val="21"/>
          <w14:textFill>
            <w14:solidFill>
              <w14:schemeClr w14:val="tx1"/>
            </w14:solidFill>
          </w14:textFill>
        </w:rPr>
        <w:t>受检桩的尺寸、材料强度、配筋情况；</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7.1.</w:t>
      </w:r>
      <w:r>
        <w:rPr>
          <w:rFonts w:hint="eastAsia" w:ascii="Times New Roman" w:hAnsi="Times New Roman" w:cs="Times New Roman"/>
          <w:color w:val="000000" w:themeColor="text1"/>
          <w:szCs w:val="21"/>
          <w14:textFill>
            <w14:solidFill>
              <w14:schemeClr w14:val="tx1"/>
            </w14:solidFill>
          </w14:textFill>
        </w:rPr>
        <w:t>3</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试验加载图；</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7.1.</w:t>
      </w:r>
      <w:r>
        <w:rPr>
          <w:rFonts w:hint="eastAsia" w:ascii="Times New Roman" w:hAnsi="Times New Roman" w:cs="Times New Roman"/>
          <w:color w:val="000000" w:themeColor="text1"/>
          <w:szCs w:val="21"/>
          <w14:textFill>
            <w14:solidFill>
              <w14:schemeClr w14:val="tx1"/>
            </w14:solidFill>
          </w14:textFill>
        </w:rPr>
        <w:t>4</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加载、卸载方法；</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7.1.5 </w:t>
      </w:r>
      <w:bookmarkStart w:id="111" w:name="_Hlk153780788"/>
      <w:bookmarkStart w:id="112" w:name="_Hlk153780605"/>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iCs/>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-lg</w:t>
      </w:r>
      <w:r>
        <w:rPr>
          <w:rFonts w:hint="eastAsia" w:ascii="Times New Roman" w:hAnsi="Times New Roman" w:cs="Times New Roman"/>
          <w:i/>
          <w:color w:val="000000" w:themeColor="text1"/>
          <w:szCs w:val="21"/>
          <w14:textFill>
            <w14:solidFill>
              <w14:schemeClr w14:val="tx1"/>
            </w14:solidFill>
          </w14:textFill>
        </w:rPr>
        <w:t>t、Q</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iCs/>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-lg</w:t>
      </w:r>
      <w:r>
        <w:rPr>
          <w:rFonts w:hint="eastAsia" w:ascii="Times New Roman" w:hAnsi="Times New Roman" w:cs="Times New Roman"/>
          <w:i/>
          <w:color w:val="000000" w:themeColor="text1"/>
          <w:szCs w:val="21"/>
          <w14:textFill>
            <w14:solidFill>
              <w14:schemeClr w14:val="tx1"/>
            </w14:solidFill>
          </w14:textFill>
        </w:rPr>
        <w:t>t</w:t>
      </w:r>
      <w:bookmarkEnd w:id="111"/>
      <w:r>
        <w:rPr>
          <w:rFonts w:ascii="Times New Roman" w:hAnsi="Times New Roman" w:cs="Times New Roman"/>
          <w:color w:val="000000" w:themeColor="text1"/>
          <w:szCs w:val="21"/>
          <w14:textFill>
            <w14:solidFill>
              <w14:schemeClr w14:val="tx1"/>
            </w14:solidFill>
          </w14:textFill>
        </w:rPr>
        <w:t>曲线</w:t>
      </w:r>
      <w:bookmarkEnd w:id="112"/>
      <w:r>
        <w:rPr>
          <w:rFonts w:hint="eastAsia" w:ascii="Times New Roman" w:hAnsi="Times New Roman" w:cs="Times New Roman"/>
          <w:color w:val="000000" w:themeColor="text1"/>
          <w:szCs w:val="21"/>
          <w14:textFill>
            <w14:solidFill>
              <w14:schemeClr w14:val="tx1"/>
            </w14:solidFill>
          </w14:textFill>
        </w:rPr>
        <w:t>，以及</w:t>
      </w:r>
      <w:r>
        <w:rPr>
          <w:rFonts w:ascii="Times New Roman" w:hAnsi="Times New Roman" w:cs="Times New Roman"/>
          <w:color w:val="000000" w:themeColor="text1"/>
          <w:szCs w:val="21"/>
          <w14:textFill>
            <w14:solidFill>
              <w14:schemeClr w14:val="tx1"/>
            </w14:solidFill>
          </w14:textFill>
        </w:rPr>
        <w:t>转</w:t>
      </w:r>
      <w:r>
        <w:rPr>
          <w:rFonts w:hint="eastAsia" w:ascii="Times New Roman" w:hAnsi="Times New Roman" w:cs="Times New Roman"/>
          <w:color w:val="000000" w:themeColor="text1"/>
          <w:szCs w:val="21"/>
          <w14:textFill>
            <w14:solidFill>
              <w14:schemeClr w14:val="tx1"/>
            </w14:solidFill>
          </w14:textFill>
        </w:rPr>
        <w:t>换</w:t>
      </w:r>
      <w:r>
        <w:rPr>
          <w:rFonts w:ascii="Times New Roman" w:hAnsi="Times New Roman" w:cs="Times New Roman"/>
          <w:color w:val="000000" w:themeColor="text1"/>
          <w:szCs w:val="21"/>
          <w14:textFill>
            <w14:solidFill>
              <w14:schemeClr w14:val="tx1"/>
            </w14:solidFill>
          </w14:textFill>
        </w:rPr>
        <w:t>为桩顶加载的</w:t>
      </w:r>
      <w:bookmarkStart w:id="113" w:name="_Hlk153780862"/>
      <w:r>
        <w:rPr>
          <w:rFonts w:ascii="Times New Roman" w:hAnsi="Times New Roman" w:cs="Times New Roman"/>
          <w:color w:val="000000" w:themeColor="text1"/>
          <w:szCs w:val="21"/>
          <w14:textFill>
            <w14:solidFill>
              <w14:schemeClr w14:val="tx1"/>
            </w14:solidFill>
          </w14:textFill>
        </w:rPr>
        <w:t>等效转</w:t>
      </w:r>
      <w:r>
        <w:rPr>
          <w:rFonts w:hint="eastAsia" w:ascii="Times New Roman" w:hAnsi="Times New Roman" w:cs="Times New Roman"/>
          <w:color w:val="000000" w:themeColor="text1"/>
          <w:szCs w:val="21"/>
          <w14:textFill>
            <w14:solidFill>
              <w14:schemeClr w14:val="tx1"/>
            </w14:solidFill>
          </w14:textFill>
        </w:rPr>
        <w:t>换</w:t>
      </w:r>
      <w:r>
        <w:rPr>
          <w:rFonts w:ascii="Times New Roman" w:hAnsi="Times New Roman" w:cs="Times New Roman"/>
          <w:color w:val="000000" w:themeColor="text1"/>
          <w:szCs w:val="21"/>
          <w14:textFill>
            <w14:solidFill>
              <w14:schemeClr w14:val="tx1"/>
            </w14:solidFill>
          </w14:textFill>
        </w:rPr>
        <w:t>数据表和等效转</w:t>
      </w:r>
      <w:r>
        <w:rPr>
          <w:rFonts w:hint="eastAsia" w:ascii="Times New Roman" w:hAnsi="Times New Roman" w:cs="Times New Roman"/>
          <w:color w:val="000000" w:themeColor="text1"/>
          <w:szCs w:val="21"/>
          <w14:textFill>
            <w14:solidFill>
              <w14:schemeClr w14:val="tx1"/>
            </w14:solidFill>
          </w14:textFill>
        </w:rPr>
        <w:t>换后的</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ascii="Times New Roman" w:hAnsi="Times New Roman" w:cs="Times New Roman"/>
          <w:color w:val="000000" w:themeColor="text1"/>
          <w:szCs w:val="21"/>
          <w14:textFill>
            <w14:solidFill>
              <w14:schemeClr w14:val="tx1"/>
            </w14:solidFill>
          </w14:textFill>
        </w:rPr>
        <w:t>曲线</w:t>
      </w:r>
      <w:r>
        <w:rPr>
          <w:rFonts w:hint="eastAsia" w:ascii="Times New Roman" w:hAnsi="Times New Roman" w:cs="Times New Roman"/>
          <w:color w:val="000000" w:themeColor="text1"/>
          <w:szCs w:val="21"/>
          <w14:textFill>
            <w14:solidFill>
              <w14:schemeClr w14:val="tx1"/>
            </w14:solidFill>
          </w14:textFill>
        </w:rPr>
        <w:t>；</w:t>
      </w:r>
      <w:bookmarkEnd w:id="113"/>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7.1.6 </w:t>
      </w:r>
      <w:r>
        <w:rPr>
          <w:rFonts w:hint="eastAsia" w:ascii="Times New Roman" w:hAnsi="Times New Roman" w:cs="Times New Roman"/>
          <w:color w:val="000000" w:themeColor="text1"/>
          <w:szCs w:val="21"/>
          <w14:textFill>
            <w14:solidFill>
              <w14:schemeClr w14:val="tx1"/>
            </w14:solidFill>
          </w14:textFill>
        </w:rPr>
        <w:t>承载力判定依据</w:t>
      </w:r>
      <w:r>
        <w:rPr>
          <w:rFonts w:ascii="Times New Roman" w:hAnsi="Times New Roman" w:cs="Times New Roman"/>
          <w:color w:val="000000" w:themeColor="text1"/>
          <w:szCs w:val="21"/>
          <w14:textFill>
            <w14:solidFill>
              <w14:schemeClr w14:val="tx1"/>
            </w14:solidFill>
          </w14:textFill>
        </w:rPr>
        <w:t>。</w:t>
      </w:r>
    </w:p>
    <w:bookmarkEnd w:id="110"/>
    <w:p>
      <w:pPr>
        <w:spacing w:line="360" w:lineRule="auto"/>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2"/>
        <w:rPr>
          <w:color w:val="000000" w:themeColor="text1"/>
          <w14:textFill>
            <w14:solidFill>
              <w14:schemeClr w14:val="tx1"/>
            </w14:solidFill>
          </w14:textFill>
        </w:rPr>
      </w:pPr>
      <w:bookmarkStart w:id="114" w:name="_Toc154934731"/>
      <w:bookmarkStart w:id="115" w:name="_Toc154757385"/>
      <w:bookmarkStart w:id="116" w:name="_Toc165274025"/>
      <w:r>
        <w:rPr>
          <w:color w:val="000000" w:themeColor="text1"/>
          <w14:textFill>
            <w14:solidFill>
              <w14:schemeClr w14:val="tx1"/>
            </w14:solidFill>
          </w14:textFill>
        </w:rPr>
        <w:t>附录A  平衡点确定方法</w:t>
      </w:r>
      <w:bookmarkEnd w:id="114"/>
      <w:bookmarkEnd w:id="115"/>
      <w:bookmarkEnd w:id="116"/>
    </w:p>
    <w:p>
      <w:pPr>
        <w:spacing w:line="360" w:lineRule="auto"/>
        <w:rPr>
          <w:rFonts w:ascii="Times New Roman" w:hAnsi="Times New Roman" w:cs="Times New Roman"/>
          <w:color w:val="000000" w:themeColor="text1"/>
          <w:szCs w:val="21"/>
          <w14:textFill>
            <w14:solidFill>
              <w14:schemeClr w14:val="tx1"/>
            </w14:solidFill>
          </w14:textFill>
        </w:rPr>
      </w:pPr>
      <w:bookmarkStart w:id="117" w:name="_Toc154757386"/>
      <w:bookmarkStart w:id="118" w:name="_Toc154934732"/>
      <w:bookmarkStart w:id="119" w:name="_Toc165274026"/>
      <w:r>
        <w:rPr>
          <w:rStyle w:val="39"/>
          <w:rFonts w:hint="eastAsia"/>
          <w:color w:val="000000" w:themeColor="text1"/>
          <w14:textFill>
            <w14:solidFill>
              <w14:schemeClr w14:val="tx1"/>
            </w14:solidFill>
          </w14:textFill>
        </w:rPr>
        <w:t>A.1</w:t>
      </w:r>
      <w:r>
        <w:rPr>
          <w:rStyle w:val="39"/>
          <w:color w:val="000000" w:themeColor="text1"/>
          <w14:textFill>
            <w14:solidFill>
              <w14:schemeClr w14:val="tx1"/>
            </w14:solidFill>
          </w14:textFill>
        </w:rPr>
        <w:t xml:space="preserve"> </w:t>
      </w:r>
      <w:r>
        <w:rPr>
          <w:rStyle w:val="39"/>
          <w:rFonts w:hint="eastAsia"/>
          <w:color w:val="000000" w:themeColor="text1"/>
          <w14:textFill>
            <w14:solidFill>
              <w14:schemeClr w14:val="tx1"/>
            </w14:solidFill>
          </w14:textFill>
        </w:rPr>
        <w:t>按下列公式计算平衡点位置</w:t>
      </w:r>
      <w:bookmarkEnd w:id="117"/>
      <w:bookmarkEnd w:id="118"/>
      <w:bookmarkEnd w:id="119"/>
    </w:p>
    <w:p>
      <w:pPr>
        <w:spacing w:line="360" w:lineRule="auto"/>
        <w:jc w:val="center"/>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l</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u</m:t>
            </m:r>
            <m:ctrlPr>
              <w:rPr>
                <w:rFonts w:ascii="Cambria Math" w:hAnsi="Cambria Math"/>
                <w:i/>
                <w:color w:val="000000" w:themeColor="text1"/>
                <w:szCs w:val="21"/>
                <w14:textFill>
                  <w14:solidFill>
                    <w14:schemeClr w14:val="tx1"/>
                  </w14:solidFill>
                </w14:textFill>
              </w:rPr>
            </m:ctrlPr>
          </m:sub>
        </m:sSub>
        <m:r>
          <m:rPr/>
          <w:rPr>
            <w:rFonts w:ascii="Cambria Math"/>
            <w:color w:val="000000" w:themeColor="text1"/>
            <w:szCs w:val="21"/>
            <w14:textFill>
              <w14:solidFill>
                <w14:schemeClr w14:val="tx1"/>
              </w14:solidFill>
            </w14:textFill>
          </w:rPr>
          <m:t>=</m:t>
        </m:r>
        <m:nary>
          <m:naryPr>
            <m:chr m:val="∑"/>
            <m:limLoc m:val="undOvr"/>
            <m:ctrlPr>
              <w:rPr>
                <w:rFonts w:ascii="Cambria Math" w:hAnsi="Cambria Math"/>
                <w:i/>
                <w:color w:val="000000" w:themeColor="text1"/>
                <w:szCs w:val="21"/>
                <w14:textFill>
                  <w14:solidFill>
                    <w14:schemeClr w14:val="tx1"/>
                  </w14:solidFill>
                </w14:textFill>
              </w:rPr>
            </m:ctrlPr>
          </m:naryPr>
          <m:sub>
            <m:r>
              <m:rPr/>
              <w:rPr>
                <w:rFonts w:ascii="Cambria Math"/>
                <w:color w:val="000000" w:themeColor="text1"/>
                <w:szCs w:val="21"/>
                <w14:textFill>
                  <w14:solidFill>
                    <w14:schemeClr w14:val="tx1"/>
                  </w14:solidFill>
                </w14:textFill>
              </w:rPr>
              <m:t>1</m:t>
            </m:r>
            <m:ctrlPr>
              <w:rPr>
                <w:rFonts w:ascii="Cambria Math" w:hAnsi="Cambria Math"/>
                <w:i/>
                <w:color w:val="000000" w:themeColor="text1"/>
                <w:szCs w:val="21"/>
                <w14:textFill>
                  <w14:solidFill>
                    <w14:schemeClr w14:val="tx1"/>
                  </w14:solidFill>
                </w14:textFill>
              </w:rPr>
            </m:ctrlPr>
          </m:sub>
          <m:sup>
            <m:r>
              <m:rPr/>
              <w:rPr>
                <w:rFonts w:ascii="Cambria Math"/>
                <w:color w:val="000000" w:themeColor="text1"/>
                <w:szCs w:val="21"/>
                <w14:textFill>
                  <w14:solidFill>
                    <w14:schemeClr w14:val="tx1"/>
                  </w14:solidFill>
                </w14:textFill>
              </w:rPr>
              <m:t>j</m:t>
            </m:r>
            <m:ctrlPr>
              <w:rPr>
                <w:rFonts w:ascii="Cambria Math" w:hAnsi="Cambria Math"/>
                <w:i/>
                <w:color w:val="000000" w:themeColor="text1"/>
                <w:szCs w:val="21"/>
                <w14:textFill>
                  <w14:solidFill>
                    <w14:schemeClr w14:val="tx1"/>
                  </w14:solidFill>
                </w14:textFill>
              </w:rPr>
            </m:ctrlPr>
          </m:sup>
          <m:e>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l</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i</m:t>
                </m:r>
                <m:ctrlPr>
                  <w:rPr>
                    <w:rFonts w:ascii="Cambria Math" w:hAnsi="Cambria Math"/>
                    <w:i/>
                    <w:color w:val="000000" w:themeColor="text1"/>
                    <w:szCs w:val="21"/>
                    <w14:textFill>
                      <w14:solidFill>
                        <w14:schemeClr w14:val="tx1"/>
                      </w14:solidFill>
                    </w14:textFill>
                  </w:rPr>
                </m:ctrlPr>
              </m:sub>
            </m:sSub>
            <m:ctrlPr>
              <w:rPr>
                <w:rFonts w:ascii="Cambria Math" w:hAnsi="Cambria Math"/>
                <w:i/>
                <w:color w:val="000000" w:themeColor="text1"/>
                <w:szCs w:val="21"/>
                <w14:textFill>
                  <w14:solidFill>
                    <w14:schemeClr w14:val="tx1"/>
                  </w14:solidFill>
                </w14:textFill>
              </w:rPr>
            </m:ctrlPr>
          </m:e>
        </m:nary>
      </m:oMath>
      <w:r>
        <w:rPr>
          <w:rFonts w:ascii="Times New Roman" w:hAnsi="Times New Roman" w:cs="Times New Roman"/>
          <w:color w:val="000000" w:themeColor="text1"/>
          <w:szCs w:val="21"/>
          <w14:textFill>
            <w14:solidFill>
              <w14:schemeClr w14:val="tx1"/>
            </w14:solidFill>
          </w14:textFill>
        </w:rPr>
        <w:t xml:space="preserve">              (A.1-1)</w:t>
      </w:r>
    </w:p>
    <w:p>
      <w:pPr>
        <w:spacing w:line="360" w:lineRule="auto"/>
        <w:jc w:val="center"/>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l</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d</m:t>
            </m:r>
            <m:ctrlPr>
              <w:rPr>
                <w:rFonts w:ascii="Cambria Math" w:hAnsi="Cambria Math"/>
                <w:i/>
                <w:color w:val="000000" w:themeColor="text1"/>
                <w:szCs w:val="21"/>
                <w14:textFill>
                  <w14:solidFill>
                    <w14:schemeClr w14:val="tx1"/>
                  </w14:solidFill>
                </w14:textFill>
              </w:rPr>
            </m:ctrlPr>
          </m:sub>
        </m:sSub>
        <m:r>
          <m:rPr/>
          <w:rPr>
            <w:rFonts w:ascii="Cambria Math"/>
            <w:color w:val="000000" w:themeColor="text1"/>
            <w:szCs w:val="21"/>
            <w14:textFill>
              <w14:solidFill>
                <w14:schemeClr w14:val="tx1"/>
              </w14:solidFill>
            </w14:textFill>
          </w:rPr>
          <m:t>=</m:t>
        </m:r>
        <m:nary>
          <m:naryPr>
            <m:chr m:val="∑"/>
            <m:limLoc m:val="undOvr"/>
            <m:ctrlPr>
              <w:rPr>
                <w:rFonts w:ascii="Cambria Math" w:hAnsi="Cambria Math"/>
                <w:i/>
                <w:color w:val="000000" w:themeColor="text1"/>
                <w:szCs w:val="21"/>
                <w14:textFill>
                  <w14:solidFill>
                    <w14:schemeClr w14:val="tx1"/>
                  </w14:solidFill>
                </w14:textFill>
              </w:rPr>
            </m:ctrlPr>
          </m:naryPr>
          <m:sub>
            <m:r>
              <m:rPr/>
              <w:rPr>
                <w:rFonts w:hint="eastAsia" w:ascii="Cambria Math"/>
                <w:color w:val="000000" w:themeColor="text1"/>
                <w:szCs w:val="21"/>
                <w14:textFill>
                  <w14:solidFill>
                    <w14:schemeClr w14:val="tx1"/>
                  </w14:solidFill>
                </w14:textFill>
              </w:rPr>
              <m:t>j+1</m:t>
            </m:r>
            <m:ctrlPr>
              <w:rPr>
                <w:rFonts w:ascii="Cambria Math" w:hAnsi="Cambria Math"/>
                <w:i/>
                <w:color w:val="000000" w:themeColor="text1"/>
                <w:szCs w:val="21"/>
                <w14:textFill>
                  <w14:solidFill>
                    <w14:schemeClr w14:val="tx1"/>
                  </w14:solidFill>
                </w14:textFill>
              </w:rPr>
            </m:ctrlPr>
          </m:sub>
          <m:sup>
            <m:r>
              <m:rPr/>
              <w:rPr>
                <w:rFonts w:ascii="Cambria Math"/>
                <w:color w:val="000000" w:themeColor="text1"/>
                <w:szCs w:val="21"/>
                <w14:textFill>
                  <w14:solidFill>
                    <w14:schemeClr w14:val="tx1"/>
                  </w14:solidFill>
                </w14:textFill>
              </w:rPr>
              <m:t>n+1</m:t>
            </m:r>
            <m:ctrlPr>
              <w:rPr>
                <w:rFonts w:ascii="Cambria Math" w:hAnsi="Cambria Math"/>
                <w:i/>
                <w:color w:val="000000" w:themeColor="text1"/>
                <w:szCs w:val="21"/>
                <w14:textFill>
                  <w14:solidFill>
                    <w14:schemeClr w14:val="tx1"/>
                  </w14:solidFill>
                </w14:textFill>
              </w:rPr>
            </m:ctrlPr>
          </m:sup>
          <m:e>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l</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i</m:t>
                </m:r>
                <m:ctrlPr>
                  <w:rPr>
                    <w:rFonts w:ascii="Cambria Math" w:hAnsi="Cambria Math"/>
                    <w:i/>
                    <w:color w:val="000000" w:themeColor="text1"/>
                    <w:szCs w:val="21"/>
                    <w14:textFill>
                      <w14:solidFill>
                        <w14:schemeClr w14:val="tx1"/>
                      </w14:solidFill>
                    </w14:textFill>
                  </w:rPr>
                </m:ctrlPr>
              </m:sub>
            </m:sSub>
            <m:ctrlPr>
              <w:rPr>
                <w:rFonts w:ascii="Cambria Math" w:hAnsi="Cambria Math" w:cs="Times New Roman"/>
                <w:i/>
                <w:color w:val="000000" w:themeColor="text1"/>
                <w:szCs w:val="21"/>
                <w14:textFill>
                  <w14:solidFill>
                    <w14:schemeClr w14:val="tx1"/>
                  </w14:solidFill>
                </w14:textFill>
              </w:rPr>
            </m:ctrlPr>
          </m:e>
        </m:nary>
      </m:oMath>
      <w:r>
        <w:rPr>
          <w:rFonts w:ascii="Times New Roman" w:hAnsi="Times New Roman" w:cs="Times New Roman"/>
          <w:color w:val="000000" w:themeColor="text1"/>
          <w:szCs w:val="21"/>
          <w14:textFill>
            <w14:solidFill>
              <w14:schemeClr w14:val="tx1"/>
            </w14:solidFill>
          </w14:textFill>
        </w:rPr>
        <w:t xml:space="preserve">            (A.1-2)</w:t>
      </w:r>
    </w:p>
    <w:p>
      <w:pPr>
        <w:spacing w:line="360" w:lineRule="auto"/>
        <w:jc w:val="center"/>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式中：</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r>
          <m:rPr/>
          <w:rPr>
            <w:rFonts w:ascii="Cambria Math"/>
            <w:color w:val="000000" w:themeColor="text1"/>
            <w:szCs w:val="21"/>
            <w14:textFill>
              <w14:solidFill>
                <w14:schemeClr w14:val="tx1"/>
              </w14:solidFill>
            </w14:textFill>
          </w:rPr>
          <m:t xml:space="preserve"> </m:t>
        </m:r>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l</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u</m:t>
            </m:r>
            <m:ctrlPr>
              <w:rPr>
                <w:rFonts w:ascii="Cambria Math" w:hAnsi="Cambria Math"/>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——上段桩长度（</w:t>
      </w:r>
      <w:r>
        <w:rPr>
          <w:rFonts w:ascii="Times New Roman" w:hAnsi="Times New Roman" w:cs="Times New Roman"/>
          <w:color w:val="000000" w:themeColor="text1"/>
          <w:szCs w:val="21"/>
          <w14:textFill>
            <w14:solidFill>
              <w14:schemeClr w14:val="tx1"/>
            </w14:solidFill>
          </w14:textFill>
        </w:rPr>
        <w:t>m</w:t>
      </w:r>
      <w:r>
        <w:rPr>
          <w:rFonts w:hint="eastAsia" w:ascii="Times New Roman" w:hAnsi="Times New Roman" w:cs="Times New Roman"/>
          <w:color w:val="000000" w:themeColor="text1"/>
          <w:szCs w:val="21"/>
          <w14:textFill>
            <w14:solidFill>
              <w14:schemeClr w14:val="tx1"/>
            </w14:solidFill>
          </w14:textFill>
        </w:rPr>
        <w:t>），按照A</w:t>
      </w:r>
      <w:r>
        <w:rPr>
          <w:rFonts w:ascii="Times New Roman" w:hAnsi="Times New Roman" w:cs="Times New Roman"/>
          <w:color w:val="000000" w:themeColor="text1"/>
          <w:szCs w:val="21"/>
          <w14:textFill>
            <w14:solidFill>
              <w14:schemeClr w14:val="tx1"/>
            </w14:solidFill>
          </w14:textFill>
        </w:rPr>
        <w:t>.2-1</w:t>
      </w:r>
      <w:r>
        <w:rPr>
          <w:rFonts w:hint="eastAsia" w:ascii="Times New Roman" w:hAnsi="Times New Roman" w:cs="Times New Roman"/>
          <w:color w:val="000000" w:themeColor="text1"/>
          <w:szCs w:val="21"/>
          <w14:textFill>
            <w14:solidFill>
              <w14:schemeClr w14:val="tx1"/>
            </w14:solidFill>
          </w14:textFill>
        </w:rPr>
        <w:t>公式确定；</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l</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d</m:t>
            </m:r>
            <m:ctrlPr>
              <w:rPr>
                <w:rFonts w:ascii="Cambria Math" w:hAnsi="Cambria Math"/>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——下段桩长度（</w:t>
      </w:r>
      <w:r>
        <w:rPr>
          <w:rFonts w:ascii="Times New Roman" w:hAnsi="Times New Roman" w:cs="Times New Roman"/>
          <w:color w:val="000000" w:themeColor="text1"/>
          <w:szCs w:val="21"/>
          <w14:textFill>
            <w14:solidFill>
              <w14:schemeClr w14:val="tx1"/>
            </w14:solidFill>
          </w14:textFill>
        </w:rPr>
        <w:t>m</w:t>
      </w:r>
      <w:r>
        <w:rPr>
          <w:rFonts w:hint="eastAsia" w:ascii="Times New Roman" w:hAnsi="Times New Roman" w:cs="Times New Roman"/>
          <w:color w:val="000000" w:themeColor="text1"/>
          <w:szCs w:val="21"/>
          <w14:textFill>
            <w14:solidFill>
              <w14:schemeClr w14:val="tx1"/>
            </w14:solidFill>
          </w14:textFill>
        </w:rPr>
        <w:t>），按照A</w:t>
      </w:r>
      <w:r>
        <w:rPr>
          <w:rFonts w:ascii="Times New Roman" w:hAnsi="Times New Roman" w:cs="Times New Roman"/>
          <w:color w:val="000000" w:themeColor="text1"/>
          <w:szCs w:val="21"/>
          <w14:textFill>
            <w14:solidFill>
              <w14:schemeClr w14:val="tx1"/>
            </w14:solidFill>
          </w14:textFill>
        </w:rPr>
        <w:t>.2-1</w:t>
      </w:r>
      <w:r>
        <w:rPr>
          <w:rFonts w:hint="eastAsia" w:ascii="Times New Roman" w:hAnsi="Times New Roman" w:cs="Times New Roman"/>
          <w:color w:val="000000" w:themeColor="text1"/>
          <w:szCs w:val="21"/>
          <w14:textFill>
            <w14:solidFill>
              <w14:schemeClr w14:val="tx1"/>
            </w14:solidFill>
          </w14:textFill>
        </w:rPr>
        <w:t>公式确定；</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iCs/>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l</m:t>
            </m:r>
            <m:ctrlPr>
              <w:rPr>
                <w:rFonts w:ascii="Cambria Math" w:hAnsi="Cambria Math"/>
                <w:iCs/>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i</m:t>
            </m:r>
            <m:ctrlPr>
              <w:rPr>
                <w:rFonts w:ascii="Cambria Math" w:hAnsi="Cambria Math"/>
                <w:iCs/>
                <w:color w:val="000000" w:themeColor="text1"/>
                <w:szCs w:val="21"/>
                <w14:textFill>
                  <w14:solidFill>
                    <w14:schemeClr w14:val="tx1"/>
                  </w14:solidFill>
                </w14:textFill>
              </w:rPr>
            </m:ctrlPr>
          </m:sub>
        </m:sSub>
      </m:oMath>
      <w:r>
        <w:rPr>
          <w:rFonts w:ascii="宋体" w:hAnsi="宋体" w:eastAsia="宋体" w:cs="Times New Roman"/>
          <w:color w:val="000000" w:themeColor="text1"/>
          <w:szCs w:val="21"/>
          <w14:textFill>
            <w14:solidFill>
              <w14:schemeClr w14:val="tx1"/>
            </w14:solidFill>
          </w14:textFill>
        </w:rPr>
        <w:t>——</w:t>
      </w:r>
      <w:r>
        <w:rPr>
          <w:rFonts w:hint="eastAsia" w:ascii="宋体" w:hAnsi="宋体" w:eastAsia="宋体" w:cs="Times New Roman"/>
          <w:color w:val="000000" w:themeColor="text1"/>
          <w:szCs w:val="21"/>
          <w14:textFill>
            <w14:solidFill>
              <w14:schemeClr w14:val="tx1"/>
            </w14:solidFill>
          </w14:textFill>
        </w:rPr>
        <w:t>第i层土的厚度</w:t>
      </w:r>
      <w:r>
        <w:rPr>
          <w:rFonts w:ascii="宋体" w:hAnsi="宋体" w:eastAsia="宋体" w:cs="Times New Roman"/>
          <w:color w:val="000000" w:themeColor="text1"/>
          <w:szCs w:val="21"/>
          <w14:textFill>
            <w14:solidFill>
              <w14:schemeClr w14:val="tx1"/>
            </w14:solidFill>
          </w14:textFill>
        </w:rPr>
        <w:t>（</w:t>
      </w:r>
      <w:r>
        <w:rPr>
          <w:rFonts w:hint="eastAsia" w:ascii="宋体" w:hAnsi="宋体" w:eastAsia="宋体" w:cs="Times New Roman"/>
          <w:color w:val="000000" w:themeColor="text1"/>
          <w:szCs w:val="21"/>
          <w14:textFill>
            <w14:solidFill>
              <w14:schemeClr w14:val="tx1"/>
            </w14:solidFill>
          </w14:textFill>
        </w:rPr>
        <w:t>m</w:t>
      </w:r>
      <w:r>
        <w:rPr>
          <w:rFonts w:ascii="宋体" w:hAnsi="宋体" w:eastAsia="宋体" w:cs="Times New Roman"/>
          <w:color w:val="000000" w:themeColor="text1"/>
          <w:szCs w:val="21"/>
          <w14:textFill>
            <w14:solidFill>
              <w14:schemeClr w14:val="tx1"/>
            </w14:solidFill>
          </w14:textFill>
        </w:rPr>
        <w:t>）；</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r>
          <m:rPr/>
          <w:rPr>
            <w:rFonts w:ascii="Cambria Math"/>
            <w:color w:val="000000" w:themeColor="text1"/>
            <w:szCs w:val="21"/>
            <w14:textFill>
              <w14:solidFill>
                <w14:schemeClr w14:val="tx1"/>
              </w14:solidFill>
            </w14:textFill>
          </w:rPr>
          <m:t>n</m:t>
        </m:r>
      </m:oMath>
      <w:r>
        <w:rPr>
          <w:rFonts w:hint="eastAsia" w:ascii="Times New Roman" w:hAnsi="Times New Roman" w:cs="Times New Roman"/>
          <w:color w:val="000000" w:themeColor="text1"/>
          <w:szCs w:val="21"/>
          <w14:textFill>
            <w14:solidFill>
              <w14:schemeClr w14:val="tx1"/>
            </w14:solidFill>
          </w14:textFill>
        </w:rPr>
        <w:t>——桩穿越土层数；</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r>
          <m:rPr/>
          <w:rPr>
            <w:rFonts w:ascii="Cambria Math"/>
            <w:color w:val="000000" w:themeColor="text1"/>
            <w:szCs w:val="21"/>
            <w14:textFill>
              <w14:solidFill>
                <w14:schemeClr w14:val="tx1"/>
              </w14:solidFill>
            </w14:textFill>
          </w:rPr>
          <m:t>j</m:t>
        </m:r>
      </m:oMath>
      <w:r>
        <w:rPr>
          <w:rFonts w:hint="eastAsia" w:ascii="Times New Roman" w:hAnsi="Times New Roman" w:cs="Times New Roman"/>
          <w:color w:val="000000" w:themeColor="text1"/>
          <w:szCs w:val="21"/>
          <w14:textFill>
            <w14:solidFill>
              <w14:schemeClr w14:val="tx1"/>
            </w14:solidFill>
          </w14:textFill>
        </w:rPr>
        <w:t>——平衡点所在的土层序号。</w:t>
      </w:r>
    </w:p>
    <w:p>
      <w:pPr>
        <w:spacing w:line="360" w:lineRule="auto"/>
        <w:rPr>
          <w:rFonts w:ascii="Times New Roman" w:hAnsi="Times New Roman" w:cs="Times New Roman"/>
          <w:color w:val="000000" w:themeColor="text1"/>
          <w:szCs w:val="21"/>
          <w14:textFill>
            <w14:solidFill>
              <w14:schemeClr w14:val="tx1"/>
            </w14:solidFill>
          </w14:textFill>
        </w:rPr>
      </w:pPr>
      <w:bookmarkStart w:id="120" w:name="_Toc154757387"/>
      <w:bookmarkStart w:id="121" w:name="_Toc154934733"/>
      <w:bookmarkStart w:id="122" w:name="_Toc165274027"/>
      <w:r>
        <w:rPr>
          <w:rStyle w:val="39"/>
          <w:rFonts w:hint="eastAsia"/>
          <w:color w:val="000000" w:themeColor="text1"/>
          <w14:textFill>
            <w14:solidFill>
              <w14:schemeClr w14:val="tx1"/>
            </w14:solidFill>
          </w14:textFill>
        </w:rPr>
        <w:t>A.</w:t>
      </w:r>
      <w:r>
        <w:rPr>
          <w:rStyle w:val="39"/>
          <w:color w:val="000000" w:themeColor="text1"/>
          <w14:textFill>
            <w14:solidFill>
              <w14:schemeClr w14:val="tx1"/>
            </w14:solidFill>
          </w14:textFill>
        </w:rPr>
        <w:t xml:space="preserve">2 </w:t>
      </w:r>
      <w:r>
        <w:rPr>
          <w:rStyle w:val="39"/>
          <w:rFonts w:hint="eastAsia"/>
          <w:color w:val="000000" w:themeColor="text1"/>
          <w14:textFill>
            <w14:solidFill>
              <w14:schemeClr w14:val="tx1"/>
            </w14:solidFill>
          </w14:textFill>
        </w:rPr>
        <w:t>上段桩长度、下段桩长度确定</w:t>
      </w:r>
      <w:bookmarkEnd w:id="120"/>
      <w:bookmarkEnd w:id="121"/>
      <w:bookmarkEnd w:id="122"/>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根据勘察阶段所获得的桩侧及桩端岩土层的物理力学指标，依据现行行业标准《建筑桩基技术规范》（JGJ</w:t>
      </w:r>
      <w:r>
        <w:rPr>
          <w:rFonts w:ascii="Times New Roman" w:hAnsi="Times New Roman" w:cs="Times New Roman"/>
          <w:color w:val="000000" w:themeColor="text1"/>
          <w:szCs w:val="21"/>
          <w14:textFill>
            <w14:solidFill>
              <w14:schemeClr w14:val="tx1"/>
            </w14:solidFill>
          </w14:textFill>
        </w:rPr>
        <w:t xml:space="preserve"> 94</w:t>
      </w:r>
      <w:r>
        <w:rPr>
          <w:rFonts w:hint="eastAsia" w:ascii="Times New Roman" w:hAnsi="Times New Roman" w:cs="Times New Roman"/>
          <w:color w:val="000000" w:themeColor="text1"/>
          <w:szCs w:val="21"/>
          <w14:textFill>
            <w14:solidFill>
              <w14:schemeClr w14:val="tx1"/>
            </w14:solidFill>
          </w14:textFill>
        </w:rPr>
        <w:t>）确定上段桩长度</w:t>
      </w:r>
      <m:oMath>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l</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u</m:t>
            </m:r>
            <m:ctrlPr>
              <w:rPr>
                <w:rFonts w:ascii="Cambria Math" w:hAnsi="Cambria Math"/>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、下段桩长度</w:t>
      </w:r>
      <m:oMath>
        <m:sSub>
          <m:sSubPr>
            <m:ctrlPr>
              <w:rPr>
                <w:rFonts w:ascii="Cambria Math" w:hAnsi="Cambria Math"/>
                <w:i/>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l</m:t>
            </m:r>
            <m:ctrlPr>
              <w:rPr>
                <w:rFonts w:ascii="Cambria Math" w:hAnsi="Cambria Math"/>
                <w:i/>
                <w:color w:val="000000" w:themeColor="text1"/>
                <w:szCs w:val="21"/>
                <w14:textFill>
                  <w14:solidFill>
                    <w14:schemeClr w14:val="tx1"/>
                  </w14:solidFill>
                </w14:textFill>
              </w:rPr>
            </m:ctrlPr>
          </m:e>
          <m:sub>
            <m:r>
              <m:rPr>
                <m:sty m:val="p"/>
              </m:rPr>
              <w:rPr>
                <w:rFonts w:ascii="Cambria Math"/>
                <w:color w:val="000000" w:themeColor="text1"/>
                <w:szCs w:val="21"/>
                <w14:textFill>
                  <w14:solidFill>
                    <w14:schemeClr w14:val="tx1"/>
                  </w14:solidFill>
                </w14:textFill>
              </w:rPr>
              <m:t>d</m:t>
            </m:r>
            <m:ctrlPr>
              <w:rPr>
                <w:rFonts w:ascii="Cambria Math" w:hAnsi="Cambria Math"/>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，按照下式计算：</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r>
          <m:rPr/>
          <w:rPr>
            <w:rFonts w:ascii="Cambria Math" w:hAnsi="Cambria Math" w:cs="Times New Roman"/>
            <w:color w:val="000000" w:themeColor="text1"/>
            <w:szCs w:val="21"/>
            <w14:textFill>
              <w14:solidFill>
                <w14:schemeClr w14:val="tx1"/>
              </w14:solidFill>
            </w14:textFill>
          </w:rPr>
          <m:t>u</m:t>
        </m:r>
        <m:nary>
          <m:naryPr>
            <m:chr m:val="∑"/>
            <m:limLoc m:val="undOvr"/>
            <m:ctrlPr>
              <w:rPr>
                <w:rFonts w:ascii="Cambria Math" w:hAnsi="Cambria Math" w:cs="Times New Roman"/>
                <w:i/>
                <w:color w:val="000000" w:themeColor="text1"/>
                <w:szCs w:val="21"/>
                <w14:textFill>
                  <w14:solidFill>
                    <w14:schemeClr w14:val="tx1"/>
                  </w14:solidFill>
                </w14:textFill>
              </w:rPr>
            </m:ctrlPr>
          </m:naryPr>
          <m:sub>
            <m:r>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sub>
          <m:sup>
            <m:r>
              <m:rPr/>
              <w:rPr>
                <w:rFonts w:ascii="Cambria Math" w:hAnsi="Cambria Math" w:cs="Times New Roman"/>
                <w:color w:val="000000" w:themeColor="text1"/>
                <w:szCs w:val="21"/>
                <w14:textFill>
                  <w14:solidFill>
                    <w14:schemeClr w14:val="tx1"/>
                  </w14:solidFill>
                </w14:textFill>
              </w:rPr>
              <m:t>j</m:t>
            </m:r>
            <m:ctrlPr>
              <w:rPr>
                <w:rFonts w:ascii="Cambria Math" w:hAnsi="Cambria Math" w:cs="Times New Roman"/>
                <w:i/>
                <w:color w:val="000000" w:themeColor="text1"/>
                <w:szCs w:val="21"/>
                <w14:textFill>
                  <w14:solidFill>
                    <w14:schemeClr w14:val="tx1"/>
                  </w14:solidFill>
                </w14:textFill>
              </w:rPr>
            </m:ctrlPr>
          </m:sup>
          <m:e>
            <m:sSub>
              <m:sSubPr>
                <m:ctrlPr>
                  <w:rPr>
                    <w:rFonts w:ascii="Cambria Math" w:hAnsi="Cambria Math" w:cs="Times New Roman"/>
                    <w:i/>
                    <w:color w:val="000000" w:themeColor="text1"/>
                    <w:szCs w:val="21"/>
                    <w14:textFill>
                      <w14:solidFill>
                        <w14:schemeClr w14:val="tx1"/>
                      </w14:solidFill>
                    </w14:textFill>
                  </w:rPr>
                </m:ctrlPr>
              </m:sSubPr>
              <m:e>
                <w:bookmarkStart w:id="123" w:name="_Hlk152748201"/>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sik</m:t>
                </m:r>
                <w:bookmarkEnd w:id="123"/>
                <m:ctrlPr>
                  <w:rPr>
                    <w:rFonts w:ascii="Cambria Math" w:hAnsi="Cambria Math" w:cs="Times New Roman"/>
                    <w:i/>
                    <w:color w:val="000000" w:themeColor="text1"/>
                    <w:szCs w:val="21"/>
                    <w14:textFill>
                      <w14:solidFill>
                        <w14:schemeClr w14:val="tx1"/>
                      </w14:solidFill>
                    </w14:textFill>
                  </w:rPr>
                </m:ctrlPr>
              </m:sub>
            </m:sSub>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l</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ctrlPr>
              <w:rPr>
                <w:rFonts w:ascii="Cambria Math" w:hAnsi="Cambria Math" w:cs="Times New Roman"/>
                <w:i/>
                <w:color w:val="000000" w:themeColor="text1"/>
                <w:szCs w:val="21"/>
                <w14:textFill>
                  <w14:solidFill>
                    <w14:schemeClr w14:val="tx1"/>
                  </w14:solidFill>
                </w14:textFill>
              </w:rPr>
            </m:ctrlPr>
          </m:e>
        </m:nary>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G</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p</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=u</m:t>
        </m:r>
        <m:nary>
          <m:naryPr>
            <m:chr m:val="∑"/>
            <m:limLoc m:val="undOvr"/>
            <m:ctrlPr>
              <w:rPr>
                <w:rFonts w:ascii="Cambria Math" w:hAnsi="Cambria Math" w:cs="Times New Roman"/>
                <w:i/>
                <w:color w:val="000000" w:themeColor="text1"/>
                <w:szCs w:val="21"/>
                <w14:textFill>
                  <w14:solidFill>
                    <w14:schemeClr w14:val="tx1"/>
                  </w14:solidFill>
                </w14:textFill>
              </w:rPr>
            </m:ctrlPr>
          </m:naryPr>
          <m:sub>
            <m:r>
              <m:rPr/>
              <w:rPr>
                <w:rFonts w:ascii="Cambria Math" w:hAnsi="Cambria Math" w:cs="Times New Roman"/>
                <w:color w:val="000000" w:themeColor="text1"/>
                <w:szCs w:val="21"/>
                <w14:textFill>
                  <w14:solidFill>
                    <w14:schemeClr w14:val="tx1"/>
                  </w14:solidFill>
                </w14:textFill>
              </w:rPr>
              <m:t>j+1</m:t>
            </m:r>
            <m:ctrlPr>
              <w:rPr>
                <w:rFonts w:ascii="Cambria Math" w:hAnsi="Cambria Math" w:cs="Times New Roman"/>
                <w:i/>
                <w:color w:val="000000" w:themeColor="text1"/>
                <w:szCs w:val="21"/>
                <w14:textFill>
                  <w14:solidFill>
                    <w14:schemeClr w14:val="tx1"/>
                  </w14:solidFill>
                </w14:textFill>
              </w:rPr>
            </m:ctrlPr>
          </m:sub>
          <m:sup>
            <m:r>
              <m:rPr/>
              <w:rPr>
                <w:rFonts w:ascii="Cambria Math" w:hAnsi="Cambria Math" w:cs="Times New Roman"/>
                <w:color w:val="000000" w:themeColor="text1"/>
                <w:szCs w:val="21"/>
                <w14:textFill>
                  <w14:solidFill>
                    <w14:schemeClr w14:val="tx1"/>
                  </w14:solidFill>
                </w14:textFill>
              </w:rPr>
              <m:t>n+1</m:t>
            </m:r>
            <m:ctrlPr>
              <w:rPr>
                <w:rFonts w:ascii="Cambria Math" w:hAnsi="Cambria Math" w:cs="Times New Roman"/>
                <w:i/>
                <w:color w:val="000000" w:themeColor="text1"/>
                <w:szCs w:val="21"/>
                <w14:textFill>
                  <w14:solidFill>
                    <w14:schemeClr w14:val="tx1"/>
                  </w14:solidFill>
                </w14:textFill>
              </w:rPr>
            </m:ctrlPr>
          </m:sup>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sik</m:t>
                </m:r>
                <m:ctrlPr>
                  <w:rPr>
                    <w:rFonts w:ascii="Cambria Math" w:hAnsi="Cambria Math" w:cs="Times New Roman"/>
                    <w:i/>
                    <w:color w:val="000000" w:themeColor="text1"/>
                    <w:szCs w:val="21"/>
                    <w14:textFill>
                      <w14:solidFill>
                        <w14:schemeClr w14:val="tx1"/>
                      </w14:solidFill>
                    </w14:textFill>
                  </w:rPr>
                </m:ctrlPr>
              </m:sub>
            </m:sSub>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l</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ctrlPr>
              <w:rPr>
                <w:rFonts w:ascii="Cambria Math" w:hAnsi="Cambria Math" w:cs="Times New Roman"/>
                <w:i/>
                <w:color w:val="000000" w:themeColor="text1"/>
                <w:szCs w:val="21"/>
                <w14:textFill>
                  <w14:solidFill>
                    <w14:schemeClr w14:val="tx1"/>
                  </w14:solidFill>
                </w14:textFill>
              </w:rPr>
            </m:ctrlPr>
          </m:e>
        </m:nary>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pk</m:t>
            </m:r>
            <m:ctrlPr>
              <w:rPr>
                <w:rFonts w:ascii="Cambria Math" w:hAnsi="Cambria Math" w:cs="Times New Roman"/>
                <w:i/>
                <w:color w:val="000000" w:themeColor="text1"/>
                <w:szCs w:val="21"/>
                <w14:textFill>
                  <w14:solidFill>
                    <w14:schemeClr w14:val="tx1"/>
                  </w14:solidFill>
                </w14:textFill>
              </w:rPr>
            </m:ctrlPr>
          </m:sub>
        </m:sSub>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A</m:t>
            </m:r>
            <m:ctrlPr>
              <w:rPr>
                <w:rFonts w:ascii="Cambria Math" w:hAnsi="Cambria Math" w:cs="Times New Roman"/>
                <w:i/>
                <w:color w:val="000000" w:themeColor="text1"/>
                <w:szCs w:val="21"/>
                <w14:textFill>
                  <w14:solidFill>
                    <w14:schemeClr w14:val="tx1"/>
                  </w14:solidFill>
                </w14:textFill>
              </w:rPr>
            </m:ctrlPr>
          </m:e>
          <m:sub>
            <m:r>
              <m:rPr>
                <m:sty m:val="p"/>
              </m:rPr>
              <w:rPr>
                <w:rFonts w:hint="eastAsia" w:ascii="Cambria Math" w:hAnsi="Cambria Math" w:cs="Times New Roman"/>
                <w:color w:val="000000" w:themeColor="text1"/>
                <w:szCs w:val="21"/>
                <w14:textFill>
                  <w14:solidFill>
                    <w14:schemeClr w14:val="tx1"/>
                  </w14:solidFill>
                </w14:textFill>
              </w:rPr>
              <m:t>p</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 xml:space="preserve">       (A.2-1)</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式中：</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r>
          <m:rPr/>
          <w:rPr>
            <w:rFonts w:ascii="Cambria Math"/>
            <w:color w:val="000000" w:themeColor="text1"/>
            <w:szCs w:val="21"/>
            <w14:textFill>
              <w14:solidFill>
                <w14:schemeClr w14:val="tx1"/>
              </w14:solidFill>
            </w14:textFill>
          </w:rPr>
          <m:t xml:space="preserve"> u</m:t>
        </m:r>
      </m:oMath>
      <w:r>
        <w:rPr>
          <w:rFonts w:hint="eastAsia" w:ascii="Times New Roman" w:hAnsi="Times New Roman" w:cs="Times New Roman"/>
          <w:color w:val="000000" w:themeColor="text1"/>
          <w:szCs w:val="21"/>
          <w14:textFill>
            <w14:solidFill>
              <w14:schemeClr w14:val="tx1"/>
            </w14:solidFill>
          </w14:textFill>
        </w:rPr>
        <w:t>——桩截面周长（</w:t>
      </w:r>
      <w:r>
        <w:rPr>
          <w:rFonts w:ascii="Times New Roman" w:hAnsi="Times New Roman" w:cs="Times New Roman"/>
          <w:color w:val="000000" w:themeColor="text1"/>
          <w:szCs w:val="21"/>
          <w14:textFill>
            <w14:solidFill>
              <w14:schemeClr w14:val="tx1"/>
            </w14:solidFill>
          </w14:textFill>
        </w:rPr>
        <w:t>m</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m:oMath>
        <m:r>
          <m:rPr/>
          <w:rPr>
            <w:rFonts w:ascii="Cambria Math" w:hAnsi="Cambria Math" w:cs="Times New Roman"/>
            <w:color w:val="000000" w:themeColor="text1"/>
            <w:szCs w:val="21"/>
            <w14:textFill>
              <w14:solidFill>
                <w14:schemeClr w14:val="tx1"/>
              </w14:solidFill>
            </w14:textFill>
          </w:rPr>
          <m:t xml:space="preserve">          </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A</m:t>
            </m:r>
            <m:ctrlPr>
              <w:rPr>
                <w:rFonts w:ascii="Cambria Math" w:hAnsi="Cambria Math" w:cs="Times New Roman"/>
                <w:i/>
                <w:color w:val="000000" w:themeColor="text1"/>
                <w:szCs w:val="21"/>
                <w14:textFill>
                  <w14:solidFill>
                    <w14:schemeClr w14:val="tx1"/>
                  </w14:solidFill>
                </w14:textFill>
              </w:rPr>
            </m:ctrlPr>
          </m:e>
          <m:sub>
            <m:r>
              <m:rPr>
                <m:sty m:val="p"/>
              </m:rPr>
              <w:rPr>
                <w:rFonts w:hint="eastAsia" w:ascii="Cambria Math" w:hAnsi="Cambria Math" w:cs="Times New Roman"/>
                <w:color w:val="000000" w:themeColor="text1"/>
                <w:szCs w:val="21"/>
                <w14:textFill>
                  <w14:solidFill>
                    <w14:schemeClr w14:val="tx1"/>
                  </w14:solidFill>
                </w14:textFill>
              </w:rPr>
              <m:t>p</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——桩端面积（</w:t>
      </w:r>
      <m:oMath>
        <m:sSup>
          <m:sSupPr>
            <m:ctrlPr>
              <w:rPr>
                <w:rFonts w:ascii="Cambria Math" w:hAnsi="Cambria Math" w:cs="Times New Roman"/>
                <w:i/>
                <w:color w:val="000000" w:themeColor="text1"/>
                <w:szCs w:val="21"/>
                <w14:textFill>
                  <w14:solidFill>
                    <w14:schemeClr w14:val="tx1"/>
                  </w14:solidFill>
                </w14:textFill>
              </w:rPr>
            </m:ctrlPr>
          </m:sSupPr>
          <m:e>
            <m:r>
              <m:rPr>
                <m:sty m:val="p"/>
              </m:rPr>
              <w:rPr>
                <w:rFonts w:ascii="Cambria Math" w:hAnsi="Cambria Math" w:cs="Times New Roman"/>
                <w:color w:val="000000" w:themeColor="text1"/>
                <w:szCs w:val="21"/>
                <w14:textFill>
                  <w14:solidFill>
                    <w14:schemeClr w14:val="tx1"/>
                  </w14:solidFill>
                </w14:textFill>
              </w:rPr>
              <m:t>m</m:t>
            </m:r>
            <m:ctrlPr>
              <w:rPr>
                <w:rFonts w:ascii="Cambria Math" w:hAnsi="Cambria Math" w:cs="Times New Roman"/>
                <w:i/>
                <w:color w:val="000000" w:themeColor="text1"/>
                <w:szCs w:val="21"/>
                <w14:textFill>
                  <w14:solidFill>
                    <w14:schemeClr w14:val="tx1"/>
                  </w14:solidFill>
                </w14:textFill>
              </w:rPr>
            </m:ctrlPr>
          </m:e>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p>
      </m:oMath>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 xml:space="preserve">    </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——负摩阻力转换为正摩阻力的转换系数；</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sik</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——桩侧第</w:t>
      </w:r>
      <w:r>
        <w:rPr>
          <w:rFonts w:ascii="Times New Roman" w:hAnsi="Times New Roman" w:cs="Times New Roman"/>
          <w:i/>
          <w:iCs/>
          <w:color w:val="000000" w:themeColor="text1"/>
          <w:szCs w:val="21"/>
          <w14:textFill>
            <w14:solidFill>
              <w14:schemeClr w14:val="tx1"/>
            </w14:solidFill>
          </w14:textFill>
        </w:rPr>
        <w:t>i</w:t>
      </w:r>
      <w:r>
        <w:rPr>
          <w:rFonts w:hint="eastAsia" w:ascii="Times New Roman" w:hAnsi="Times New Roman" w:cs="Times New Roman"/>
          <w:color w:val="000000" w:themeColor="text1"/>
          <w:szCs w:val="21"/>
          <w14:textFill>
            <w14:solidFill>
              <w14:schemeClr w14:val="tx1"/>
            </w14:solidFill>
          </w14:textFill>
        </w:rPr>
        <w:t>层土的极限侧阻力标准值（kPa）；</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pk</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——极限端阻力标准值（kPa）。</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pStyle w:val="40"/>
        <w:rPr>
          <w:color w:val="404040" w:themeColor="text1" w:themeTint="BF"/>
          <w14:textFill>
            <w14:solidFill>
              <w14:schemeClr w14:val="tx1">
                <w14:lumMod w14:val="75000"/>
                <w14:lumOff w14:val="25000"/>
              </w14:schemeClr>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bookmarkStart w:id="124" w:name="_Toc154757388"/>
      <w:bookmarkStart w:id="125" w:name="_Toc165274028"/>
      <w:bookmarkStart w:id="126" w:name="_Toc154934734"/>
      <w:r>
        <w:rPr>
          <w:color w:val="000000" w:themeColor="text1"/>
          <w14:textFill>
            <w14:solidFill>
              <w14:schemeClr w14:val="tx1"/>
            </w14:solidFill>
          </w14:textFill>
        </w:rPr>
        <w:t>附录B  检测系统的安装与连接</w:t>
      </w:r>
      <w:bookmarkEnd w:id="124"/>
      <w:bookmarkEnd w:id="125"/>
      <w:bookmarkEnd w:id="126"/>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B.1</w:t>
      </w:r>
      <w:r>
        <w:rPr>
          <w:rFonts w:hint="eastAsia" w:ascii="Times New Roman" w:hAnsi="Times New Roman" w:cs="Times New Roman"/>
          <w:color w:val="000000" w:themeColor="text1"/>
          <w:szCs w:val="21"/>
          <w14:textFill>
            <w14:solidFill>
              <w14:schemeClr w14:val="tx1"/>
            </w14:solidFill>
          </w14:textFill>
        </w:rPr>
        <w:t xml:space="preserve"> 自锚试桩法试验中受检桩检测系统的安装与连接情况应符合下列规定（图B.1）：</w:t>
      </w:r>
    </w:p>
    <w:p>
      <w:pPr>
        <w:spacing w:line="360" w:lineRule="auto"/>
        <w:jc w:val="center"/>
        <w:rPr>
          <w:rFonts w:ascii="Times New Roman" w:hAnsi="Times New Roman" w:cs="Times New Roman"/>
          <w:color w:val="000000" w:themeColor="text1"/>
          <w:szCs w:val="21"/>
          <w14:textFill>
            <w14:solidFill>
              <w14:schemeClr w14:val="tx1"/>
            </w14:solidFill>
          </w14:textFill>
        </w:rPr>
      </w:pPr>
      <w:r>
        <w:drawing>
          <wp:inline distT="0" distB="0" distL="0" distR="0">
            <wp:extent cx="4198620" cy="3317240"/>
            <wp:effectExtent l="0" t="0" r="0" b="0"/>
            <wp:docPr id="18270775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077506" name="图片 1"/>
                    <pic:cNvPicPr>
                      <a:picLocks noChangeAspect="1"/>
                    </pic:cNvPicPr>
                  </pic:nvPicPr>
                  <pic:blipFill>
                    <a:blip r:embed="rId10"/>
                    <a:stretch>
                      <a:fillRect/>
                    </a:stretch>
                  </pic:blipFill>
                  <pic:spPr>
                    <a:xfrm>
                      <a:off x="0" y="0"/>
                      <a:ext cx="4212107" cy="3327696"/>
                    </a:xfrm>
                    <a:prstGeom prst="rect">
                      <a:avLst/>
                    </a:prstGeom>
                  </pic:spPr>
                </pic:pic>
              </a:graphicData>
            </a:graphic>
          </wp:inline>
        </w:drawing>
      </w: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1-基准梁；2-基准桩；3-上反力梁；4-下反力梁；5-位移传感器；</w:t>
      </w: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6-压力传感；7-千斤顶；8-锚筋；9-传力杆；10-承压板</w:t>
      </w: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图B.1 受检桩检测系统的安装与连接</w:t>
      </w:r>
    </w:p>
    <w:p>
      <w:pPr>
        <w:widowControl/>
        <w:spacing w:line="360" w:lineRule="auto"/>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2"/>
        <w:rPr>
          <w:color w:val="000000" w:themeColor="text1"/>
          <w14:textFill>
            <w14:solidFill>
              <w14:schemeClr w14:val="tx1"/>
            </w14:solidFill>
          </w14:textFill>
        </w:rPr>
      </w:pPr>
      <w:bookmarkStart w:id="127" w:name="_Toc165274029"/>
      <w:bookmarkStart w:id="128" w:name="_Toc154757389"/>
      <w:bookmarkStart w:id="129" w:name="_Toc154934735"/>
      <w:r>
        <w:rPr>
          <w:color w:val="000000" w:themeColor="text1"/>
          <w14:textFill>
            <w14:solidFill>
              <w14:schemeClr w14:val="tx1"/>
            </w14:solidFill>
          </w14:textFill>
        </w:rPr>
        <w:t>附录C  自锚试桩数据记录表</w:t>
      </w:r>
      <w:bookmarkEnd w:id="127"/>
      <w:bookmarkEnd w:id="128"/>
      <w:bookmarkEnd w:id="129"/>
    </w:p>
    <w:p>
      <w:pPr>
        <w:spacing w:line="360" w:lineRule="auto"/>
        <w:rPr>
          <w:rFonts w:ascii="Times New Roman" w:hAnsi="Times New Roman" w:cs="Times New Roman"/>
          <w:color w:val="000000" w:themeColor="text1"/>
          <w:szCs w:val="21"/>
          <w14:textFill>
            <w14:solidFill>
              <w14:schemeClr w14:val="tx1"/>
            </w14:solidFill>
          </w14:textFill>
        </w:rPr>
      </w:pPr>
      <w:bookmarkStart w:id="130" w:name="_Toc154934736"/>
      <w:bookmarkStart w:id="131" w:name="_Toc154757390"/>
      <w:bookmarkStart w:id="132" w:name="_Toc165274030"/>
      <w:r>
        <w:rPr>
          <w:rStyle w:val="39"/>
          <w:rFonts w:hint="eastAsia"/>
          <w:color w:val="000000" w:themeColor="text1"/>
          <w14:textFill>
            <w14:solidFill>
              <w14:schemeClr w14:val="tx1"/>
            </w14:solidFill>
          </w14:textFill>
        </w:rPr>
        <w:t>C.1 自锚试桩法试验的检测数据可按表C.1</w:t>
      </w:r>
      <w:bookmarkEnd w:id="130"/>
      <w:bookmarkEnd w:id="131"/>
      <w:r>
        <w:rPr>
          <w:rStyle w:val="39"/>
          <w:rFonts w:hint="eastAsia"/>
          <w:color w:val="000000" w:themeColor="text1"/>
          <w14:textFill>
            <w14:solidFill>
              <w14:schemeClr w14:val="tx1"/>
            </w14:solidFill>
          </w14:textFill>
        </w:rPr>
        <w:t>记录</w:t>
      </w:r>
      <w:bookmarkEnd w:id="132"/>
    </w:p>
    <w:p>
      <w:pPr>
        <w:spacing w:line="360" w:lineRule="auto"/>
        <w:jc w:val="center"/>
        <w:rPr>
          <w:rFonts w:ascii="黑体" w:hAnsi="黑体" w:eastAsia="黑体" w:cs="Times New Roman"/>
          <w:color w:val="000000" w:themeColor="text1"/>
          <w:szCs w:val="21"/>
          <w14:textFill>
            <w14:solidFill>
              <w14:schemeClr w14:val="tx1"/>
            </w14:solidFill>
          </w14:textFill>
        </w:rPr>
      </w:pPr>
      <w:r>
        <w:rPr>
          <w:rFonts w:hint="eastAsia" w:ascii="黑体" w:hAnsi="黑体" w:eastAsia="黑体" w:cs="Times New Roman"/>
          <w:color w:val="000000" w:themeColor="text1"/>
          <w:szCs w:val="21"/>
          <w14:textFill>
            <w14:solidFill>
              <w14:schemeClr w14:val="tx1"/>
            </w14:solidFill>
          </w14:textFill>
        </w:rPr>
        <w:t>C.1 自锚试桩法试验记录表</w:t>
      </w:r>
    </w:p>
    <w:tbl>
      <w:tblPr>
        <w:tblStyle w:val="22"/>
        <w:tblW w:w="49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3"/>
        <w:gridCol w:w="575"/>
        <w:gridCol w:w="144"/>
        <w:gridCol w:w="859"/>
        <w:gridCol w:w="713"/>
        <w:gridCol w:w="193"/>
        <w:gridCol w:w="383"/>
        <w:gridCol w:w="473"/>
        <w:gridCol w:w="433"/>
        <w:gridCol w:w="433"/>
        <w:gridCol w:w="139"/>
        <w:gridCol w:w="468"/>
        <w:gridCol w:w="299"/>
        <w:gridCol w:w="70"/>
        <w:gridCol w:w="418"/>
        <w:gridCol w:w="106"/>
        <w:gridCol w:w="433"/>
        <w:gridCol w:w="438"/>
        <w:gridCol w:w="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bookmarkStart w:id="133" w:name="_Hlk164757789"/>
            <w:r>
              <w:rPr>
                <w:rFonts w:hint="eastAsia" w:ascii="Times New Roman" w:hAnsi="Times New Roman" w:cs="Times New Roman"/>
                <w:color w:val="000000" w:themeColor="text1"/>
                <w:sz w:val="15"/>
                <w:szCs w:val="15"/>
                <w14:textFill>
                  <w14:solidFill>
                    <w14:schemeClr w14:val="tx1"/>
                  </w14:solidFill>
                </w14:textFill>
              </w:rPr>
              <w:t>工程名称</w:t>
            </w:r>
          </w:p>
        </w:tc>
        <w:tc>
          <w:tcPr>
            <w:tcW w:w="1991" w:type="pct"/>
            <w:gridSpan w:val="7"/>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99"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工程地点</w:t>
            </w:r>
          </w:p>
        </w:tc>
        <w:tc>
          <w:tcPr>
            <w:tcW w:w="1723" w:type="pct"/>
            <w:gridSpan w:val="8"/>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受检桩编号</w:t>
            </w:r>
          </w:p>
        </w:tc>
        <w:tc>
          <w:tcPr>
            <w:tcW w:w="343"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598" w:type="pct"/>
            <w:gridSpan w:val="2"/>
            <w:tcBorders>
              <w:right w:val="single" w:color="000000" w:themeColor="text1" w:sz="4" w:space="0"/>
            </w:tcBorders>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桩类型</w:t>
            </w:r>
          </w:p>
        </w:tc>
        <w:tc>
          <w:tcPr>
            <w:tcW w:w="425" w:type="pct"/>
            <w:tcBorders>
              <w:left w:val="single" w:color="000000" w:themeColor="text1" w:sz="4" w:space="0"/>
            </w:tcBorders>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625" w:type="pct"/>
            <w:gridSpan w:val="3"/>
          </w:tcPr>
          <w:p>
            <w:pPr>
              <w:spacing w:line="360" w:lineRule="auto"/>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桩径(mm)</w:t>
            </w:r>
          </w:p>
        </w:tc>
        <w:tc>
          <w:tcPr>
            <w:tcW w:w="599"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457"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桩长(m)</w:t>
            </w:r>
          </w:p>
        </w:tc>
        <w:tc>
          <w:tcPr>
            <w:tcW w:w="291"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580"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上</w:t>
            </w:r>
            <w:r>
              <w:rPr>
                <w:rFonts w:ascii="Times New Roman" w:hAnsi="Times New Roman" w:cs="Times New Roman"/>
                <w:color w:val="000000" w:themeColor="text1"/>
                <w:sz w:val="15"/>
                <w:szCs w:val="15"/>
                <w14:textFill>
                  <w14:solidFill>
                    <w14:schemeClr w14:val="tx1"/>
                  </w14:solidFill>
                </w14:textFill>
              </w:rPr>
              <w:t>段长</w:t>
            </w:r>
            <w:r>
              <w:rPr>
                <w:rFonts w:hint="eastAsia" w:ascii="Times New Roman" w:hAnsi="Times New Roman" w:cs="Times New Roman"/>
                <w:color w:val="000000" w:themeColor="text1"/>
                <w:sz w:val="15"/>
                <w:szCs w:val="15"/>
                <w14:textFill>
                  <w14:solidFill>
                    <w14:schemeClr w14:val="tx1"/>
                  </w14:solidFill>
                </w14:textFill>
              </w:rPr>
              <w:t>(</w:t>
            </w:r>
            <w:r>
              <w:rPr>
                <w:rFonts w:ascii="Times New Roman" w:hAnsi="Times New Roman" w:cs="Times New Roman"/>
                <w:color w:val="000000" w:themeColor="text1"/>
                <w:sz w:val="15"/>
                <w:szCs w:val="15"/>
                <w14:textFill>
                  <w14:solidFill>
                    <w14:schemeClr w14:val="tx1"/>
                  </w14:solidFill>
                </w14:textFill>
              </w:rPr>
              <w:t>m</w:t>
            </w:r>
            <w:r>
              <w:rPr>
                <w:rFonts w:hint="eastAsia" w:ascii="Times New Roman" w:hAnsi="Times New Roman" w:cs="Times New Roman"/>
                <w:color w:val="000000" w:themeColor="text1"/>
                <w:sz w:val="15"/>
                <w:szCs w:val="15"/>
                <w14:textFill>
                  <w14:solidFill>
                    <w14:schemeClr w14:val="tx1"/>
                  </w14:solidFill>
                </w14:textFill>
              </w:rPr>
              <w:t>)</w:t>
            </w:r>
          </w:p>
        </w:tc>
        <w:tc>
          <w:tcPr>
            <w:tcW w:w="395"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下段长(m)</w:t>
            </w:r>
          </w:p>
        </w:tc>
        <w:tc>
          <w:tcPr>
            <w:tcW w:w="343"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1022"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成桩日期</w:t>
            </w:r>
          </w:p>
        </w:tc>
        <w:tc>
          <w:tcPr>
            <w:tcW w:w="625"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599"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测试日期</w:t>
            </w:r>
          </w:p>
        </w:tc>
        <w:tc>
          <w:tcPr>
            <w:tcW w:w="748" w:type="pct"/>
            <w:gridSpan w:val="4"/>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580"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加载方法</w:t>
            </w:r>
          </w:p>
        </w:tc>
        <w:tc>
          <w:tcPr>
            <w:tcW w:w="395"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r>
      <w:bookmarkEnd w:id="1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vMerge w:val="restart"/>
            <w:tcBorders>
              <w:right w:val="single" w:color="000000" w:themeColor="text1" w:sz="4" w:space="0"/>
            </w:tcBorders>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荷载等级</w:t>
            </w:r>
          </w:p>
        </w:tc>
        <w:tc>
          <w:tcPr>
            <w:tcW w:w="429" w:type="pct"/>
            <w:gridSpan w:val="2"/>
            <w:vMerge w:val="restart"/>
            <w:tcBorders>
              <w:left w:val="single" w:color="000000" w:themeColor="text1" w:sz="4" w:space="0"/>
            </w:tcBorders>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荷载值（kN）</w:t>
            </w:r>
          </w:p>
        </w:tc>
        <w:tc>
          <w:tcPr>
            <w:tcW w:w="512" w:type="pct"/>
            <w:vMerge w:val="restar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测读时间</w:t>
            </w:r>
          </w:p>
        </w:tc>
        <w:tc>
          <w:tcPr>
            <w:tcW w:w="540" w:type="pct"/>
            <w:gridSpan w:val="2"/>
            <w:vMerge w:val="restar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时间间隔（min）</w:t>
            </w:r>
          </w:p>
        </w:tc>
        <w:tc>
          <w:tcPr>
            <w:tcW w:w="1387" w:type="pct"/>
            <w:gridSpan w:val="6"/>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上段桩</w:t>
            </w:r>
            <w:r>
              <w:rPr>
                <w:rFonts w:ascii="Times New Roman" w:hAnsi="Times New Roman" w:cs="Times New Roman"/>
                <w:color w:val="000000" w:themeColor="text1"/>
                <w:sz w:val="15"/>
                <w:szCs w:val="15"/>
                <w14:textFill>
                  <w14:solidFill>
                    <w14:schemeClr w14:val="tx1"/>
                  </w14:solidFill>
                </w14:textFill>
              </w:rPr>
              <w:t>位移</w:t>
            </w:r>
            <m:oMath>
              <m:sSub>
                <m:sSubPr>
                  <m:ctrlPr>
                    <w:rPr>
                      <w:rFonts w:ascii="Cambria Math" w:hAnsi="Cambria Math" w:cs="Times New Roman"/>
                      <w:i/>
                      <w:color w:val="000000" w:themeColor="text1"/>
                      <w:sz w:val="15"/>
                      <w:szCs w:val="15"/>
                      <w14:textFill>
                        <w14:solidFill>
                          <w14:schemeClr w14:val="tx1"/>
                        </w14:solidFill>
                      </w14:textFill>
                    </w:rPr>
                  </m:ctrlPr>
                </m:sSubPr>
                <m:e>
                  <m:r>
                    <m:rPr/>
                    <w:rPr>
                      <w:rFonts w:ascii="Cambria Math" w:hAnsi="Cambria Math" w:cs="Times New Roman"/>
                      <w:color w:val="000000" w:themeColor="text1"/>
                      <w:sz w:val="15"/>
                      <w:szCs w:val="15"/>
                      <w14:textFill>
                        <w14:solidFill>
                          <w14:schemeClr w14:val="tx1"/>
                        </w14:solidFill>
                      </w14:textFill>
                    </w:rPr>
                    <m:t>s</m:t>
                  </m:r>
                  <m:ctrlPr>
                    <w:rPr>
                      <w:rFonts w:ascii="Cambria Math" w:hAnsi="Cambria Math" w:cs="Times New Roman"/>
                      <w:i/>
                      <w:color w:val="000000" w:themeColor="text1"/>
                      <w:sz w:val="15"/>
                      <w:szCs w:val="15"/>
                      <w14:textFill>
                        <w14:solidFill>
                          <w14:schemeClr w14:val="tx1"/>
                        </w14:solidFill>
                      </w14:textFill>
                    </w:rPr>
                  </m:ctrlPr>
                </m:e>
                <m:sub>
                  <m:r>
                    <m:rPr>
                      <m:sty m:val="p"/>
                    </m:rPr>
                    <w:rPr>
                      <w:rFonts w:ascii="Cambria Math" w:hAnsi="Cambria Math" w:cs="Times New Roman"/>
                      <w:color w:val="000000" w:themeColor="text1"/>
                      <w:sz w:val="15"/>
                      <w:szCs w:val="15"/>
                      <w14:textFill>
                        <w14:solidFill>
                          <w14:schemeClr w14:val="tx1"/>
                        </w14:solidFill>
                      </w14:textFill>
                    </w:rPr>
                    <m:t>u</m:t>
                  </m:r>
                  <m:ctrlPr>
                    <w:rPr>
                      <w:rFonts w:ascii="Cambria Math" w:hAnsi="Cambria Math" w:cs="Times New Roman"/>
                      <w:i/>
                      <w:color w:val="000000" w:themeColor="text1"/>
                      <w:sz w:val="15"/>
                      <w:szCs w:val="15"/>
                      <w14:textFill>
                        <w14:solidFill>
                          <w14:schemeClr w14:val="tx1"/>
                        </w14:solidFill>
                      </w14:textFill>
                    </w:rPr>
                  </m:ctrlPr>
                </m:sub>
              </m:sSub>
            </m:oMath>
            <w:r>
              <w:rPr>
                <w:rFonts w:ascii="Times New Roman" w:hAnsi="Times New Roman" w:cs="Times New Roman"/>
                <w:color w:val="000000" w:themeColor="text1"/>
                <w:sz w:val="15"/>
                <w:szCs w:val="15"/>
                <w14:textFill>
                  <w14:solidFill>
                    <w14:schemeClr w14:val="tx1"/>
                  </w14:solidFill>
                </w14:textFill>
              </w:rPr>
              <w:t>（mm）</w:t>
            </w:r>
          </w:p>
        </w:tc>
        <w:tc>
          <w:tcPr>
            <w:tcW w:w="1445" w:type="pct"/>
            <w:gridSpan w:val="7"/>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下段桩</w:t>
            </w:r>
            <w:r>
              <w:rPr>
                <w:rFonts w:ascii="Times New Roman" w:hAnsi="Times New Roman" w:cs="Times New Roman"/>
                <w:color w:val="000000" w:themeColor="text1"/>
                <w:sz w:val="15"/>
                <w:szCs w:val="15"/>
                <w14:textFill>
                  <w14:solidFill>
                    <w14:schemeClr w14:val="tx1"/>
                  </w14:solidFill>
                </w14:textFill>
              </w:rPr>
              <w:t>位移</w:t>
            </w:r>
            <m:oMath>
              <m:sSub>
                <m:sSubPr>
                  <m:ctrlPr>
                    <w:rPr>
                      <w:rFonts w:ascii="Cambria Math" w:hAnsi="Cambria Math" w:cs="Times New Roman"/>
                      <w:i/>
                      <w:color w:val="000000" w:themeColor="text1"/>
                      <w:sz w:val="15"/>
                      <w:szCs w:val="15"/>
                      <w14:textFill>
                        <w14:solidFill>
                          <w14:schemeClr w14:val="tx1"/>
                        </w14:solidFill>
                      </w14:textFill>
                    </w:rPr>
                  </m:ctrlPr>
                </m:sSubPr>
                <m:e>
                  <m:r>
                    <m:rPr/>
                    <w:rPr>
                      <w:rFonts w:ascii="Cambria Math" w:hAnsi="Cambria Math" w:cs="Times New Roman"/>
                      <w:color w:val="000000" w:themeColor="text1"/>
                      <w:sz w:val="15"/>
                      <w:szCs w:val="15"/>
                      <w14:textFill>
                        <w14:solidFill>
                          <w14:schemeClr w14:val="tx1"/>
                        </w14:solidFill>
                      </w14:textFill>
                    </w:rPr>
                    <m:t>s</m:t>
                  </m:r>
                  <m:ctrlPr>
                    <w:rPr>
                      <w:rFonts w:ascii="Cambria Math" w:hAnsi="Cambria Math" w:cs="Times New Roman"/>
                      <w:i/>
                      <w:color w:val="000000" w:themeColor="text1"/>
                      <w:sz w:val="15"/>
                      <w:szCs w:val="15"/>
                      <w14:textFill>
                        <w14:solidFill>
                          <w14:schemeClr w14:val="tx1"/>
                        </w14:solidFill>
                      </w14:textFill>
                    </w:rPr>
                  </m:ctrlPr>
                </m:e>
                <m:sub>
                  <m:r>
                    <m:rPr>
                      <m:sty m:val="p"/>
                    </m:rPr>
                    <w:rPr>
                      <w:rFonts w:ascii="Cambria Math" w:hAnsi="Cambria Math" w:cs="Times New Roman"/>
                      <w:color w:val="000000" w:themeColor="text1"/>
                      <w:sz w:val="15"/>
                      <w:szCs w:val="15"/>
                      <w14:textFill>
                        <w14:solidFill>
                          <w14:schemeClr w14:val="tx1"/>
                        </w14:solidFill>
                      </w14:textFill>
                    </w:rPr>
                    <m:t>d</m:t>
                  </m:r>
                  <m:ctrlPr>
                    <w:rPr>
                      <w:rFonts w:ascii="Cambria Math" w:hAnsi="Cambria Math" w:cs="Times New Roman"/>
                      <w:i/>
                      <w:color w:val="000000" w:themeColor="text1"/>
                      <w:sz w:val="15"/>
                      <w:szCs w:val="15"/>
                      <w14:textFill>
                        <w14:solidFill>
                          <w14:schemeClr w14:val="tx1"/>
                        </w14:solidFill>
                      </w14:textFill>
                    </w:rPr>
                  </m:ctrlPr>
                </m:sub>
              </m:sSub>
            </m:oMath>
            <w:r>
              <w:rPr>
                <w:rFonts w:ascii="Times New Roman" w:hAnsi="Times New Roman" w:cs="Times New Roman"/>
                <w:color w:val="000000" w:themeColor="text1"/>
                <w:sz w:val="15"/>
                <w:szCs w:val="15"/>
                <w14:textFill>
                  <w14:solidFill>
                    <w14:schemeClr w14:val="tx1"/>
                  </w14:solidFill>
                </w14:textFill>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vMerge w:val="continue"/>
            <w:tcBorders>
              <w:right w:val="single" w:color="000000" w:themeColor="text1" w:sz="4" w:space="0"/>
            </w:tcBorders>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429" w:type="pct"/>
            <w:gridSpan w:val="2"/>
            <w:vMerge w:val="continue"/>
            <w:tcBorders>
              <w:left w:val="single" w:color="000000" w:themeColor="text1" w:sz="4" w:space="0"/>
            </w:tcBorders>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512" w:type="pct"/>
            <w:vMerge w:val="continue"/>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540" w:type="pct"/>
            <w:gridSpan w:val="2"/>
            <w:vMerge w:val="continue"/>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228"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1</w:t>
            </w:r>
          </w:p>
        </w:tc>
        <w:tc>
          <w:tcPr>
            <w:tcW w:w="282"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2</w:t>
            </w:r>
          </w:p>
        </w:tc>
        <w:tc>
          <w:tcPr>
            <w:tcW w:w="258"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3</w:t>
            </w:r>
          </w:p>
        </w:tc>
        <w:tc>
          <w:tcPr>
            <w:tcW w:w="258"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4</w:t>
            </w:r>
          </w:p>
        </w:tc>
        <w:tc>
          <w:tcPr>
            <w:tcW w:w="362" w:type="pct"/>
            <w:gridSpan w:val="2"/>
            <w:tcBorders>
              <w:right w:val="single" w:color="000000" w:themeColor="text1" w:sz="4" w:space="0"/>
            </w:tcBorders>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平均</w:t>
            </w:r>
          </w:p>
        </w:tc>
        <w:tc>
          <w:tcPr>
            <w:tcW w:w="220" w:type="pct"/>
            <w:gridSpan w:val="2"/>
            <w:tcBorders>
              <w:left w:val="single" w:color="000000" w:themeColor="text1" w:sz="4" w:space="0"/>
            </w:tcBorders>
          </w:tcPr>
          <w:p>
            <w:pPr>
              <w:widowControl/>
              <w:jc w:val="left"/>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1</w:t>
            </w:r>
          </w:p>
        </w:tc>
        <w:tc>
          <w:tcPr>
            <w:tcW w:w="312"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2</w:t>
            </w:r>
          </w:p>
        </w:tc>
        <w:tc>
          <w:tcPr>
            <w:tcW w:w="258"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3</w:t>
            </w:r>
          </w:p>
        </w:tc>
        <w:tc>
          <w:tcPr>
            <w:tcW w:w="261"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4</w:t>
            </w:r>
          </w:p>
        </w:tc>
        <w:tc>
          <w:tcPr>
            <w:tcW w:w="395"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平均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tcBorders>
              <w:righ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429" w:type="pct"/>
            <w:gridSpan w:val="2"/>
            <w:tcBorders>
              <w:lef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12"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40"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2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82"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5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5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362" w:type="pct"/>
            <w:gridSpan w:val="2"/>
            <w:tcBorders>
              <w:righ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20" w:type="pct"/>
            <w:gridSpan w:val="2"/>
            <w:tcBorders>
              <w:lef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312"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5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61"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395"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tcBorders>
              <w:righ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429" w:type="pct"/>
            <w:gridSpan w:val="2"/>
            <w:tcBorders>
              <w:lef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12"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40"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2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82"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5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5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362" w:type="pct"/>
            <w:gridSpan w:val="2"/>
            <w:tcBorders>
              <w:righ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20" w:type="pct"/>
            <w:gridSpan w:val="2"/>
            <w:tcBorders>
              <w:lef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312"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5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61"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395"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tcBorders>
              <w:righ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429" w:type="pct"/>
            <w:gridSpan w:val="2"/>
            <w:tcBorders>
              <w:lef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12"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40"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2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82"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5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5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362" w:type="pct"/>
            <w:gridSpan w:val="2"/>
            <w:tcBorders>
              <w:righ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20" w:type="pct"/>
            <w:gridSpan w:val="2"/>
            <w:tcBorders>
              <w:left w:val="single" w:color="000000" w:themeColor="text1" w:sz="4" w:space="0"/>
            </w:tcBorders>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312"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5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261"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395"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r>
    </w:tbl>
    <w:p>
      <w:pPr>
        <w:spacing w:line="360" w:lineRule="auto"/>
        <w:ind w:firstLine="840" w:firstLineChars="4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记录：                             校核：</w:t>
      </w:r>
      <w:r>
        <w:rPr>
          <w:rFonts w:ascii="Times New Roman" w:hAnsi="Times New Roman" w:cs="Times New Roman"/>
          <w:color w:val="000000" w:themeColor="text1"/>
          <w:szCs w:val="21"/>
          <w14:textFill>
            <w14:solidFill>
              <w14:schemeClr w14:val="tx1"/>
            </w14:solidFill>
          </w14:textFill>
        </w:rPr>
        <w:t xml:space="preserve"> </w:t>
      </w:r>
    </w:p>
    <w:p>
      <w:pPr>
        <w:pStyle w:val="3"/>
        <w:rPr>
          <w:color w:val="000000" w:themeColor="text1"/>
          <w14:textFill>
            <w14:solidFill>
              <w14:schemeClr w14:val="tx1"/>
            </w14:solidFill>
          </w14:textFill>
        </w:rPr>
      </w:pPr>
      <w:bookmarkStart w:id="134" w:name="_Toc154934737"/>
      <w:bookmarkStart w:id="135" w:name="_Toc154757391"/>
      <w:bookmarkStart w:id="136" w:name="_Toc165274031"/>
      <w:r>
        <w:rPr>
          <w:rFonts w:hint="eastAsia"/>
          <w:color w:val="000000" w:themeColor="text1"/>
          <w14:textFill>
            <w14:solidFill>
              <w14:schemeClr w14:val="tx1"/>
            </w14:solidFill>
          </w14:textFill>
        </w:rPr>
        <w:t>C.2 自锚试桩法试验的结果汇总</w:t>
      </w:r>
      <w:r>
        <w:rPr>
          <w:rStyle w:val="39"/>
          <w:rFonts w:hint="eastAsia"/>
          <w:b w:val="0"/>
          <w:bCs w:val="0"/>
          <w:color w:val="000000" w:themeColor="text1"/>
          <w14:textFill>
            <w14:solidFill>
              <w14:schemeClr w14:val="tx1"/>
            </w14:solidFill>
          </w14:textFill>
        </w:rPr>
        <w:t>可按表C.2记录</w:t>
      </w:r>
      <w:bookmarkEnd w:id="134"/>
      <w:bookmarkEnd w:id="135"/>
      <w:bookmarkEnd w:id="136"/>
    </w:p>
    <w:p>
      <w:pPr>
        <w:spacing w:line="360" w:lineRule="auto"/>
        <w:jc w:val="center"/>
        <w:rPr>
          <w:rFonts w:ascii="黑体" w:hAnsi="黑体" w:eastAsia="黑体" w:cs="Times New Roman"/>
          <w:color w:val="000000" w:themeColor="text1"/>
          <w:szCs w:val="21"/>
          <w14:textFill>
            <w14:solidFill>
              <w14:schemeClr w14:val="tx1"/>
            </w14:solidFill>
          </w14:textFill>
        </w:rPr>
      </w:pPr>
      <w:r>
        <w:rPr>
          <w:rFonts w:hint="eastAsia" w:ascii="黑体" w:hAnsi="黑体" w:eastAsia="黑体" w:cs="Times New Roman"/>
          <w:color w:val="000000" w:themeColor="text1"/>
          <w:szCs w:val="21"/>
          <w14:textFill>
            <w14:solidFill>
              <w14:schemeClr w14:val="tx1"/>
            </w14:solidFill>
          </w14:textFill>
        </w:rPr>
        <w:t>C.2 自锚试桩法试验结果汇总表</w:t>
      </w:r>
    </w:p>
    <w:tbl>
      <w:tblPr>
        <w:tblStyle w:val="22"/>
        <w:tblW w:w="50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5"/>
        <w:gridCol w:w="76"/>
        <w:gridCol w:w="572"/>
        <w:gridCol w:w="493"/>
        <w:gridCol w:w="508"/>
        <w:gridCol w:w="699"/>
        <w:gridCol w:w="1065"/>
        <w:gridCol w:w="88"/>
        <w:gridCol w:w="907"/>
        <w:gridCol w:w="17"/>
        <w:gridCol w:w="793"/>
        <w:gridCol w:w="101"/>
        <w:gridCol w:w="304"/>
        <w:gridCol w:w="596"/>
        <w:gridCol w:w="381"/>
        <w:gridCol w:w="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工程名称</w:t>
            </w:r>
          </w:p>
        </w:tc>
        <w:tc>
          <w:tcPr>
            <w:tcW w:w="1943" w:type="pct"/>
            <w:gridSpan w:val="5"/>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89"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工程地点</w:t>
            </w:r>
          </w:p>
        </w:tc>
        <w:tc>
          <w:tcPr>
            <w:tcW w:w="1734" w:type="pct"/>
            <w:gridSpan w:val="6"/>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受检桩编号</w:t>
            </w:r>
          </w:p>
        </w:tc>
        <w:tc>
          <w:tcPr>
            <w:tcW w:w="333"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583" w:type="pct"/>
            <w:gridSpan w:val="2"/>
            <w:tcBorders>
              <w:right w:val="single" w:color="000000" w:themeColor="text1" w:sz="4" w:space="0"/>
            </w:tcBorders>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桩类型</w:t>
            </w:r>
          </w:p>
        </w:tc>
        <w:tc>
          <w:tcPr>
            <w:tcW w:w="406" w:type="pct"/>
            <w:tcBorders>
              <w:left w:val="single" w:color="000000" w:themeColor="text1" w:sz="4" w:space="0"/>
            </w:tcBorders>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620" w:type="pct"/>
          </w:tcPr>
          <w:p>
            <w:pPr>
              <w:spacing w:line="360" w:lineRule="auto"/>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桩径(mm)</w:t>
            </w:r>
          </w:p>
        </w:tc>
        <w:tc>
          <w:tcPr>
            <w:tcW w:w="589"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462" w:type="pct"/>
          </w:tcPr>
          <w:p>
            <w:pPr>
              <w:spacing w:line="360" w:lineRule="auto"/>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桩长(m)</w:t>
            </w:r>
          </w:p>
        </w:tc>
        <w:tc>
          <w:tcPr>
            <w:tcW w:w="236"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569"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上</w:t>
            </w:r>
            <w:r>
              <w:rPr>
                <w:rFonts w:ascii="Times New Roman" w:hAnsi="Times New Roman" w:cs="Times New Roman"/>
                <w:color w:val="000000" w:themeColor="text1"/>
                <w:sz w:val="15"/>
                <w:szCs w:val="15"/>
                <w14:textFill>
                  <w14:solidFill>
                    <w14:schemeClr w14:val="tx1"/>
                  </w14:solidFill>
                </w14:textFill>
              </w:rPr>
              <w:t>段长</w:t>
            </w:r>
            <w:r>
              <w:rPr>
                <w:rFonts w:hint="eastAsia" w:ascii="Times New Roman" w:hAnsi="Times New Roman" w:cs="Times New Roman"/>
                <w:color w:val="000000" w:themeColor="text1"/>
                <w:sz w:val="15"/>
                <w:szCs w:val="15"/>
                <w14:textFill>
                  <w14:solidFill>
                    <w14:schemeClr w14:val="tx1"/>
                  </w14:solidFill>
                </w14:textFill>
              </w:rPr>
              <w:t>(</w:t>
            </w:r>
            <w:r>
              <w:rPr>
                <w:rFonts w:ascii="Times New Roman" w:hAnsi="Times New Roman" w:cs="Times New Roman"/>
                <w:color w:val="000000" w:themeColor="text1"/>
                <w:sz w:val="15"/>
                <w:szCs w:val="15"/>
                <w14:textFill>
                  <w14:solidFill>
                    <w14:schemeClr w14:val="tx1"/>
                  </w14:solidFill>
                </w14:textFill>
              </w:rPr>
              <w:t>m</w:t>
            </w:r>
            <w:r>
              <w:rPr>
                <w:rFonts w:hint="eastAsia" w:ascii="Times New Roman" w:hAnsi="Times New Roman" w:cs="Times New Roman"/>
                <w:color w:val="000000" w:themeColor="text1"/>
                <w:sz w:val="15"/>
                <w:szCs w:val="15"/>
                <w14:textFill>
                  <w14:solidFill>
                    <w14:schemeClr w14:val="tx1"/>
                  </w14:solidFill>
                </w14:textFill>
              </w:rPr>
              <w:t>)</w:t>
            </w:r>
          </w:p>
        </w:tc>
        <w:tc>
          <w:tcPr>
            <w:tcW w:w="467"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下段长(m)</w:t>
            </w:r>
          </w:p>
        </w:tc>
        <w:tc>
          <w:tcPr>
            <w:tcW w:w="333"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989"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成桩日期</w:t>
            </w:r>
          </w:p>
        </w:tc>
        <w:tc>
          <w:tcPr>
            <w:tcW w:w="620"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589"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测试日期</w:t>
            </w:r>
          </w:p>
        </w:tc>
        <w:tc>
          <w:tcPr>
            <w:tcW w:w="698"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569"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15"/>
                <w:szCs w:val="15"/>
                <w14:textFill>
                  <w14:solidFill>
                    <w14:schemeClr w14:val="tx1"/>
                  </w14:solidFill>
                </w14:textFill>
              </w:rPr>
              <w:t>加载方法</w:t>
            </w:r>
          </w:p>
        </w:tc>
        <w:tc>
          <w:tcPr>
            <w:tcW w:w="467"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vMerge w:val="restar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荷载等级</w:t>
            </w:r>
          </w:p>
        </w:tc>
        <w:tc>
          <w:tcPr>
            <w:tcW w:w="664" w:type="pct"/>
            <w:gridSpan w:val="3"/>
            <w:vMerge w:val="restar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荷载值（kN）</w:t>
            </w:r>
          </w:p>
        </w:tc>
        <w:tc>
          <w:tcPr>
            <w:tcW w:w="1373" w:type="pct"/>
            <w:gridSpan w:val="4"/>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测读时间间隔（min）</w:t>
            </w:r>
          </w:p>
        </w:tc>
        <w:tc>
          <w:tcPr>
            <w:tcW w:w="1059" w:type="pct"/>
            <w:gridSpan w:val="4"/>
          </w:tcPr>
          <w:p>
            <w:pPr>
              <w:spacing w:line="360" w:lineRule="auto"/>
              <w:jc w:val="center"/>
              <w:rPr>
                <w:rFonts w:ascii="Times New Roman" w:hAnsi="Times New Roman" w:cs="Times New Roman"/>
                <w:color w:val="000000" w:themeColor="text1"/>
                <w:sz w:val="15"/>
                <w:szCs w:val="15"/>
                <w:highlight w:val="yellow"/>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上段桩</w:t>
            </w:r>
            <w:r>
              <w:rPr>
                <w:rFonts w:ascii="Times New Roman" w:hAnsi="Times New Roman" w:cs="Times New Roman"/>
                <w:color w:val="000000" w:themeColor="text1"/>
                <w:sz w:val="15"/>
                <w:szCs w:val="15"/>
                <w14:textFill>
                  <w14:solidFill>
                    <w14:schemeClr w14:val="tx1"/>
                  </w14:solidFill>
                </w14:textFill>
              </w:rPr>
              <w:t>位移</w:t>
            </w:r>
            <m:oMath>
              <m:sSub>
                <m:sSubPr>
                  <m:ctrlPr>
                    <w:rPr>
                      <w:rFonts w:ascii="Cambria Math" w:hAnsi="Cambria Math" w:cs="Times New Roman"/>
                      <w:i/>
                      <w:color w:val="000000" w:themeColor="text1"/>
                      <w:sz w:val="15"/>
                      <w:szCs w:val="15"/>
                      <w14:textFill>
                        <w14:solidFill>
                          <w14:schemeClr w14:val="tx1"/>
                        </w14:solidFill>
                      </w14:textFill>
                    </w:rPr>
                  </m:ctrlPr>
                </m:sSubPr>
                <m:e>
                  <m:r>
                    <m:rPr/>
                    <w:rPr>
                      <w:rFonts w:ascii="Cambria Math" w:hAnsi="Cambria Math" w:cs="Times New Roman"/>
                      <w:color w:val="000000" w:themeColor="text1"/>
                      <w:sz w:val="15"/>
                      <w:szCs w:val="15"/>
                      <w14:textFill>
                        <w14:solidFill>
                          <w14:schemeClr w14:val="tx1"/>
                        </w14:solidFill>
                      </w14:textFill>
                    </w:rPr>
                    <m:t>s</m:t>
                  </m:r>
                  <m:ctrlPr>
                    <w:rPr>
                      <w:rFonts w:ascii="Cambria Math" w:hAnsi="Cambria Math" w:cs="Times New Roman"/>
                      <w:i/>
                      <w:color w:val="000000" w:themeColor="text1"/>
                      <w:sz w:val="15"/>
                      <w:szCs w:val="15"/>
                      <w14:textFill>
                        <w14:solidFill>
                          <w14:schemeClr w14:val="tx1"/>
                        </w14:solidFill>
                      </w14:textFill>
                    </w:rPr>
                  </m:ctrlPr>
                </m:e>
                <m:sub>
                  <m:r>
                    <m:rPr>
                      <m:sty m:val="p"/>
                    </m:rPr>
                    <w:rPr>
                      <w:rFonts w:ascii="Cambria Math" w:hAnsi="Cambria Math" w:cs="Times New Roman"/>
                      <w:color w:val="000000" w:themeColor="text1"/>
                      <w:sz w:val="15"/>
                      <w:szCs w:val="15"/>
                      <w14:textFill>
                        <w14:solidFill>
                          <w14:schemeClr w14:val="tx1"/>
                        </w14:solidFill>
                      </w14:textFill>
                    </w:rPr>
                    <m:t>u</m:t>
                  </m:r>
                  <m:ctrlPr>
                    <w:rPr>
                      <w:rFonts w:ascii="Cambria Math" w:hAnsi="Cambria Math" w:cs="Times New Roman"/>
                      <w:i/>
                      <w:color w:val="000000" w:themeColor="text1"/>
                      <w:sz w:val="15"/>
                      <w:szCs w:val="15"/>
                      <w14:textFill>
                        <w14:solidFill>
                          <w14:schemeClr w14:val="tx1"/>
                        </w14:solidFill>
                      </w14:textFill>
                    </w:rPr>
                  </m:ctrlPr>
                </m:sub>
              </m:sSub>
            </m:oMath>
            <w:r>
              <w:rPr>
                <w:rFonts w:ascii="Times New Roman" w:hAnsi="Times New Roman" w:cs="Times New Roman"/>
                <w:color w:val="000000" w:themeColor="text1"/>
                <w:sz w:val="15"/>
                <w:szCs w:val="15"/>
                <w14:textFill>
                  <w14:solidFill>
                    <w14:schemeClr w14:val="tx1"/>
                  </w14:solidFill>
                </w14:textFill>
              </w:rPr>
              <w:t>（mm）</w:t>
            </w:r>
          </w:p>
        </w:tc>
        <w:tc>
          <w:tcPr>
            <w:tcW w:w="1214" w:type="pct"/>
            <w:gridSpan w:val="4"/>
          </w:tcPr>
          <w:p>
            <w:pPr>
              <w:spacing w:line="360" w:lineRule="auto"/>
              <w:jc w:val="center"/>
              <w:rPr>
                <w:rFonts w:ascii="Times New Roman" w:hAnsi="Times New Roman" w:cs="Times New Roman"/>
                <w:color w:val="000000" w:themeColor="text1"/>
                <w:sz w:val="15"/>
                <w:szCs w:val="15"/>
                <w:highlight w:val="yellow"/>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下段桩</w:t>
            </w:r>
            <w:r>
              <w:rPr>
                <w:rFonts w:ascii="Times New Roman" w:hAnsi="Times New Roman" w:cs="Times New Roman"/>
                <w:color w:val="000000" w:themeColor="text1"/>
                <w:sz w:val="15"/>
                <w:szCs w:val="15"/>
                <w14:textFill>
                  <w14:solidFill>
                    <w14:schemeClr w14:val="tx1"/>
                  </w14:solidFill>
                </w14:textFill>
              </w:rPr>
              <w:t>位移</w:t>
            </w:r>
            <m:oMath>
              <m:sSub>
                <m:sSubPr>
                  <m:ctrlPr>
                    <w:rPr>
                      <w:rFonts w:ascii="Cambria Math" w:hAnsi="Cambria Math" w:cs="Times New Roman"/>
                      <w:i/>
                      <w:color w:val="000000" w:themeColor="text1"/>
                      <w:sz w:val="15"/>
                      <w:szCs w:val="15"/>
                      <w14:textFill>
                        <w14:solidFill>
                          <w14:schemeClr w14:val="tx1"/>
                        </w14:solidFill>
                      </w14:textFill>
                    </w:rPr>
                  </m:ctrlPr>
                </m:sSubPr>
                <m:e>
                  <m:r>
                    <m:rPr/>
                    <w:rPr>
                      <w:rFonts w:ascii="Cambria Math" w:hAnsi="Cambria Math" w:cs="Times New Roman"/>
                      <w:color w:val="000000" w:themeColor="text1"/>
                      <w:sz w:val="15"/>
                      <w:szCs w:val="15"/>
                      <w14:textFill>
                        <w14:solidFill>
                          <w14:schemeClr w14:val="tx1"/>
                        </w14:solidFill>
                      </w14:textFill>
                    </w:rPr>
                    <m:t>s</m:t>
                  </m:r>
                  <m:ctrlPr>
                    <w:rPr>
                      <w:rFonts w:ascii="Cambria Math" w:hAnsi="Cambria Math" w:cs="Times New Roman"/>
                      <w:i/>
                      <w:color w:val="000000" w:themeColor="text1"/>
                      <w:sz w:val="15"/>
                      <w:szCs w:val="15"/>
                      <w14:textFill>
                        <w14:solidFill>
                          <w14:schemeClr w14:val="tx1"/>
                        </w14:solidFill>
                      </w14:textFill>
                    </w:rPr>
                  </m:ctrlPr>
                </m:e>
                <m:sub>
                  <m:r>
                    <m:rPr>
                      <m:sty m:val="p"/>
                    </m:rPr>
                    <w:rPr>
                      <w:rFonts w:ascii="Cambria Math" w:hAnsi="Cambria Math" w:cs="Times New Roman"/>
                      <w:color w:val="000000" w:themeColor="text1"/>
                      <w:sz w:val="15"/>
                      <w:szCs w:val="15"/>
                      <w14:textFill>
                        <w14:solidFill>
                          <w14:schemeClr w14:val="tx1"/>
                        </w14:solidFill>
                      </w14:textFill>
                    </w:rPr>
                    <m:t>d</m:t>
                  </m:r>
                  <m:ctrlPr>
                    <w:rPr>
                      <w:rFonts w:ascii="Cambria Math" w:hAnsi="Cambria Math" w:cs="Times New Roman"/>
                      <w:i/>
                      <w:color w:val="000000" w:themeColor="text1"/>
                      <w:sz w:val="15"/>
                      <w:szCs w:val="15"/>
                      <w14:textFill>
                        <w14:solidFill>
                          <w14:schemeClr w14:val="tx1"/>
                        </w14:solidFill>
                      </w14:textFill>
                    </w:rPr>
                  </m:ctrlPr>
                </m:sub>
              </m:sSub>
            </m:oMath>
            <w:r>
              <w:rPr>
                <w:rFonts w:ascii="Times New Roman" w:hAnsi="Times New Roman" w:cs="Times New Roman"/>
                <w:color w:val="000000" w:themeColor="text1"/>
                <w:sz w:val="15"/>
                <w:szCs w:val="15"/>
                <w14:textFill>
                  <w14:solidFill>
                    <w14:schemeClr w14:val="tx1"/>
                  </w14:solidFill>
                </w14:textFill>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vMerge w:val="continue"/>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664" w:type="pct"/>
            <w:gridSpan w:val="3"/>
            <w:vMerge w:val="continue"/>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p>
        </w:tc>
        <w:tc>
          <w:tcPr>
            <w:tcW w:w="703"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本级</w:t>
            </w:r>
          </w:p>
        </w:tc>
        <w:tc>
          <w:tcPr>
            <w:tcW w:w="671"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累计</w:t>
            </w:r>
          </w:p>
        </w:tc>
        <w:tc>
          <w:tcPr>
            <w:tcW w:w="528" w:type="pct"/>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本级</w:t>
            </w:r>
          </w:p>
        </w:tc>
        <w:tc>
          <w:tcPr>
            <w:tcW w:w="531" w:type="pct"/>
            <w:gridSpan w:val="3"/>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累计</w:t>
            </w:r>
          </w:p>
        </w:tc>
        <w:tc>
          <w:tcPr>
            <w:tcW w:w="524"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本级</w:t>
            </w:r>
          </w:p>
        </w:tc>
        <w:tc>
          <w:tcPr>
            <w:tcW w:w="690" w:type="pct"/>
            <w:gridSpan w:val="2"/>
          </w:tcPr>
          <w:p>
            <w:pPr>
              <w:spacing w:line="360" w:lineRule="auto"/>
              <w:jc w:val="center"/>
              <w:rPr>
                <w:rFonts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cs="Times New Roman"/>
                <w:color w:val="000000" w:themeColor="text1"/>
                <w:sz w:val="15"/>
                <w:szCs w:val="15"/>
                <w14:textFill>
                  <w14:solidFill>
                    <w14:schemeClr w14:val="tx1"/>
                  </w14:solidFill>
                </w14:textFill>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664" w:type="pct"/>
            <w:gridSpan w:val="3"/>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703"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671"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2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31" w:type="pct"/>
            <w:gridSpan w:val="3"/>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24"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690"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664" w:type="pct"/>
            <w:gridSpan w:val="3"/>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703"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671"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2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31" w:type="pct"/>
            <w:gridSpan w:val="3"/>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24"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690"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664" w:type="pct"/>
            <w:gridSpan w:val="3"/>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703"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671"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28" w:type="pct"/>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31" w:type="pct"/>
            <w:gridSpan w:val="3"/>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524"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c>
          <w:tcPr>
            <w:tcW w:w="690" w:type="pct"/>
            <w:gridSpan w:val="2"/>
          </w:tcPr>
          <w:p>
            <w:pPr>
              <w:spacing w:line="360" w:lineRule="auto"/>
              <w:rPr>
                <w:rFonts w:ascii="Times New Roman" w:hAnsi="Times New Roman" w:cs="Times New Roman"/>
                <w:color w:val="000000" w:themeColor="text1"/>
                <w:sz w:val="15"/>
                <w:szCs w:val="15"/>
                <w14:textFill>
                  <w14:solidFill>
                    <w14:schemeClr w14:val="tx1"/>
                  </w14:solidFill>
                </w14:textFill>
              </w:rPr>
            </w:pPr>
          </w:p>
        </w:tc>
      </w:tr>
    </w:tbl>
    <w:p>
      <w:pPr>
        <w:spacing w:line="360" w:lineRule="auto"/>
        <w:ind w:firstLine="840" w:firstLineChars="4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整理：                             校核：</w:t>
      </w:r>
    </w:p>
    <w:p>
      <w:pPr>
        <w:pStyle w:val="2"/>
        <w:rPr>
          <w:color w:val="000000" w:themeColor="text1"/>
          <w14:textFill>
            <w14:solidFill>
              <w14:schemeClr w14:val="tx1"/>
            </w14:solidFill>
          </w14:textFill>
        </w:rPr>
      </w:pPr>
      <w:r>
        <w:rPr>
          <w:color w:val="000000" w:themeColor="text1"/>
          <w:szCs w:val="21"/>
          <w14:textFill>
            <w14:solidFill>
              <w14:schemeClr w14:val="tx1"/>
            </w14:solidFill>
          </w14:textFill>
        </w:rPr>
        <w:br w:type="page"/>
      </w:r>
      <w:bookmarkStart w:id="137" w:name="_Toc154757392"/>
      <w:bookmarkStart w:id="138" w:name="_Toc165274032"/>
      <w:bookmarkStart w:id="139" w:name="_Toc154934738"/>
      <w:bookmarkStart w:id="140" w:name="_Hlk154754276"/>
      <w:r>
        <w:rPr>
          <w:color w:val="000000" w:themeColor="text1"/>
          <w14:textFill>
            <w14:solidFill>
              <w14:schemeClr w14:val="tx1"/>
            </w14:solidFill>
          </w14:textFill>
        </w:rPr>
        <w:t>附录D  等效转换方法</w:t>
      </w:r>
      <w:bookmarkEnd w:id="137"/>
      <w:bookmarkEnd w:id="138"/>
      <w:bookmarkEnd w:id="139"/>
    </w:p>
    <w:p>
      <w:pPr>
        <w:pStyle w:val="3"/>
        <w:rPr>
          <w:color w:val="000000" w:themeColor="text1"/>
          <w14:textFill>
            <w14:solidFill>
              <w14:schemeClr w14:val="tx1"/>
            </w14:solidFill>
          </w14:textFill>
        </w:rPr>
      </w:pPr>
      <w:bookmarkStart w:id="141" w:name="_Toc154757393"/>
      <w:bookmarkStart w:id="142" w:name="_Toc165274033"/>
      <w:bookmarkStart w:id="143" w:name="_Toc154934739"/>
      <w:bookmarkStart w:id="144" w:name="_Hlk153781479"/>
      <w:r>
        <w:rPr>
          <w:rFonts w:hint="eastAsia"/>
          <w:color w:val="000000" w:themeColor="text1"/>
          <w14:textFill>
            <w14:solidFill>
              <w14:schemeClr w14:val="tx1"/>
            </w14:solidFill>
          </w14:textFill>
        </w:rPr>
        <w:t>D.1 简单转换法</w:t>
      </w:r>
      <w:bookmarkEnd w:id="141"/>
      <w:bookmarkEnd w:id="142"/>
      <w:bookmarkEnd w:id="143"/>
    </w:p>
    <w:bookmarkEnd w:id="140"/>
    <w:bookmarkEnd w:id="144"/>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D</w:t>
      </w:r>
      <w:r>
        <w:rPr>
          <w:rFonts w:ascii="Times New Roman" w:hAnsi="Times New Roman" w:cs="Times New Roman"/>
          <w:b/>
          <w:bCs/>
          <w:color w:val="000000" w:themeColor="text1"/>
          <w:szCs w:val="21"/>
          <w14:textFill>
            <w14:solidFill>
              <w14:schemeClr w14:val="tx1"/>
            </w14:solidFill>
          </w14:textFill>
        </w:rPr>
        <w:t>.1.1</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位移转换系数按下列公式计算：</w:t>
      </w:r>
    </w:p>
    <w:p>
      <w:pPr>
        <w:spacing w:line="360" w:lineRule="auto"/>
        <w:jc w:val="center"/>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f>
          <m:fPr>
            <m:ctrlPr>
              <w:rPr>
                <w:rFonts w:ascii="Cambria Math" w:hAnsi="Cambria Math" w:cs="Times New Roman"/>
                <w:i/>
                <w:color w:val="000000" w:themeColor="text1"/>
                <w:szCs w:val="21"/>
                <w14:textFill>
                  <w14:solidFill>
                    <w14:schemeClr w14:val="tx1"/>
                  </w14:solidFill>
                </w14:textFill>
              </w:rPr>
            </m:ctrlPr>
          </m:fPr>
          <m:num>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k</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d</m:t>
                </m:r>
                <m:ctrlPr>
                  <w:rPr>
                    <w:rFonts w:ascii="Cambria Math" w:hAnsi="Cambria Math" w:cs="Times New Roman"/>
                    <w:i/>
                    <w:color w:val="000000" w:themeColor="text1"/>
                    <w:szCs w:val="21"/>
                    <w14:textFill>
                      <w14:solidFill>
                        <w14:schemeClr w14:val="tx1"/>
                      </w14:solidFill>
                    </w14:textFill>
                  </w:rPr>
                </m:ctrlPr>
              </m:sub>
            </m:sSub>
            <m:ctrlPr>
              <w:rPr>
                <w:rFonts w:ascii="Cambria Math" w:hAnsi="Cambria Math" w:cs="Times New Roman"/>
                <w:i/>
                <w:color w:val="000000" w:themeColor="text1"/>
                <w:szCs w:val="21"/>
                <w14:textFill>
                  <w14:solidFill>
                    <w14:schemeClr w14:val="tx1"/>
                  </w14:solidFill>
                </w14:textFill>
              </w:rPr>
            </m:ctrlPr>
          </m:num>
          <m:den>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k</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ctrlPr>
              <w:rPr>
                <w:rFonts w:ascii="Cambria Math" w:hAnsi="Cambria Math" w:cs="Times New Roman"/>
                <w:i/>
                <w:color w:val="000000" w:themeColor="text1"/>
                <w:szCs w:val="21"/>
                <w14:textFill>
                  <w14:solidFill>
                    <w14:schemeClr w14:val="tx1"/>
                  </w14:solidFill>
                </w14:textFill>
              </w:rPr>
            </m:ctrlPr>
          </m:den>
        </m:f>
      </m:oMath>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1.1-1</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式中：</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——上段抗拔桩位移转换为抗压桩的位移转换系数；</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k</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d</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——下段桩</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d</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d</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iCs/>
          <w:color w:val="000000" w:themeColor="text1"/>
          <w:szCs w:val="21"/>
          <w14:textFill>
            <w14:solidFill>
              <w14:schemeClr w14:val="tx1"/>
            </w14:solidFill>
          </w14:textFill>
        </w:rPr>
        <w:t>曲线</w:t>
      </w:r>
      <w:r>
        <w:rPr>
          <w:rFonts w:hint="eastAsia" w:ascii="Times New Roman" w:hAnsi="Times New Roman" w:cs="Times New Roman"/>
          <w:color w:val="000000" w:themeColor="text1"/>
          <w:szCs w:val="21"/>
          <w14:textFill>
            <w14:solidFill>
              <w14:schemeClr w14:val="tx1"/>
            </w14:solidFill>
          </w14:textFill>
        </w:rPr>
        <w:t>线性段斜率；</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k</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——上段桩</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iCs/>
          <w:color w:val="000000" w:themeColor="text1"/>
          <w:szCs w:val="21"/>
          <w14:textFill>
            <w14:solidFill>
              <w14:schemeClr w14:val="tx1"/>
            </w14:solidFill>
          </w14:textFill>
        </w:rPr>
        <w:t>曲线</w:t>
      </w:r>
      <w:r>
        <w:rPr>
          <w:rFonts w:hint="eastAsia" w:ascii="Times New Roman" w:hAnsi="Times New Roman" w:cs="Times New Roman"/>
          <w:color w:val="000000" w:themeColor="text1"/>
          <w:szCs w:val="21"/>
          <w14:textFill>
            <w14:solidFill>
              <w14:schemeClr w14:val="tx1"/>
            </w14:solidFill>
          </w14:textFill>
        </w:rPr>
        <w:t>线性段斜率。</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D</w:t>
      </w:r>
      <w:r>
        <w:rPr>
          <w:rFonts w:ascii="Times New Roman" w:hAnsi="Times New Roman" w:cs="Times New Roman"/>
          <w:b/>
          <w:bCs/>
          <w:color w:val="000000" w:themeColor="text1"/>
          <w:szCs w:val="21"/>
          <w14:textFill>
            <w14:solidFill>
              <w14:schemeClr w14:val="tx1"/>
            </w14:solidFill>
          </w14:textFill>
        </w:rPr>
        <w:t>.1.2</w:t>
      </w:r>
      <w:r>
        <w:rPr>
          <w:rFonts w:ascii="Times New Roman" w:hAnsi="Times New Roman" w:cs="Times New Roman"/>
          <w:color w:val="000000" w:themeColor="text1"/>
          <w:szCs w:val="21"/>
          <w14:textFill>
            <w14:solidFill>
              <w14:schemeClr w14:val="tx1"/>
            </w14:solidFill>
          </w14:textFill>
        </w:rPr>
        <w:t xml:space="preserve"> </w:t>
      </w:r>
      <w:bookmarkStart w:id="145" w:name="_Hlk153803330"/>
      <w:r>
        <w:rPr>
          <w:rFonts w:hint="eastAsia" w:ascii="Times New Roman" w:hAnsi="Times New Roman" w:cs="Times New Roman"/>
          <w:color w:val="000000" w:themeColor="text1"/>
          <w:szCs w:val="21"/>
          <w14:textFill>
            <w14:solidFill>
              <w14:schemeClr w14:val="tx1"/>
            </w14:solidFill>
          </w14:textFill>
        </w:rPr>
        <w:t>上段抗拔桩荷载转换为抗压桩荷载</w:t>
      </w:r>
      <w:bookmarkEnd w:id="145"/>
      <w:r>
        <w:rPr>
          <w:rFonts w:hint="eastAsia" w:ascii="Times New Roman" w:hAnsi="Times New Roman" w:cs="Times New Roman"/>
          <w:color w:val="000000" w:themeColor="text1"/>
          <w:szCs w:val="21"/>
          <w14:textFill>
            <w14:solidFill>
              <w14:schemeClr w14:val="tx1"/>
            </w14:solidFill>
          </w14:textFill>
        </w:rPr>
        <w:t>按下列公式计算：</w:t>
      </w:r>
    </w:p>
    <w:p>
      <w:pPr>
        <w:spacing w:line="360" w:lineRule="auto"/>
        <w:jc w:val="center"/>
        <w:rPr>
          <w:rFonts w:ascii="Times New Roman" w:hAnsi="Times New Roman" w:cs="Times New Roman"/>
          <w:color w:val="000000" w:themeColor="text1"/>
          <w:szCs w:val="21"/>
          <w14:textFill>
            <w14:solidFill>
              <w14:schemeClr w14:val="tx1"/>
            </w14:solidFill>
          </w14:textFill>
        </w:rPr>
      </w:pPr>
      <w:bookmarkStart w:id="146" w:name="_Hlk153783478"/>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ueqi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G</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p</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oMath>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1.2-1</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式中：</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ueqi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——转换后的上段桩第i级抗压荷载；</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——负摩阻力转换为正摩阻力的转换系数；</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——自锚试桩记录的第i级荷载；</w:t>
      </w:r>
    </w:p>
    <w:bookmarkEnd w:id="146"/>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D</w:t>
      </w:r>
      <w:r>
        <w:rPr>
          <w:rFonts w:ascii="Times New Roman" w:hAnsi="Times New Roman" w:cs="Times New Roman"/>
          <w:b/>
          <w:bCs/>
          <w:color w:val="000000" w:themeColor="text1"/>
          <w:szCs w:val="21"/>
          <w14:textFill>
            <w14:solidFill>
              <w14:schemeClr w14:val="tx1"/>
            </w14:solidFill>
          </w14:textFill>
        </w:rPr>
        <w:t>.1.3</w:t>
      </w:r>
      <w:r>
        <w:rPr>
          <w:rFonts w:ascii="Times New Roman" w:hAnsi="Times New Roman" w:cs="Times New Roman"/>
          <w:color w:val="000000" w:themeColor="text1"/>
          <w:szCs w:val="21"/>
          <w14:textFill>
            <w14:solidFill>
              <w14:schemeClr w14:val="tx1"/>
            </w14:solidFill>
          </w14:textFill>
        </w:rPr>
        <w:t xml:space="preserve"> </w:t>
      </w:r>
      <w:bookmarkStart w:id="147" w:name="_Hlk153803421"/>
      <w:r>
        <w:rPr>
          <w:rFonts w:hint="eastAsia" w:ascii="Times New Roman" w:hAnsi="Times New Roman" w:cs="Times New Roman"/>
          <w:color w:val="000000" w:themeColor="text1"/>
          <w:szCs w:val="21"/>
          <w14:textFill>
            <w14:solidFill>
              <w14:schemeClr w14:val="tx1"/>
            </w14:solidFill>
          </w14:textFill>
        </w:rPr>
        <w:t>上、下段桩荷载转换为抗压完整桩荷载</w:t>
      </w:r>
      <w:bookmarkEnd w:id="147"/>
      <w:r>
        <w:rPr>
          <w:rFonts w:hint="eastAsia" w:ascii="Times New Roman" w:hAnsi="Times New Roman" w:cs="Times New Roman"/>
          <w:color w:val="000000" w:themeColor="text1"/>
          <w:szCs w:val="21"/>
          <w14:textFill>
            <w14:solidFill>
              <w14:schemeClr w14:val="tx1"/>
            </w14:solidFill>
          </w14:textFill>
        </w:rPr>
        <w:t>按下列公式计算：</w:t>
      </w:r>
    </w:p>
    <w:p>
      <w:pPr>
        <w:spacing w:line="360" w:lineRule="auto"/>
        <w:jc w:val="center"/>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hint="eastAsia" w:ascii="Cambria Math" w:hAnsi="Cambria Math" w:cs="Times New Roman"/>
                <w:color w:val="000000" w:themeColor="text1"/>
                <w:szCs w:val="21"/>
                <w14:textFill>
                  <w14:solidFill>
                    <w14:schemeClr w14:val="tx1"/>
                  </w14:solidFill>
                </w14:textFill>
              </w:rPr>
              <m:t>e</m:t>
            </m:r>
            <m:r>
              <m:rPr>
                <m:sty m:val="p"/>
              </m:rPr>
              <w:rPr>
                <w:rFonts w:ascii="Cambria Math" w:hAnsi="Cambria Math" w:cs="Times New Roman"/>
                <w:color w:val="000000" w:themeColor="text1"/>
                <w:szCs w:val="21"/>
                <w14:textFill>
                  <w14:solidFill>
                    <w14:schemeClr w14:val="tx1"/>
                  </w14:solidFill>
                </w14:textFill>
              </w:rPr>
              <m:t>qi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d>
          <m:dPr>
            <m:ctrlPr>
              <w:rPr>
                <w:rFonts w:ascii="Cambria Math" w:hAnsi="Cambria Math" w:cs="Times New Roman"/>
                <w:i/>
                <w:color w:val="000000" w:themeColor="text1"/>
                <w:szCs w:val="21"/>
                <w14:textFill>
                  <w14:solidFill>
                    <w14:schemeClr w14:val="tx1"/>
                  </w14:solidFill>
                </w14:textFill>
              </w:rPr>
            </m:ctrlPr>
          </m:dPr>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e>
        </m:d>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G</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p</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1.3-1</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式中：</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eqi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——转换后的整桩第i级等效荷载。</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D</w:t>
      </w:r>
      <w:r>
        <w:rPr>
          <w:rFonts w:ascii="Times New Roman" w:hAnsi="Times New Roman" w:cs="Times New Roman"/>
          <w:b/>
          <w:bCs/>
          <w:color w:val="000000" w:themeColor="text1"/>
          <w:szCs w:val="21"/>
          <w14:textFill>
            <w14:solidFill>
              <w14:schemeClr w14:val="tx1"/>
            </w14:solidFill>
          </w14:textFill>
        </w:rPr>
        <w:t>.1.4</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转换后的上段桩位移按下列公式计算：</w:t>
      </w:r>
    </w:p>
    <w:p>
      <w:pPr>
        <w:spacing w:line="360" w:lineRule="auto"/>
        <w:jc w:val="center"/>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eqi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1.4-1</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式中：</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eqi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——第i级荷载作用时上段桩转换后的等效位移；</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——自锚试桩记录的第i级荷载作用时上段桩的位移</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D</w:t>
      </w:r>
      <w:r>
        <w:rPr>
          <w:rFonts w:ascii="Times New Roman" w:hAnsi="Times New Roman" w:cs="Times New Roman"/>
          <w:b/>
          <w:bCs/>
          <w:color w:val="000000" w:themeColor="text1"/>
          <w:szCs w:val="21"/>
          <w14:textFill>
            <w14:solidFill>
              <w14:schemeClr w14:val="tx1"/>
            </w14:solidFill>
          </w14:textFill>
        </w:rPr>
        <w:t>.1.5</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自锚试桩位移转换为完整桩第i级荷载对应的位移按下列公式计算：</w:t>
      </w:r>
    </w:p>
    <w:p>
      <w:pPr>
        <w:spacing w:line="360" w:lineRule="auto"/>
        <w:jc w:val="center"/>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eqi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di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 xml:space="preserve">        (D.1.5-1</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式中：</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di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——自锚试桩记录的第i级荷载作用时下段桩的位移。从开始计入，保证曲线的平滑性。</w:t>
      </w:r>
    </w:p>
    <w:p>
      <w:pPr>
        <w:pStyle w:val="3"/>
        <w:rPr>
          <w:color w:val="000000" w:themeColor="text1"/>
          <w14:textFill>
            <w14:solidFill>
              <w14:schemeClr w14:val="tx1"/>
            </w14:solidFill>
          </w14:textFill>
        </w:rPr>
      </w:pPr>
      <w:bookmarkStart w:id="148" w:name="_Toc165274034"/>
      <w:bookmarkStart w:id="149" w:name="_Toc154934740"/>
      <w:bookmarkStart w:id="150" w:name="_Toc154757394"/>
      <w:r>
        <w:rPr>
          <w:rFonts w:hint="eastAsia"/>
          <w:color w:val="000000" w:themeColor="text1"/>
          <w14:textFill>
            <w14:solidFill>
              <w14:schemeClr w14:val="tx1"/>
            </w14:solidFill>
          </w14:textFill>
        </w:rPr>
        <w:t>D.2 解析转化法</w:t>
      </w:r>
      <w:bookmarkEnd w:id="148"/>
      <w:bookmarkEnd w:id="149"/>
      <w:bookmarkEnd w:id="150"/>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D.2.1</w:t>
      </w:r>
      <w:r>
        <w:rPr>
          <w:rFonts w:hint="eastAsia" w:ascii="Times New Roman" w:hAnsi="Times New Roman" w:cs="Times New Roman"/>
          <w:color w:val="000000" w:themeColor="text1"/>
          <w:szCs w:val="21"/>
          <w14:textFill>
            <w14:solidFill>
              <w14:schemeClr w14:val="tx1"/>
            </w14:solidFill>
          </w14:textFill>
        </w:rPr>
        <w:t xml:space="preserve"> 荷载传递模型</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桩侧土和桩端土均采用双折线荷载传递模型（图D.2.1）。图D.2.1（a）中折线斜率</w:t>
      </w:r>
      <w:r>
        <w:rPr>
          <w:rFonts w:ascii="Times New Roman" w:hAnsi="Times New Roman" w:cs="Times New Roman"/>
          <w:i/>
          <w:color w:val="000000" w:themeColor="text1"/>
          <w:szCs w:val="21"/>
          <w14:textFill>
            <w14:solidFill>
              <w14:schemeClr w14:val="tx1"/>
            </w14:solidFill>
          </w14:textFill>
        </w:rPr>
        <w:t>λ</w:t>
      </w:r>
      <w:r>
        <w:rPr>
          <w:rFonts w:ascii="Times New Roman" w:hAnsi="Times New Roman" w:cs="Times New Roman"/>
          <w:i/>
          <w:color w:val="000000" w:themeColor="text1"/>
          <w:szCs w:val="21"/>
          <w:vertAlign w:val="subscript"/>
          <w14:textFill>
            <w14:solidFill>
              <w14:schemeClr w14:val="tx1"/>
            </w14:solidFill>
          </w14:textFill>
        </w:rPr>
        <w:t>i</w:t>
      </w:r>
      <w:r>
        <w:rPr>
          <w:rFonts w:ascii="Times New Roman" w:hAnsi="Times New Roman" w:cs="Times New Roman"/>
          <w:color w:val="000000" w:themeColor="text1"/>
          <w:szCs w:val="21"/>
          <w14:textFill>
            <w14:solidFill>
              <w14:schemeClr w14:val="tx1"/>
            </w14:solidFill>
          </w14:textFill>
        </w:rPr>
        <w:t>（</w:t>
      </w:r>
      <w:r>
        <w:rPr>
          <w:rFonts w:ascii="Times New Roman" w:hAnsi="Times New Roman" w:cs="Times New Roman"/>
          <w:i/>
          <w:color w:val="000000" w:themeColor="text1"/>
          <w:szCs w:val="21"/>
          <w14:textFill>
            <w14:solidFill>
              <w14:schemeClr w14:val="tx1"/>
            </w14:solidFill>
          </w14:textFill>
        </w:rPr>
        <w:t>i</w:t>
      </w:r>
      <w:r>
        <w:rPr>
          <w:rFonts w:ascii="Times New Roman" w:hAnsi="Times New Roman" w:cs="Times New Roman"/>
          <w:color w:val="000000" w:themeColor="text1"/>
          <w:szCs w:val="21"/>
          <w14:textFill>
            <w14:solidFill>
              <w14:schemeClr w14:val="tx1"/>
            </w14:solidFill>
          </w14:textFill>
        </w:rPr>
        <w:t>=1-4）为桩侧土的抗剪刚度系数，</w:t>
      </w:r>
      <w:r>
        <w:rPr>
          <w:rFonts w:ascii="Times New Roman" w:hAnsi="Times New Roman" w:cs="Times New Roman"/>
          <w:i/>
          <w:color w:val="000000" w:themeColor="text1"/>
          <w:szCs w:val="21"/>
          <w14:textFill>
            <w14:solidFill>
              <w14:schemeClr w14:val="tx1"/>
            </w14:solidFill>
          </w14:textFill>
        </w:rPr>
        <w:t>λ</w:t>
      </w:r>
      <w:r>
        <w:rPr>
          <w:rFonts w:hint="eastAsia" w:ascii="Times New Roman" w:hAnsi="Times New Roman" w:cs="Times New Roman"/>
          <w:color w:val="000000" w:themeColor="text1"/>
          <w:szCs w:val="21"/>
          <w:vertAlign w:val="subscript"/>
          <w14:textFill>
            <w14:solidFill>
              <w14:schemeClr w14:val="tx1"/>
            </w14:solidFill>
          </w14:textFill>
        </w:rPr>
        <w:t>1,2</w:t>
      </w:r>
      <w:r>
        <w:rPr>
          <w:rFonts w:hint="eastAsia" w:ascii="Times New Roman" w:hAnsi="Times New Roman" w:cs="Times New Roman"/>
          <w:color w:val="000000" w:themeColor="text1"/>
          <w:szCs w:val="21"/>
          <w14:textFill>
            <w14:solidFill>
              <w14:schemeClr w14:val="tx1"/>
            </w14:solidFill>
          </w14:textFill>
        </w:rPr>
        <w:t>和</w:t>
      </w:r>
      <w:r>
        <w:rPr>
          <w:rFonts w:ascii="Times New Roman" w:hAnsi="Times New Roman" w:cs="Times New Roman"/>
          <w:i/>
          <w:color w:val="000000" w:themeColor="text1"/>
          <w:szCs w:val="21"/>
          <w14:textFill>
            <w14:solidFill>
              <w14:schemeClr w14:val="tx1"/>
            </w14:solidFill>
          </w14:textFill>
        </w:rPr>
        <w:t>λ</w:t>
      </w:r>
      <w:r>
        <w:rPr>
          <w:rFonts w:hint="eastAsia" w:ascii="Times New Roman" w:hAnsi="Times New Roman" w:cs="Times New Roman"/>
          <w:color w:val="000000" w:themeColor="text1"/>
          <w:szCs w:val="21"/>
          <w:vertAlign w:val="subscript"/>
          <w14:textFill>
            <w14:solidFill>
              <w14:schemeClr w14:val="tx1"/>
            </w14:solidFill>
          </w14:textFill>
        </w:rPr>
        <w:t>3,4</w:t>
      </w:r>
      <w:r>
        <w:rPr>
          <w:rFonts w:hint="eastAsia" w:ascii="Times New Roman" w:hAnsi="Times New Roman" w:cs="Times New Roman"/>
          <w:color w:val="000000" w:themeColor="text1"/>
          <w:szCs w:val="21"/>
          <w14:textFill>
            <w14:solidFill>
              <w14:schemeClr w14:val="tx1"/>
            </w14:solidFill>
          </w14:textFill>
        </w:rPr>
        <w:t>分别用于自锚试桩上、下段桩桩侧土</w:t>
      </w:r>
      <w:r>
        <w:rPr>
          <w:rFonts w:ascii="Times New Roman" w:hAnsi="Times New Roman" w:cs="Times New Roman"/>
          <w:color w:val="000000" w:themeColor="text1"/>
          <w:szCs w:val="21"/>
          <w14:textFill>
            <w14:solidFill>
              <w14:schemeClr w14:val="tx1"/>
            </w14:solidFill>
          </w14:textFill>
        </w:rPr>
        <w:t>；</w:t>
      </w:r>
      <w:r>
        <w:rPr>
          <w:rFonts w:ascii="Times New Roman" w:hAnsi="Times New Roman" w:cs="Times New Roman"/>
          <w:i/>
          <w:color w:val="000000" w:themeColor="text1"/>
          <w:szCs w:val="21"/>
          <w14:textFill>
            <w14:solidFill>
              <w14:schemeClr w14:val="tx1"/>
            </w14:solidFill>
          </w14:textFill>
        </w:rPr>
        <w:t>W</w:t>
      </w:r>
      <w:r>
        <w:rPr>
          <w:rFonts w:ascii="Times New Roman" w:hAnsi="Times New Roman" w:cs="Times New Roman"/>
          <w:color w:val="000000" w:themeColor="text1"/>
          <w:szCs w:val="21"/>
          <w:vertAlign w:val="subscript"/>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和</w:t>
      </w:r>
      <w:r>
        <w:rPr>
          <w:rFonts w:ascii="Times New Roman" w:hAnsi="Times New Roman" w:cs="Times New Roman"/>
          <w:i/>
          <w:color w:val="000000" w:themeColor="text1"/>
          <w:szCs w:val="21"/>
          <w14:textFill>
            <w14:solidFill>
              <w14:schemeClr w14:val="tx1"/>
            </w14:solidFill>
          </w14:textFill>
        </w:rPr>
        <w:t>W</w:t>
      </w:r>
      <w:r>
        <w:rPr>
          <w:rFonts w:ascii="Times New Roman" w:hAnsi="Times New Roman" w:cs="Times New Roman"/>
          <w:color w:val="000000" w:themeColor="text1"/>
          <w:szCs w:val="21"/>
          <w:vertAlign w:val="subscript"/>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为</w:t>
      </w:r>
      <w:r>
        <w:rPr>
          <w:rFonts w:hint="eastAsia" w:ascii="Times New Roman" w:hAnsi="Times New Roman" w:cs="Times New Roman"/>
          <w:color w:val="000000" w:themeColor="text1"/>
          <w:szCs w:val="21"/>
          <w14:textFill>
            <w14:solidFill>
              <w14:schemeClr w14:val="tx1"/>
            </w14:solidFill>
          </w14:textFill>
        </w:rPr>
        <w:t>上、下段</w:t>
      </w:r>
      <w:r>
        <w:rPr>
          <w:rFonts w:ascii="Times New Roman" w:hAnsi="Times New Roman" w:cs="Times New Roman"/>
          <w:color w:val="000000" w:themeColor="text1"/>
          <w:szCs w:val="21"/>
          <w14:textFill>
            <w14:solidFill>
              <w14:schemeClr w14:val="tx1"/>
            </w14:solidFill>
          </w14:textFill>
        </w:rPr>
        <w:t>桩</w:t>
      </w:r>
      <w:r>
        <w:rPr>
          <w:rFonts w:hint="eastAsia" w:ascii="Times New Roman" w:hAnsi="Times New Roman" w:cs="Times New Roman"/>
          <w:color w:val="000000" w:themeColor="text1"/>
          <w:szCs w:val="21"/>
          <w14:textFill>
            <w14:solidFill>
              <w14:schemeClr w14:val="tx1"/>
            </w14:solidFill>
          </w14:textFill>
        </w:rPr>
        <w:t>桩</w:t>
      </w:r>
      <w:r>
        <w:rPr>
          <w:rFonts w:ascii="Times New Roman" w:hAnsi="Times New Roman" w:cs="Times New Roman"/>
          <w:color w:val="000000" w:themeColor="text1"/>
          <w:szCs w:val="21"/>
          <w14:textFill>
            <w14:solidFill>
              <w14:schemeClr w14:val="tx1"/>
            </w14:solidFill>
          </w14:textFill>
        </w:rPr>
        <w:t>侧土的弹性极限位移。</w:t>
      </w:r>
      <w:r>
        <w:rPr>
          <w:rFonts w:hint="eastAsia" w:ascii="Times New Roman" w:hAnsi="Times New Roman" w:cs="Times New Roman"/>
          <w:color w:val="000000" w:themeColor="text1"/>
          <w:szCs w:val="21"/>
          <w14:textFill>
            <w14:solidFill>
              <w14:schemeClr w14:val="tx1"/>
            </w14:solidFill>
          </w14:textFill>
        </w:rPr>
        <w:t>图D.2.1（b）中</w:t>
      </w:r>
      <w:r>
        <w:rPr>
          <w:rFonts w:hint="eastAsia" w:ascii="Times New Roman" w:hAnsi="Times New Roman" w:cs="Times New Roman"/>
          <w:i/>
          <w:color w:val="000000" w:themeColor="text1"/>
          <w:szCs w:val="21"/>
          <w14:textFill>
            <w14:solidFill>
              <w14:schemeClr w14:val="tx1"/>
            </w14:solidFill>
          </w14:textFill>
        </w:rPr>
        <w:t>P</w:t>
      </w:r>
      <w:r>
        <w:rPr>
          <w:rFonts w:hint="eastAsia" w:ascii="Times New Roman" w:hAnsi="Times New Roman" w:cs="Times New Roman"/>
          <w:color w:val="000000" w:themeColor="text1"/>
          <w:szCs w:val="21"/>
          <w:vertAlign w:val="subscript"/>
          <w14:textFill>
            <w14:solidFill>
              <w14:schemeClr w14:val="tx1"/>
            </w14:solidFill>
          </w14:textFill>
        </w:rPr>
        <w:t>b</w:t>
      </w:r>
      <w:r>
        <w:rPr>
          <w:rFonts w:hint="eastAsia" w:ascii="Times New Roman" w:hAnsi="Times New Roman" w:cs="Times New Roman"/>
          <w:color w:val="000000" w:themeColor="text1"/>
          <w:szCs w:val="21"/>
          <w14:textFill>
            <w14:solidFill>
              <w14:schemeClr w14:val="tx1"/>
            </w14:solidFill>
          </w14:textFill>
        </w:rPr>
        <w:t>为桩端反力，折线斜率</w:t>
      </w:r>
      <w:r>
        <w:rPr>
          <w:rFonts w:hint="eastAsia" w:ascii="Times New Roman" w:hAnsi="Times New Roman" w:cs="Times New Roman"/>
          <w:i/>
          <w:color w:val="000000" w:themeColor="text1"/>
          <w:szCs w:val="21"/>
          <w14:textFill>
            <w14:solidFill>
              <w14:schemeClr w14:val="tx1"/>
            </w14:solidFill>
          </w14:textFill>
        </w:rPr>
        <w:t>k</w:t>
      </w:r>
      <w:r>
        <w:rPr>
          <w:rFonts w:ascii="Times New Roman" w:hAnsi="Times New Roman" w:cs="Times New Roman"/>
          <w:i/>
          <w:color w:val="000000" w:themeColor="text1"/>
          <w:szCs w:val="21"/>
          <w:vertAlign w:val="subscript"/>
          <w14:textFill>
            <w14:solidFill>
              <w14:schemeClr w14:val="tx1"/>
            </w14:solidFill>
          </w14:textFill>
        </w:rPr>
        <w:t>i</w:t>
      </w:r>
      <w:r>
        <w:rPr>
          <w:rFonts w:ascii="Times New Roman" w:hAnsi="Times New Roman" w:cs="Times New Roman"/>
          <w:color w:val="000000" w:themeColor="text1"/>
          <w:szCs w:val="21"/>
          <w14:textFill>
            <w14:solidFill>
              <w14:schemeClr w14:val="tx1"/>
            </w14:solidFill>
          </w14:textFill>
        </w:rPr>
        <w:t>（</w:t>
      </w:r>
      <w:r>
        <w:rPr>
          <w:rFonts w:ascii="Times New Roman" w:hAnsi="Times New Roman" w:cs="Times New Roman"/>
          <w:i/>
          <w:color w:val="000000" w:themeColor="text1"/>
          <w:szCs w:val="21"/>
          <w14:textFill>
            <w14:solidFill>
              <w14:schemeClr w14:val="tx1"/>
            </w14:solidFill>
          </w14:textFill>
        </w:rPr>
        <w:t>i</w:t>
      </w: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）为桩</w:t>
      </w:r>
      <w:r>
        <w:rPr>
          <w:rFonts w:hint="eastAsia" w:ascii="Times New Roman" w:hAnsi="Times New Roman" w:cs="Times New Roman"/>
          <w:color w:val="000000" w:themeColor="text1"/>
          <w:szCs w:val="21"/>
          <w14:textFill>
            <w14:solidFill>
              <w14:schemeClr w14:val="tx1"/>
            </w14:solidFill>
          </w14:textFill>
        </w:rPr>
        <w:t>端</w:t>
      </w:r>
      <w:r>
        <w:rPr>
          <w:rFonts w:ascii="Times New Roman" w:hAnsi="Times New Roman" w:cs="Times New Roman"/>
          <w:color w:val="000000" w:themeColor="text1"/>
          <w:szCs w:val="21"/>
          <w14:textFill>
            <w14:solidFill>
              <w14:schemeClr w14:val="tx1"/>
            </w14:solidFill>
          </w14:textFill>
        </w:rPr>
        <w:t>土的抗</w:t>
      </w:r>
      <w:r>
        <w:rPr>
          <w:rFonts w:hint="eastAsia" w:ascii="Times New Roman" w:hAnsi="Times New Roman" w:cs="Times New Roman"/>
          <w:color w:val="000000" w:themeColor="text1"/>
          <w:szCs w:val="21"/>
          <w14:textFill>
            <w14:solidFill>
              <w14:schemeClr w14:val="tx1"/>
            </w14:solidFill>
          </w14:textFill>
        </w:rPr>
        <w:t>压</w:t>
      </w:r>
      <w:r>
        <w:rPr>
          <w:rFonts w:ascii="Times New Roman" w:hAnsi="Times New Roman" w:cs="Times New Roman"/>
          <w:color w:val="000000" w:themeColor="text1"/>
          <w:szCs w:val="21"/>
          <w14:textFill>
            <w14:solidFill>
              <w14:schemeClr w14:val="tx1"/>
            </w14:solidFill>
          </w14:textFill>
        </w:rPr>
        <w:t>刚度系数；</w:t>
      </w:r>
      <w:r>
        <w:rPr>
          <w:rFonts w:ascii="Times New Roman" w:hAnsi="Times New Roman" w:cs="Times New Roman"/>
          <w:i/>
          <w:color w:val="000000" w:themeColor="text1"/>
          <w:szCs w:val="21"/>
          <w14:textFill>
            <w14:solidFill>
              <w14:schemeClr w14:val="tx1"/>
            </w14:solidFill>
          </w14:textFill>
        </w:rPr>
        <w:t>W</w:t>
      </w:r>
      <w:r>
        <w:rPr>
          <w:rFonts w:hint="eastAsia" w:ascii="Times New Roman" w:hAnsi="Times New Roman" w:cs="Times New Roman"/>
          <w:color w:val="000000" w:themeColor="text1"/>
          <w:szCs w:val="21"/>
          <w:vertAlign w:val="subscript"/>
          <w14:textFill>
            <w14:solidFill>
              <w14:schemeClr w14:val="tx1"/>
            </w14:solidFill>
          </w14:textFill>
        </w:rPr>
        <w:t>b</w:t>
      </w:r>
      <w:r>
        <w:rPr>
          <w:rFonts w:hint="eastAsia" w:ascii="Times New Roman" w:hAnsi="Times New Roman" w:cs="Times New Roman"/>
          <w:color w:val="000000" w:themeColor="text1"/>
          <w:szCs w:val="21"/>
          <w14:textFill>
            <w14:solidFill>
              <w14:schemeClr w14:val="tx1"/>
            </w14:solidFill>
          </w14:textFill>
        </w:rPr>
        <w:t>为</w:t>
      </w:r>
      <w:r>
        <w:rPr>
          <w:rFonts w:ascii="Times New Roman" w:hAnsi="Times New Roman" w:cs="Times New Roman"/>
          <w:color w:val="000000" w:themeColor="text1"/>
          <w:szCs w:val="21"/>
          <w14:textFill>
            <w14:solidFill>
              <w14:schemeClr w14:val="tx1"/>
            </w14:solidFill>
          </w14:textFill>
        </w:rPr>
        <w:t>桩</w:t>
      </w:r>
      <w:r>
        <w:rPr>
          <w:rFonts w:hint="eastAsia" w:ascii="Times New Roman" w:hAnsi="Times New Roman" w:cs="Times New Roman"/>
          <w:color w:val="000000" w:themeColor="text1"/>
          <w:szCs w:val="21"/>
          <w14:textFill>
            <w14:solidFill>
              <w14:schemeClr w14:val="tx1"/>
            </w14:solidFill>
          </w14:textFill>
        </w:rPr>
        <w:t>端</w:t>
      </w:r>
      <w:r>
        <w:rPr>
          <w:rFonts w:ascii="Times New Roman" w:hAnsi="Times New Roman" w:cs="Times New Roman"/>
          <w:color w:val="000000" w:themeColor="text1"/>
          <w:szCs w:val="21"/>
          <w14:textFill>
            <w14:solidFill>
              <w14:schemeClr w14:val="tx1"/>
            </w14:solidFill>
          </w14:textFill>
        </w:rPr>
        <w:t>土的弹性极限位移。</w:t>
      </w:r>
    </w:p>
    <w:p>
      <w:pPr>
        <w:spacing w:line="360" w:lineRule="auto"/>
        <w:rPr>
          <w:rFonts w:ascii="Times New Roman" w:hAnsi="Times New Roman" w:cs="Times New Roman"/>
          <w:color w:val="000000" w:themeColor="text1"/>
          <w:szCs w:val="21"/>
          <w14:textFill>
            <w14:solidFill>
              <w14:schemeClr w14:val="tx1"/>
            </w14:solidFill>
          </w14:textFill>
        </w:rPr>
      </w:pPr>
      <w:r>
        <w:drawing>
          <wp:inline distT="0" distB="0" distL="0" distR="0">
            <wp:extent cx="2366010" cy="1736090"/>
            <wp:effectExtent l="0" t="0" r="0" b="0"/>
            <wp:docPr id="94774390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743904" name="图片 3"/>
                    <pic:cNvPicPr>
                      <a:picLocks noChangeAspect="1" noChangeArrowheads="1"/>
                    </pic:cNvPicPr>
                  </pic:nvPicPr>
                  <pic:blipFill>
                    <a:blip r:embed="rId11" cstate="print">
                      <a:extLst>
                        <a:ext uri="{28A0092B-C50C-407E-A947-70E740481C1C}">
                          <a14:useLocalDpi xmlns:a14="http://schemas.microsoft.com/office/drawing/2010/main" val="0"/>
                        </a:ext>
                      </a:extLst>
                    </a:blip>
                    <a:srcRect l="1654" t="1860" r="973" b="-1"/>
                    <a:stretch>
                      <a:fillRect/>
                    </a:stretch>
                  </pic:blipFill>
                  <pic:spPr>
                    <a:xfrm>
                      <a:off x="0" y="0"/>
                      <a:ext cx="2390035" cy="1753719"/>
                    </a:xfrm>
                    <a:prstGeom prst="rect">
                      <a:avLst/>
                    </a:prstGeom>
                    <a:noFill/>
                    <a:ln>
                      <a:noFill/>
                    </a:ln>
                  </pic:spPr>
                </pic:pic>
              </a:graphicData>
            </a:graphic>
          </wp:inline>
        </w:drawing>
      </w:r>
      <w:r>
        <w:rPr>
          <w:rFonts w:hint="eastAsia"/>
          <w:color w:val="000000" w:themeColor="text1"/>
          <w:szCs w:val="21"/>
          <w14:textFill>
            <w14:solidFill>
              <w14:schemeClr w14:val="tx1"/>
            </w14:solidFill>
          </w14:textFill>
        </w:rPr>
        <w:drawing>
          <wp:inline distT="0" distB="0" distL="0" distR="0">
            <wp:extent cx="2627630" cy="176339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628000" cy="1763686"/>
                    </a:xfrm>
                    <a:prstGeom prst="rect">
                      <a:avLst/>
                    </a:prstGeom>
                    <a:noFill/>
                    <a:ln>
                      <a:noFill/>
                    </a:ln>
                  </pic:spPr>
                </pic:pic>
              </a:graphicData>
            </a:graphic>
          </wp:inline>
        </w:drawing>
      </w: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图D.2.1 桩土荷载传递函数模型</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以上、下段桩的加载点为坐标原点，以加载方向为正，即上段桩坐标以向上为正，下段桩坐标以向下为正（图D.2.2）。其中</w:t>
      </w:r>
      <w:r>
        <w:rPr>
          <w:rFonts w:hint="eastAsia" w:ascii="Times New Roman" w:hAnsi="Times New Roman" w:cs="Times New Roman"/>
          <w:i/>
          <w:color w:val="000000" w:themeColor="text1"/>
          <w:szCs w:val="21"/>
          <w14:textFill>
            <w14:solidFill>
              <w14:schemeClr w14:val="tx1"/>
            </w14:solidFill>
          </w14:textFill>
        </w:rPr>
        <w:t>l</w:t>
      </w:r>
      <w:r>
        <w:rPr>
          <w:rFonts w:hint="eastAsia" w:ascii="Times New Roman" w:hAnsi="Times New Roman" w:cs="Times New Roman"/>
          <w:color w:val="000000" w:themeColor="text1"/>
          <w:szCs w:val="21"/>
          <w:vertAlign w:val="subscript"/>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l</w:t>
      </w:r>
      <w:r>
        <w:rPr>
          <w:rFonts w:hint="eastAsia" w:ascii="Times New Roman" w:hAnsi="Times New Roman" w:cs="Times New Roman"/>
          <w:color w:val="000000" w:themeColor="text1"/>
          <w:szCs w:val="21"/>
          <w:vertAlign w:val="subscript"/>
          <w14:textFill>
            <w14:solidFill>
              <w14:schemeClr w14:val="tx1"/>
            </w14:solidFill>
          </w14:textFill>
        </w:rPr>
        <w:t>2</w:t>
      </w:r>
      <w:r>
        <w:rPr>
          <w:rFonts w:hint="eastAsia" w:ascii="Times New Roman" w:hAnsi="Times New Roman" w:cs="Times New Roman"/>
          <w:color w:val="000000" w:themeColor="text1"/>
          <w:szCs w:val="21"/>
          <w14:textFill>
            <w14:solidFill>
              <w14:schemeClr w14:val="tx1"/>
            </w14:solidFill>
          </w14:textFill>
        </w:rPr>
        <w:t>为桩侧土进入塑性区的长度，上段桩桩长为</w:t>
      </w:r>
      <w:r>
        <w:rPr>
          <w:rFonts w:hint="eastAsia" w:ascii="Times New Roman" w:hAnsi="Times New Roman" w:cs="Times New Roman"/>
          <w:i/>
          <w:color w:val="000000" w:themeColor="text1"/>
          <w:szCs w:val="21"/>
          <w14:textFill>
            <w14:solidFill>
              <w14:schemeClr w14:val="tx1"/>
            </w14:solidFill>
          </w14:textFill>
        </w:rPr>
        <w:t>L</w:t>
      </w:r>
      <w:r>
        <w:rPr>
          <w:rFonts w:hint="eastAsia"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，对应加载点荷载为</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，位移为</w:t>
      </w:r>
      <w:r>
        <w:rPr>
          <w:rFonts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；下段桩桩长为</w:t>
      </w:r>
      <w:r>
        <w:rPr>
          <w:rFonts w:hint="eastAsia" w:ascii="Times New Roman" w:hAnsi="Times New Roman" w:cs="Times New Roman"/>
          <w:i/>
          <w:color w:val="000000" w:themeColor="text1"/>
          <w:szCs w:val="21"/>
          <w14:textFill>
            <w14:solidFill>
              <w14:schemeClr w14:val="tx1"/>
            </w14:solidFill>
          </w14:textFill>
        </w:rPr>
        <w:t>L</w:t>
      </w:r>
      <w:r>
        <w:rPr>
          <w:rFonts w:hint="eastAsia" w:ascii="Times New Roman" w:hAnsi="Times New Roman" w:cs="Times New Roman"/>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，对应加载点荷载为</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，位移为</w:t>
      </w:r>
      <w:r>
        <w:rPr>
          <w:rFonts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w:t>
      </w:r>
    </w:p>
    <w:p>
      <w:pPr>
        <w:spacing w:line="360" w:lineRule="auto"/>
        <w:jc w:val="center"/>
        <w:rPr>
          <w:rFonts w:ascii="Times New Roman" w:hAnsi="Times New Roman" w:eastAsia="宋体" w:cs="Times New Roman"/>
          <w:color w:val="000000" w:themeColor="text1"/>
          <w:szCs w:val="21"/>
          <w14:textFill>
            <w14:solidFill>
              <w14:schemeClr w14:val="tx1"/>
            </w14:solidFill>
          </w14:textFill>
        </w:rPr>
      </w:pPr>
      <w:r>
        <w:rPr>
          <w:rFonts w:hint="eastAsia" w:ascii="Calibri" w:hAnsi="Calibri" w:eastAsia="宋体" w:cs="Times New Roman"/>
          <w:color w:val="000000" w:themeColor="text1"/>
          <w:szCs w:val="21"/>
          <w14:textFill>
            <w14:solidFill>
              <w14:schemeClr w14:val="tx1"/>
            </w14:solidFill>
          </w14:textFill>
        </w:rPr>
        <w:drawing>
          <wp:inline distT="0" distB="0" distL="0" distR="0">
            <wp:extent cx="1746250" cy="2571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751069" cy="2578257"/>
                    </a:xfrm>
                    <a:prstGeom prst="rect">
                      <a:avLst/>
                    </a:prstGeom>
                    <a:noFill/>
                    <a:ln>
                      <a:noFill/>
                    </a:ln>
                  </pic:spPr>
                </pic:pic>
              </a:graphicData>
            </a:graphic>
          </wp:inline>
        </w:drawing>
      </w:r>
      <w:r>
        <w:rPr>
          <w:rFonts w:ascii="Calibri" w:hAnsi="Calibri" w:eastAsia="宋体" w:cs="Times New Roman"/>
          <w:color w:val="000000" w:themeColor="text1"/>
          <w:szCs w:val="21"/>
          <w14:textFill>
            <w14:solidFill>
              <w14:schemeClr w14:val="tx1"/>
            </w14:solidFill>
          </w14:textFill>
        </w:rPr>
        <w:drawing>
          <wp:inline distT="0" distB="0" distL="0" distR="0">
            <wp:extent cx="1586865" cy="24955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592431" cy="2503565"/>
                    </a:xfrm>
                    <a:prstGeom prst="rect">
                      <a:avLst/>
                    </a:prstGeom>
                    <a:noFill/>
                    <a:ln>
                      <a:noFill/>
                    </a:ln>
                  </pic:spPr>
                </pic:pic>
              </a:graphicData>
            </a:graphic>
          </wp:inline>
        </w:drawing>
      </w: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图D.2.2 上、下段桩进入塑性阶段示意图</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这里记：</w:t>
      </w:r>
    </w:p>
    <w:p>
      <w:pPr>
        <w:spacing w:line="360" w:lineRule="auto"/>
        <w:ind w:firstLine="420" w:firstLineChars="200"/>
        <w:jc w:val="left"/>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rad>
          <m:radPr>
            <m:degHide m:val="1"/>
            <m:ctrlPr>
              <w:rPr>
                <w:rFonts w:ascii="Cambria Math" w:hAnsi="Cambria Math" w:cs="Times New Roman"/>
                <w:i/>
                <w:color w:val="000000" w:themeColor="text1"/>
                <w:szCs w:val="21"/>
                <w14:textFill>
                  <w14:solidFill>
                    <w14:schemeClr w14:val="tx1"/>
                  </w14:solidFill>
                </w14:textFill>
              </w:rPr>
            </m:ctrlPr>
          </m:radPr>
          <m:deg>
            <m:ctrlPr>
              <w:rPr>
                <w:rFonts w:ascii="Cambria Math" w:hAnsi="Cambria Math" w:cs="Times New Roman"/>
                <w:i/>
                <w:color w:val="000000" w:themeColor="text1"/>
                <w:szCs w:val="21"/>
                <w14:textFill>
                  <w14:solidFill>
                    <w14:schemeClr w14:val="tx1"/>
                  </w14:solidFill>
                </w14:textFill>
              </w:rPr>
            </m:ctrlPr>
          </m:deg>
          <m:e>
            <m:r>
              <m:rPr/>
              <w:rPr>
                <w:rFonts w:ascii="Cambria Math" w:hAnsi="Cambria Math" w:cs="Times New Roman"/>
                <w:color w:val="000000" w:themeColor="text1"/>
                <w:szCs w:val="21"/>
                <w14:textFill>
                  <w14:solidFill>
                    <w14:schemeClr w14:val="tx1"/>
                  </w14:solidFill>
                </w14:textFill>
              </w:rPr>
              <m:t>U</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λ</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/EA</m:t>
            </m:r>
            <m:ctrlPr>
              <w:rPr>
                <w:rFonts w:ascii="Cambria Math" w:hAnsi="Cambria Math" w:cs="Times New Roman"/>
                <w:i/>
                <w:color w:val="000000" w:themeColor="text1"/>
                <w:szCs w:val="21"/>
                <w14:textFill>
                  <w14:solidFill>
                    <w14:schemeClr w14:val="tx1"/>
                  </w14:solidFill>
                </w14:textFill>
              </w:rPr>
            </m:ctrlPr>
          </m:e>
        </m:rad>
        <m:r>
          <m:rPr/>
          <w:rPr>
            <w:rFonts w:ascii="Cambria Math" w:hAnsi="Cambria Math" w:cs="Times New Roman"/>
            <w:color w:val="000000" w:themeColor="text1"/>
            <w:szCs w:val="21"/>
            <w14:textFill>
              <w14:solidFill>
                <w14:schemeClr w14:val="tx1"/>
              </w14:solidFill>
            </w14:textFill>
          </w:rPr>
          <m:t>  (i=1,2,3,4)</m:t>
        </m:r>
      </m:oMath>
      <w:r>
        <w:rPr>
          <w:rFonts w:ascii="Times New Roman" w:hAnsi="Times New Roman" w:cs="Times New Roman"/>
          <w:color w:val="000000" w:themeColor="text1"/>
          <w:szCs w:val="21"/>
          <w14:textFill>
            <w14:solidFill>
              <w14:schemeClr w14:val="tx1"/>
            </w14:solidFill>
          </w14:textFill>
        </w:rPr>
        <w:t>；</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m</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Sup>
          <m:sSubSupPr>
            <m:ctrlPr>
              <w:rPr>
                <w:rFonts w:ascii="Cambria Math" w:hAnsi="Cambria Math" w:cs="Times New Roman"/>
                <w:i/>
                <w:color w:val="000000" w:themeColor="text1"/>
                <w:szCs w:val="21"/>
                <w14:textFill>
                  <w14:solidFill>
                    <w14:schemeClr w14:val="tx1"/>
                  </w14:solidFill>
                </w14:textFill>
              </w:rPr>
            </m:ctrlPr>
          </m:sSubSup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sub>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bSup>
        <m:r>
          <m:rPr/>
          <w:rPr>
            <w:rFonts w:ascii="Cambria Math" w:hAnsi="Cambria Math" w:cs="Times New Roman"/>
            <w:color w:val="000000" w:themeColor="text1"/>
            <w:szCs w:val="21"/>
            <w14:textFill>
              <w14:solidFill>
                <w14:schemeClr w14:val="tx1"/>
              </w14:solidFill>
            </w14:textFill>
          </w:rPr>
          <m:t>−</m:t>
        </m:r>
        <m:sSubSup>
          <m:sSubSupPr>
            <m:ctrlPr>
              <w:rPr>
                <w:rFonts w:ascii="Cambria Math" w:hAnsi="Cambria Math" w:cs="Times New Roman"/>
                <w:i/>
                <w:color w:val="000000" w:themeColor="text1"/>
                <w:szCs w:val="21"/>
                <w14:textFill>
                  <w14:solidFill>
                    <w14:schemeClr w14:val="tx1"/>
                  </w14:solidFill>
                </w14:textFill>
              </w:rPr>
            </m:ctrlPr>
          </m:sSubSup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b>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bSup>
        <m:r>
          <m:rPr/>
          <w:rPr>
            <w:rFonts w:ascii="Cambria Math" w:hAnsi="Cambria Math" w:cs="Times New Roman"/>
            <w:color w:val="000000" w:themeColor="text1"/>
            <w:szCs w:val="21"/>
            <w14:textFill>
              <w14:solidFill>
                <w14:schemeClr w14:val="tx1"/>
              </w14:solidFill>
            </w14:textFill>
          </w:rPr>
          <m:t>)/</m:t>
        </m:r>
        <m:sSubSup>
          <m:sSubSupPr>
            <m:ctrlPr>
              <w:rPr>
                <w:rFonts w:ascii="Cambria Math" w:hAnsi="Cambria Math" w:cs="Times New Roman"/>
                <w:i/>
                <w:color w:val="000000" w:themeColor="text1"/>
                <w:szCs w:val="21"/>
                <w14:textFill>
                  <w14:solidFill>
                    <w14:schemeClr w14:val="tx1"/>
                  </w14:solidFill>
                </w14:textFill>
              </w:rPr>
            </m:ctrlPr>
          </m:sSubSup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b>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bSup>
      </m:oMath>
      <w:r>
        <w:rPr>
          <w:rFonts w:ascii="Times New Roman" w:hAnsi="Times New Roman" w:cs="Times New Roman"/>
          <w:color w:val="000000" w:themeColor="text1"/>
          <w:szCs w:val="21"/>
          <w14:textFill>
            <w14:solidFill>
              <w14:schemeClr w14:val="tx1"/>
            </w14:solidFill>
          </w14:textFill>
        </w:rPr>
        <w:t>；</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m</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Sup>
          <m:sSubSupPr>
            <m:ctrlPr>
              <w:rPr>
                <w:rFonts w:ascii="Cambria Math" w:hAnsi="Cambria Math" w:cs="Times New Roman"/>
                <w:i/>
                <w:color w:val="000000" w:themeColor="text1"/>
                <w:szCs w:val="21"/>
                <w14:textFill>
                  <w14:solidFill>
                    <w14:schemeClr w14:val="tx1"/>
                  </w14:solidFill>
                </w14:textFill>
              </w:rPr>
            </m:ctrlPr>
          </m:sSubSup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3</m:t>
            </m:r>
            <m:ctrlPr>
              <w:rPr>
                <w:rFonts w:ascii="Cambria Math" w:hAnsi="Cambria Math" w:cs="Times New Roman"/>
                <w:i/>
                <w:color w:val="000000" w:themeColor="text1"/>
                <w:szCs w:val="21"/>
                <w14:textFill>
                  <w14:solidFill>
                    <w14:schemeClr w14:val="tx1"/>
                  </w14:solidFill>
                </w14:textFill>
              </w:rPr>
            </m:ctrlPr>
          </m:sub>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bSup>
        <m:r>
          <m:rPr/>
          <w:rPr>
            <w:rFonts w:ascii="Cambria Math" w:hAnsi="Cambria Math" w:cs="Times New Roman"/>
            <w:color w:val="000000" w:themeColor="text1"/>
            <w:szCs w:val="21"/>
            <w14:textFill>
              <w14:solidFill>
                <w14:schemeClr w14:val="tx1"/>
              </w14:solidFill>
            </w14:textFill>
          </w:rPr>
          <m:t>−</m:t>
        </m:r>
        <m:sSubSup>
          <m:sSubSupPr>
            <m:ctrlPr>
              <w:rPr>
                <w:rFonts w:ascii="Cambria Math" w:hAnsi="Cambria Math" w:cs="Times New Roman"/>
                <w:i/>
                <w:color w:val="000000" w:themeColor="text1"/>
                <w:szCs w:val="21"/>
                <w14:textFill>
                  <w14:solidFill>
                    <w14:schemeClr w14:val="tx1"/>
                  </w14:solidFill>
                </w14:textFill>
              </w:rPr>
            </m:ctrlPr>
          </m:sSubSup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bSup>
        <m:r>
          <m:rPr/>
          <w:rPr>
            <w:rFonts w:ascii="Cambria Math" w:hAnsi="Cambria Math" w:cs="Times New Roman"/>
            <w:color w:val="000000" w:themeColor="text1"/>
            <w:szCs w:val="21"/>
            <w14:textFill>
              <w14:solidFill>
                <w14:schemeClr w14:val="tx1"/>
              </w14:solidFill>
            </w14:textFill>
          </w:rPr>
          <m:t>)/</m:t>
        </m:r>
        <m:sSubSup>
          <m:sSubSupPr>
            <m:ctrlPr>
              <w:rPr>
                <w:rFonts w:ascii="Cambria Math" w:hAnsi="Cambria Math" w:cs="Times New Roman"/>
                <w:i/>
                <w:color w:val="000000" w:themeColor="text1"/>
                <w:szCs w:val="21"/>
                <w14:textFill>
                  <w14:solidFill>
                    <w14:schemeClr w14:val="tx1"/>
                  </w14:solidFill>
                </w14:textFill>
              </w:rPr>
            </m:ctrlPr>
          </m:sSubSup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bSup>
      </m:oMath>
      <w:r>
        <w:rPr>
          <w:rFonts w:ascii="Times New Roman" w:hAnsi="Times New Roman" w:cs="Times New Roman"/>
          <w:color w:val="000000" w:themeColor="text1"/>
          <w:szCs w:val="21"/>
          <w14:textFill>
            <w14:solidFill>
              <w14:schemeClr w14:val="tx1"/>
            </w14:solidFill>
          </w14:textFill>
        </w:rPr>
        <w:t>；</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m:sty m:val="p"/>
              </m:rPr>
              <w:rPr>
                <w:rFonts w:hint="eastAsia"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L</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 </m:t>
        </m:r>
        <m:d>
          <m:dPr>
            <m:ctrlPr>
              <w:rPr>
                <w:rFonts w:ascii="Cambria Math" w:hAnsi="Cambria Math" w:cs="Times New Roman"/>
                <w:i/>
                <w:color w:val="000000" w:themeColor="text1"/>
                <w:szCs w:val="21"/>
                <w14:textFill>
                  <w14:solidFill>
                    <w14:schemeClr w14:val="tx1"/>
                  </w14:solidFill>
                </w14:textFill>
              </w:rPr>
            </m:ctrlPr>
          </m:dPr>
          <m:e>
            <m:r>
              <m:rPr/>
              <w:rPr>
                <w:rFonts w:ascii="Cambria Math" w:hAnsi="Cambria Math" w:cs="Times New Roman"/>
                <w:color w:val="000000" w:themeColor="text1"/>
                <w:szCs w:val="21"/>
                <w14:textFill>
                  <w14:solidFill>
                    <w14:schemeClr w14:val="tx1"/>
                  </w14:solidFill>
                </w14:textFill>
              </w:rPr>
              <m:t>i=1,2</m:t>
            </m:r>
            <m:ctrlPr>
              <w:rPr>
                <w:rFonts w:ascii="Cambria Math" w:hAnsi="Cambria Math" w:cs="Times New Roman"/>
                <w:i/>
                <w:color w:val="000000" w:themeColor="text1"/>
                <w:szCs w:val="21"/>
                <w14:textFill>
                  <w14:solidFill>
                    <w14:schemeClr w14:val="tx1"/>
                  </w14:solidFill>
                </w14:textFill>
              </w:rPr>
            </m:ctrlPr>
          </m:e>
        </m:d>
      </m:oMath>
      <w:r>
        <w:rPr>
          <w:rFonts w:ascii="Times New Roman" w:hAnsi="Times New Roman" w:cs="Times New Roman"/>
          <w:color w:val="000000" w:themeColor="text1"/>
          <w:szCs w:val="21"/>
          <w14:textFill>
            <w14:solidFill>
              <w14:schemeClr w14:val="tx1"/>
            </w14:solidFill>
          </w14:textFill>
        </w:rPr>
        <w:t>；</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m:sty m:val="p"/>
              </m:rPr>
              <w:rPr>
                <w:rFonts w:hint="eastAsia"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L</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d</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 </m:t>
        </m:r>
        <m:d>
          <m:dPr>
            <m:ctrlPr>
              <w:rPr>
                <w:rFonts w:ascii="Cambria Math" w:hAnsi="Cambria Math" w:cs="Times New Roman"/>
                <w:i/>
                <w:color w:val="000000" w:themeColor="text1"/>
                <w:szCs w:val="21"/>
                <w14:textFill>
                  <w14:solidFill>
                    <w14:schemeClr w14:val="tx1"/>
                  </w14:solidFill>
                </w14:textFill>
              </w:rPr>
            </m:ctrlPr>
          </m:dPr>
          <m:e>
            <m:r>
              <m:rPr/>
              <w:rPr>
                <w:rFonts w:ascii="Cambria Math" w:hAnsi="Cambria Math" w:cs="Times New Roman"/>
                <w:color w:val="000000" w:themeColor="text1"/>
                <w:szCs w:val="21"/>
                <w14:textFill>
                  <w14:solidFill>
                    <w14:schemeClr w14:val="tx1"/>
                  </w14:solidFill>
                </w14:textFill>
              </w:rPr>
              <m:t>i=3,4</m:t>
            </m:r>
            <m:ctrlPr>
              <w:rPr>
                <w:rFonts w:ascii="Cambria Math" w:hAnsi="Cambria Math" w:cs="Times New Roman"/>
                <w:i/>
                <w:color w:val="000000" w:themeColor="text1"/>
                <w:szCs w:val="21"/>
                <w14:textFill>
                  <w14:solidFill>
                    <w14:schemeClr w14:val="tx1"/>
                  </w14:solidFill>
                </w14:textFill>
              </w:rPr>
            </m:ctrlPr>
          </m:e>
        </m:d>
      </m:oMath>
      <w:r>
        <w:rPr>
          <w:rFonts w:ascii="Times New Roman" w:hAnsi="Times New Roman" w:cs="Times New Roman"/>
          <w:color w:val="000000" w:themeColor="text1"/>
          <w:szCs w:val="21"/>
          <w14:textFill>
            <w14:solidFill>
              <w14:schemeClr w14:val="tx1"/>
            </w14:solidFill>
          </w14:textFill>
        </w:rPr>
        <w:t>；</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l</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 </m:t>
        </m:r>
        <m:d>
          <m:dPr>
            <m:ctrlPr>
              <w:rPr>
                <w:rFonts w:ascii="Cambria Math" w:hAnsi="Cambria Math" w:cs="Times New Roman"/>
                <w:i/>
                <w:color w:val="000000" w:themeColor="text1"/>
                <w:szCs w:val="21"/>
                <w14:textFill>
                  <w14:solidFill>
                    <w14:schemeClr w14:val="tx1"/>
                  </w14:solidFill>
                </w14:textFill>
              </w:rPr>
            </m:ctrlPr>
          </m:dPr>
          <m:e>
            <m:r>
              <m:rPr/>
              <w:rPr>
                <w:rFonts w:ascii="Cambria Math" w:hAnsi="Cambria Math" w:cs="Times New Roman"/>
                <w:color w:val="000000" w:themeColor="text1"/>
                <w:szCs w:val="21"/>
                <w14:textFill>
                  <w14:solidFill>
                    <w14:schemeClr w14:val="tx1"/>
                  </w14:solidFill>
                </w14:textFill>
              </w:rPr>
              <m:t>i=1,2</m:t>
            </m:r>
            <m:ctrlPr>
              <w:rPr>
                <w:rFonts w:ascii="Cambria Math" w:hAnsi="Cambria Math" w:cs="Times New Roman"/>
                <w:i/>
                <w:color w:val="000000" w:themeColor="text1"/>
                <w:szCs w:val="21"/>
                <w14:textFill>
                  <w14:solidFill>
                    <w14:schemeClr w14:val="tx1"/>
                  </w14:solidFill>
                </w14:textFill>
              </w:rPr>
            </m:ctrlPr>
          </m:e>
        </m:d>
      </m:oMath>
      <w:r>
        <w:rPr>
          <w:rFonts w:ascii="Times New Roman" w:hAnsi="Times New Roman" w:cs="Times New Roman"/>
          <w:color w:val="000000" w:themeColor="text1"/>
          <w:szCs w:val="21"/>
          <w14:textFill>
            <w14:solidFill>
              <w14:schemeClr w14:val="tx1"/>
            </w14:solidFill>
          </w14:textFill>
        </w:rPr>
        <w:t>；</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l</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 </m:t>
        </m:r>
        <m:d>
          <m:dPr>
            <m:ctrlPr>
              <w:rPr>
                <w:rFonts w:ascii="Cambria Math" w:hAnsi="Times New Roman" w:cs="Times New Roman"/>
                <w:i/>
                <w:color w:val="000000" w:themeColor="text1"/>
                <w:szCs w:val="21"/>
                <w14:textFill>
                  <w14:solidFill>
                    <w14:schemeClr w14:val="tx1"/>
                  </w14:solidFill>
                </w14:textFill>
              </w:rPr>
            </m:ctrlPr>
          </m:dPr>
          <m:e>
            <m:r>
              <m:rPr/>
              <w:rPr>
                <w:rFonts w:ascii="Cambria Math" w:hAnsi="Times New Roman" w:cs="Times New Roman"/>
                <w:color w:val="000000" w:themeColor="text1"/>
                <w:szCs w:val="21"/>
                <w14:textFill>
                  <w14:solidFill>
                    <w14:schemeClr w14:val="tx1"/>
                  </w14:solidFill>
                </w14:textFill>
              </w:rPr>
              <m:t>i=3,4</m:t>
            </m:r>
            <m:ctrlPr>
              <w:rPr>
                <w:rFonts w:ascii="Cambria Math" w:hAnsi="Times New Roman" w:cs="Times New Roman"/>
                <w:i/>
                <w:color w:val="000000" w:themeColor="text1"/>
                <w:szCs w:val="21"/>
                <w14:textFill>
                  <w14:solidFill>
                    <w14:schemeClr w14:val="tx1"/>
                  </w14:solidFill>
                </w14:textFill>
              </w:rPr>
            </m:ctrlPr>
          </m:e>
        </m:d>
      </m:oMath>
      <w:r>
        <w:rPr>
          <w:rFonts w:hint="eastAsia" w:ascii="Times New Roman" w:hAnsi="Times New Roman" w:cs="Times New Roman"/>
          <w:color w:val="000000" w:themeColor="text1"/>
          <w:szCs w:val="21"/>
          <w14:textFill>
            <w14:solidFill>
              <w14:schemeClr w14:val="tx1"/>
            </w14:solidFill>
          </w14:textFill>
        </w:rPr>
        <w:t>。</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式中，</w:t>
      </w:r>
      <w:r>
        <w:rPr>
          <w:rFonts w:ascii="Times New Roman" w:hAnsi="Times New Roman" w:cs="Times New Roman"/>
          <w:i/>
          <w:color w:val="000000" w:themeColor="text1"/>
          <w:szCs w:val="21"/>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为桩身周长；</w:t>
      </w:r>
      <w:r>
        <w:rPr>
          <w:rFonts w:hint="eastAsia" w:ascii="Times New Roman" w:hAnsi="Times New Roman" w:cs="Times New Roman"/>
          <w:i/>
          <w:color w:val="000000" w:themeColor="text1"/>
          <w:szCs w:val="21"/>
          <w14:textFill>
            <w14:solidFill>
              <w14:schemeClr w14:val="tx1"/>
            </w14:solidFill>
          </w14:textFill>
        </w:rPr>
        <w:t>E</w:t>
      </w:r>
      <w:r>
        <w:rPr>
          <w:rFonts w:hint="eastAsia" w:ascii="Times New Roman" w:hAnsi="Times New Roman" w:cs="Times New Roman"/>
          <w:color w:val="000000" w:themeColor="text1"/>
          <w:szCs w:val="21"/>
          <w14:textFill>
            <w14:solidFill>
              <w14:schemeClr w14:val="tx1"/>
            </w14:solidFill>
          </w14:textFill>
        </w:rPr>
        <w:t>为桩身弹性模量；</w:t>
      </w:r>
      <w:r>
        <w:rPr>
          <w:rFonts w:hint="eastAsia" w:ascii="Times New Roman" w:hAnsi="Times New Roman" w:cs="Times New Roman"/>
          <w:i/>
          <w:color w:val="000000" w:themeColor="text1"/>
          <w:szCs w:val="21"/>
          <w14:textFill>
            <w14:solidFill>
              <w14:schemeClr w14:val="tx1"/>
            </w14:solidFill>
          </w14:textFill>
        </w:rPr>
        <w:t>A</w:t>
      </w:r>
      <w:r>
        <w:rPr>
          <w:rFonts w:hint="eastAsia" w:ascii="Times New Roman" w:hAnsi="Times New Roman" w:cs="Times New Roman"/>
          <w:color w:val="000000" w:themeColor="text1"/>
          <w:szCs w:val="21"/>
          <w14:textFill>
            <w14:solidFill>
              <w14:schemeClr w14:val="tx1"/>
            </w14:solidFill>
          </w14:textFill>
        </w:rPr>
        <w:t>为桩身横截面面积。</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D</w:t>
      </w:r>
      <w:r>
        <w:rPr>
          <w:rFonts w:hint="eastAsia" w:ascii="Times New Roman" w:hAnsi="Times New Roman" w:cs="Times New Roman"/>
          <w:b/>
          <w:bCs/>
          <w:color w:val="000000" w:themeColor="text1"/>
          <w:szCs w:val="21"/>
          <w14:textFill>
            <w14:solidFill>
              <w14:schemeClr w14:val="tx1"/>
            </w14:solidFill>
          </w14:textFill>
        </w:rPr>
        <w:t>.2.2</w:t>
      </w:r>
      <w:r>
        <w:rPr>
          <w:rFonts w:hint="eastAsia" w:ascii="Times New Roman" w:hAnsi="Times New Roman" w:cs="Times New Roman"/>
          <w:color w:val="000000" w:themeColor="text1"/>
          <w:szCs w:val="21"/>
          <w14:textFill>
            <w14:solidFill>
              <w14:schemeClr w14:val="tx1"/>
            </w14:solidFill>
          </w14:textFill>
        </w:rPr>
        <w:t xml:space="preserve"> 自锚试桩上段桩解析解公式</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（1）桩周土处于弹性阶段</w:t>
      </w: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221"/>
        <w:gridCol w:w="16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79" w:type="pct"/>
            <w:vAlign w:val="center"/>
          </w:tcPr>
          <w:p>
            <w:pPr>
              <w:spacing w:line="360" w:lineRule="auto"/>
              <w:rPr>
                <w:rFonts w:ascii="Times New Roman" w:hAnsi="Times New Roman" w:cs="Times New Roman"/>
                <w:color w:val="000000" w:themeColor="text1"/>
                <w:szCs w:val="21"/>
                <w14:textFill>
                  <w14:solidFill>
                    <w14:schemeClr w14:val="tx1"/>
                  </w14:solidFill>
                </w14:textFill>
              </w:rPr>
            </w:pPr>
          </w:p>
        </w:tc>
        <w:tc>
          <w:tcPr>
            <w:tcW w:w="3063" w:type="pct"/>
            <w:vAlign w:val="center"/>
          </w:tcPr>
          <w:p>
            <w:pPr>
              <w:spacing w:line="360" w:lineRule="auto"/>
              <w:jc w:val="center"/>
              <w:rPr>
                <w:rFonts w:ascii="Times New Roman" w:hAnsi="Times New Roman" w:cs="Times New Roman"/>
                <w:color w:val="000000" w:themeColor="text1"/>
                <w:szCs w:val="21"/>
                <w14:textFill>
                  <w14:solidFill>
                    <w14:schemeClr w14:val="tx1"/>
                  </w14:solidFill>
                </w14:textFill>
              </w:rPr>
            </w:pPr>
            <m:oMathPara>
              <m:oMath>
                <m:f>
                  <m:fPr>
                    <m:ctrlPr>
                      <w:rPr>
                        <w:rFonts w:ascii="Cambria Math" w:hAnsi="Times New Roman" w:cs="Times New Roman"/>
                        <w:i/>
                        <w:color w:val="000000" w:themeColor="text1"/>
                        <w:szCs w:val="21"/>
                        <w14:textFill>
                          <w14:solidFill>
                            <w14:schemeClr w14:val="tx1"/>
                          </w14:solidFill>
                        </w14:textFill>
                      </w:rPr>
                    </m:ctrlPr>
                  </m:fPr>
                  <m:num>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hint="eastAsia"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num>
                  <m:den>
                    <m:sSub>
                      <m:sSubPr>
                        <m:ctrlPr>
                          <w:rPr>
                            <w:rFonts w:ascii="Cambria Math" w:hAnsi="Times New Roman" w:cs="Times New Roman"/>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Cs/>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Cs/>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den>
                </m:f>
                <m:r>
                  <m:rPr/>
                  <w:rPr>
                    <w:rFonts w:ascii="Cambria Math" w:hAnsi="Times New Roman" w:cs="Times New Roman"/>
                    <w:color w:val="000000" w:themeColor="text1"/>
                    <w:szCs w:val="21"/>
                    <w14:textFill>
                      <w14:solidFill>
                        <w14:schemeClr w14:val="tx1"/>
                      </w14:solidFill>
                    </w14:textFill>
                  </w:rPr>
                  <m:t>=EA</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tan</m:t>
                    </m:r>
                    <m:ctrlPr>
                      <w:rPr>
                        <w:rFonts w:ascii="Cambria Math" w:hAnsi="Times New Roman"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oMath>
            </m:oMathPara>
          </w:p>
        </w:tc>
        <w:tc>
          <w:tcPr>
            <w:tcW w:w="958" w:type="pct"/>
            <w:vAlign w:val="center"/>
          </w:tcPr>
          <w:p>
            <w:pPr>
              <w:spacing w:line="360" w:lineRule="auto"/>
              <w:jc w:val="righ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（D.2.2-1）</w:t>
            </w:r>
          </w:p>
        </w:tc>
      </w:tr>
    </w:tbl>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w:t>
      </w:r>
      <w:r>
        <w:rPr>
          <w:rFonts w:hint="eastAsia" w:ascii="Times New Roman" w:hAnsi="Times New Roman" w:cs="Times New Roman"/>
          <w:color w:val="000000" w:themeColor="text1"/>
          <w:szCs w:val="21"/>
          <w14:textFill>
            <w14:solidFill>
              <w14:schemeClr w14:val="tx1"/>
            </w14:solidFill>
          </w14:textFill>
        </w:rPr>
        <w:t>桩周土部分处于塑性阶段</w:t>
      </w:r>
    </w:p>
    <w:p>
      <w:pPr>
        <w:spacing w:line="360" w:lineRule="auto"/>
        <w:jc w:val="right"/>
        <w:rPr>
          <w:rFonts w:ascii="Times New Roman" w:hAnsi="Times New Roman" w:cs="Times New Roman"/>
          <w:color w:val="000000" w:themeColor="text1"/>
          <w:szCs w:val="21"/>
          <w14:textFill>
            <w14:solidFill>
              <w14:schemeClr w14:val="tx1"/>
            </w14:solidFill>
          </w14:textFill>
        </w:rPr>
      </w:pPr>
      <m:oMath>
        <m:d>
          <m:dPr>
            <m:begChr m:val="{"/>
            <m:endChr m:val=""/>
            <m:ctrlPr>
              <w:rPr>
                <w:rFonts w:ascii="Cambria Math" w:hAnsi="Times New Roman" w:cs="Times New Roman"/>
                <w:i/>
                <w:color w:val="000000" w:themeColor="text1"/>
                <w:szCs w:val="21"/>
                <w14:textFill>
                  <w14:solidFill>
                    <w14:schemeClr w14:val="tx1"/>
                  </w14:solidFill>
                </w14:textFill>
              </w:rPr>
            </m:ctrlPr>
          </m:dPr>
          <m:e>
            <m:eqArr>
              <m:eqArrPr>
                <m:ctrlPr>
                  <w:rPr>
                    <w:rFonts w:ascii="Cambria Math" w:hAnsi="Times New Roman" w:cs="Times New Roman"/>
                    <w:i/>
                    <w:color w:val="000000" w:themeColor="text1"/>
                    <w:szCs w:val="21"/>
                    <w14:textFill>
                      <w14:solidFill>
                        <w14:schemeClr w14:val="tx1"/>
                      </w14:solidFill>
                    </w14:textFill>
                  </w:rPr>
                </m:ctrlPr>
              </m:eqArr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hint="eastAsia"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&amp;=EA</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d>
                  <m:dPr>
                    <m:begChr m:val="["/>
                    <m:endChr m:val=""/>
                    <m:ctrlPr>
                      <w:rPr>
                        <w:rFonts w:ascii="Cambria Math" w:hAnsi="Times New Roman" w:cs="Times New Roman"/>
                        <w:i/>
                        <w:color w:val="000000" w:themeColor="text1"/>
                        <w:szCs w:val="21"/>
                        <w14:textFill>
                          <w14:solidFill>
                            <w14:schemeClr w14:val="tx1"/>
                          </w14:solidFill>
                        </w14:textFill>
                      </w:rPr>
                    </m:ctrlPr>
                  </m:dPr>
                  <m:e>
                    <m:f>
                      <m:fPr>
                        <m:ctrlPr>
                          <w:rPr>
                            <w:rFonts w:ascii="Cambria Math" w:hAnsi="Times New Roman" w:cs="Times New Roman"/>
                            <w:i/>
                            <w:color w:val="000000" w:themeColor="text1"/>
                            <w:szCs w:val="21"/>
                            <w14:textFill>
                              <w14:solidFill>
                                <w14:schemeClr w14:val="tx1"/>
                              </w14:solidFill>
                            </w14:textFill>
                          </w:rPr>
                        </m:ctrlPr>
                      </m:fPr>
                      <m:num>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n</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num>
                      <m:den>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m:t>
                            </m:r>
                            <m:ctrlPr>
                              <w:rPr>
                                <w:rFonts w:ascii="Cambria Math" w:hAnsi="Times New Roman"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n</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m:sty m:val="p"/>
                          </m:rPr>
                          <w:rPr>
                            <w:rFonts w:ascii="Cambria Math" w:hAnsi="Times New Roman" w:cs="Times New Roman"/>
                            <w:color w:val="000000" w:themeColor="text1"/>
                            <w:szCs w:val="21"/>
                            <w14:textFill>
                              <w14:solidFill>
                                <w14:schemeClr w14:val="tx1"/>
                              </w14:solidFill>
                            </w14:textFill>
                          </w:rPr>
                          <m:t>sin</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den>
                    </m:f>
                    <m:r>
                      <m:rPr/>
                      <w:rPr>
                        <w:rFonts w:ascii="Cambria Math" w:hAnsi="Times New Roman" w:cs="Times New Roman"/>
                        <w:color w:val="000000" w:themeColor="text1"/>
                        <w:szCs w:val="21"/>
                        <w14:textFill>
                          <w14:solidFill>
                            <w14:schemeClr w14:val="tx1"/>
                          </w14:solidFill>
                        </w14:textFill>
                      </w:rPr>
                      <m:t>−</m:t>
                    </m:r>
                    <m:ctrlPr>
                      <w:rPr>
                        <w:rFonts w:ascii="Cambria Math" w:hAnsi="Cambria Math" w:cs="Times New Roman"/>
                        <w:i/>
                        <w:color w:val="000000" w:themeColor="text1"/>
                        <w:szCs w:val="21"/>
                        <w14:textFill>
                          <w14:solidFill>
                            <w14:schemeClr w14:val="tx1"/>
                          </w14:solidFill>
                        </w14:textFill>
                      </w:rPr>
                    </m:ctrlPr>
                  </m:e>
                </m:d>
                <m:f>
                  <m:fPr>
                    <m:ctrlPr>
                      <w:rPr>
                        <w:rFonts w:ascii="Cambria Math" w:hAnsi="Times New Roman" w:cs="Times New Roman"/>
                        <w:i/>
                        <w:color w:val="000000" w:themeColor="text1"/>
                        <w:szCs w:val="21"/>
                        <w14:textFill>
                          <w14:solidFill>
                            <w14:schemeClr w14:val="tx1"/>
                          </w14:solidFill>
                        </w14:textFill>
                      </w:rPr>
                    </m:ctrlPr>
                  </m:fPr>
                  <m:num>
                    <m:d>
                      <m:dPr>
                        <m:ctrlPr>
                          <w:rPr>
                            <w:rFonts w:ascii="Cambria Math" w:hAnsi="Times New Roman" w:cs="Times New Roman"/>
                            <w:i/>
                            <w:color w:val="000000" w:themeColor="text1"/>
                            <w:szCs w:val="21"/>
                            <w14:textFill>
                              <w14:solidFill>
                                <w14:schemeClr w14:val="tx1"/>
                              </w14:solidFill>
                            </w14:textFill>
                          </w:rPr>
                        </m:ctrlPr>
                      </m:d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e>
                    </m:d>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m:t>
                        </m:r>
                        <m:ctrlPr>
                          <w:rPr>
                            <w:rFonts w:ascii="Cambria Math" w:hAnsi="Times New Roman"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n</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m:sty m:val="p"/>
                      </m:rPr>
                      <w:rPr>
                        <w:rFonts w:ascii="Cambria Math" w:hAnsi="Times New Roman" w:cs="Times New Roman"/>
                        <w:color w:val="000000" w:themeColor="text1"/>
                        <w:szCs w:val="21"/>
                        <w14:textFill>
                          <w14:solidFill>
                            <w14:schemeClr w14:val="tx1"/>
                          </w14:solidFill>
                        </w14:textFill>
                      </w:rPr>
                      <m:t>sin</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num>
                  <m:den>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m:t>
                        </m:r>
                        <m:ctrlPr>
                          <w:rPr>
                            <w:rFonts w:ascii="Cambria Math" w:hAnsi="Times New Roman"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n</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m:sty m:val="p"/>
                      </m:rPr>
                      <w:rPr>
                        <w:rFonts w:ascii="Cambria Math" w:hAnsi="Times New Roman" w:cs="Times New Roman"/>
                        <w:color w:val="000000" w:themeColor="text1"/>
                        <w:szCs w:val="21"/>
                        <w14:textFill>
                          <w14:solidFill>
                            <w14:schemeClr w14:val="tx1"/>
                          </w14:solidFill>
                        </w14:textFill>
                      </w:rPr>
                      <m:t>sin</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den>
                </m:f>
                <m:r>
                  <m:rPr/>
                  <w:rPr>
                    <w:rFonts w:hint="eastAsia" w:ascii="Cambria Math" w:hAnsi="Cambria Math" w:eastAsia="MS Gothic" w:cs="MS Gothic"/>
                    <w:color w:val="000000" w:themeColor="text1"/>
                    <w:szCs w:val="21"/>
                    <w14:textFill>
                      <w14:solidFill>
                        <w14:schemeClr w14:val="tx1"/>
                      </w14:solidFill>
                    </w14:textFill>
                  </w:rPr>
                  <m:t>⋅</m:t>
                </m:r>
                <m:ctrlPr>
                  <w:rPr>
                    <w:rFonts w:ascii="Cambria Math" w:hAnsi="Cambria Math" w:cs="Times New Roman"/>
                    <w:i/>
                    <w:color w:val="000000" w:themeColor="text1"/>
                    <w:szCs w:val="21"/>
                    <w14:textFill>
                      <w14:solidFill>
                        <w14:schemeClr w14:val="tx1"/>
                      </w14:solidFill>
                    </w14:textFill>
                  </w:rPr>
                </m:ctrlPr>
              </m:e>
              <m:e>
                <m:r>
                  <m:rPr>
                    <m:nor/>
                    <m:sty m:val="p"/>
                  </m:rPr>
                  <w:rPr>
                    <w:rFonts w:ascii="Cambria Math" w:hAnsi="Times New Roman" w:cs="Times New Roman"/>
                    <w:b w:val="0"/>
                    <w:i w:val="0"/>
                    <w:color w:val="000000" w:themeColor="text1"/>
                    <w:szCs w:val="21"/>
                    <w14:textFill>
                      <w14:solidFill>
                        <w14:schemeClr w14:val="tx1"/>
                      </w14:solidFill>
                    </w14:textFill>
                  </w:rPr>
                  <m:t xml:space="preserve">  </m:t>
                </m:r>
                <m:d>
                  <m:dPr>
                    <m:begChr m:val=""/>
                    <m:endChr m:val="]"/>
                    <m:ctrlPr>
                      <w:rPr>
                        <w:rFonts w:ascii="Cambria Math" w:hAnsi="Times New Roman" w:cs="Times New Roman"/>
                        <w:i/>
                        <w:color w:val="000000" w:themeColor="text1"/>
                        <w:szCs w:val="21"/>
                        <w14:textFill>
                          <w14:solidFill>
                            <w14:schemeClr w14:val="tx1"/>
                          </w14:solidFill>
                        </w14:textFill>
                      </w:rPr>
                    </m:ctrlPr>
                  </m:dPr>
                  <m:e>
                    <m:f>
                      <m:fPr>
                        <m:ctrlPr>
                          <w:rPr>
                            <w:rFonts w:ascii="Cambria Math" w:hAnsi="Times New Roman" w:cs="Times New Roman"/>
                            <w:i/>
                            <w:color w:val="000000" w:themeColor="text1"/>
                            <w:szCs w:val="21"/>
                            <w14:textFill>
                              <w14:solidFill>
                                <w14:schemeClr w14:val="tx1"/>
                              </w14:solidFill>
                            </w14:textFill>
                          </w:rPr>
                        </m:ctrlPr>
                      </m:fPr>
                      <m:num>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n</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m:t>
                            </m:r>
                            <m:ctrlPr>
                              <w:rPr>
                                <w:rFonts w:ascii="Cambria Math" w:hAnsi="Times New Roman"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r>
                          <m:rPr>
                            <m:sty m:val="p"/>
                          </m:rPr>
                          <w:rPr>
                            <w:rFonts w:ascii="Cambria Math" w:hAnsi="Times New Roman" w:cs="Times New Roman"/>
                            <w:color w:val="000000" w:themeColor="text1"/>
                            <w:szCs w:val="21"/>
                            <w14:textFill>
                              <w14:solidFill>
                                <w14:schemeClr w14:val="tx1"/>
                              </w14:solidFill>
                            </w14:textFill>
                          </w:rPr>
                          <m:t>sin</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num>
                      <m:den>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m:t>
                            </m:r>
                            <m:ctrlPr>
                              <w:rPr>
                                <w:rFonts w:ascii="Cambria Math" w:hAnsi="Times New Roman"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n</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m:sty m:val="p"/>
                              </m:rPr>
                              <w:rPr>
                                <w:rFonts w:ascii="Cambria Math" w:hAnsi="Times New Roman" w:cs="Times New Roman"/>
                                <w:color w:val="000000" w:themeColor="text1"/>
                                <w:szCs w:val="21"/>
                                <w14:textFill>
                                  <w14:solidFill>
                                    <w14:schemeClr w14:val="tx1"/>
                                  </w14:solidFill>
                                </w14:textFill>
                              </w:rPr>
                              <m:t>sin</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ctrlPr>
                          <w:rPr>
                            <w:rFonts w:ascii="Cambria Math" w:hAnsi="Times New Roman" w:cs="Times New Roman"/>
                            <w:i/>
                            <w:color w:val="000000" w:themeColor="text1"/>
                            <w:szCs w:val="21"/>
                            <w14:textFill>
                              <w14:solidFill>
                                <w14:schemeClr w14:val="tx1"/>
                              </w14:solidFill>
                            </w14:textFill>
                          </w:rPr>
                        </m:ctrlPr>
                      </m:den>
                    </m:f>
                    <m:ctrlPr>
                      <w:rPr>
                        <w:rFonts w:ascii="Cambria Math" w:hAnsi="Cambria Math" w:cs="Times New Roman"/>
                        <w:i/>
                        <w:color w:val="000000" w:themeColor="text1"/>
                        <w:szCs w:val="21"/>
                        <w14:textFill>
                          <w14:solidFill>
                            <w14:schemeClr w14:val="tx1"/>
                          </w14:solidFill>
                        </w14:textFill>
                      </w:rPr>
                    </m:ctrlPr>
                  </m:e>
                </m:d>
                <m:ctrlPr>
                  <w:rPr>
                    <w:rFonts w:ascii="Cambria Math" w:hAnsi="Times New Roman" w:cs="Times New Roman"/>
                    <w:i/>
                    <w:color w:val="000000" w:themeColor="text1"/>
                    <w:szCs w:val="21"/>
                    <w14:textFill>
                      <w14:solidFill>
                        <w14:schemeClr w14:val="tx1"/>
                      </w14:solidFill>
                    </w14:textFill>
                  </w:rPr>
                </m:ctrlPr>
              </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&amp;=</m:t>
                </m:r>
                <m:f>
                  <m:fPr>
                    <m:ctrlPr>
                      <w:rPr>
                        <w:rFonts w:ascii="Cambria Math" w:hAnsi="Times New Roman" w:cs="Times New Roman"/>
                        <w:i/>
                        <w:color w:val="000000" w:themeColor="text1"/>
                        <w:szCs w:val="21"/>
                        <w14:textFill>
                          <w14:solidFill>
                            <w14:schemeClr w14:val="tx1"/>
                          </w14:solidFill>
                        </w14:textFill>
                      </w:rPr>
                    </m:ctrlPr>
                  </m:fPr>
                  <m:num>
                    <m:d>
                      <m:dPr>
                        <m:ctrlPr>
                          <w:rPr>
                            <w:rFonts w:ascii="Cambria Math" w:hAnsi="Times New Roman" w:cs="Times New Roman"/>
                            <w:i/>
                            <w:color w:val="000000" w:themeColor="text1"/>
                            <w:szCs w:val="21"/>
                            <w14:textFill>
                              <w14:solidFill>
                                <w14:schemeClr w14:val="tx1"/>
                              </w14:solidFill>
                            </w14:textFill>
                          </w:rPr>
                        </m:ctrlPr>
                      </m:d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e>
                    </m:d>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m:t>
                        </m:r>
                        <m:ctrlPr>
                          <w:rPr>
                            <w:rFonts w:ascii="Cambria Math" w:hAnsi="Times New Roman"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n</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m:sty m:val="p"/>
                      </m:rPr>
                      <w:rPr>
                        <w:rFonts w:ascii="Cambria Math" w:hAnsi="Times New Roman" w:cs="Times New Roman"/>
                        <w:color w:val="000000" w:themeColor="text1"/>
                        <w:szCs w:val="21"/>
                        <w14:textFill>
                          <w14:solidFill>
                            <w14:schemeClr w14:val="tx1"/>
                          </w14:solidFill>
                        </w14:textFill>
                      </w:rPr>
                      <m:t>sin</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num>
                  <m:den>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den>
                </m:f>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eqArr>
            <m:ctrlPr>
              <w:rPr>
                <w:rFonts w:ascii="Cambria Math" w:hAnsi="Cambria Math" w:cs="Times New Roman"/>
                <w:i/>
                <w:color w:val="000000" w:themeColor="text1"/>
                <w:szCs w:val="21"/>
                <w14:textFill>
                  <w14:solidFill>
                    <w14:schemeClr w14:val="tx1"/>
                  </w14:solidFill>
                </w14:textFill>
              </w:rPr>
            </m:ctrlPr>
          </m:e>
        </m:d>
      </m:oMath>
      <w:r>
        <w:rPr>
          <w:rFonts w:hint="eastAsia" w:ascii="Times New Roman" w:hAnsi="Times New Roman" w:cs="Times New Roman"/>
          <w:color w:val="000000" w:themeColor="text1"/>
          <w:szCs w:val="21"/>
          <w14:textFill>
            <w14:solidFill>
              <w14:schemeClr w14:val="tx1"/>
            </w14:solidFill>
          </w14:textFill>
        </w:rPr>
        <w:t xml:space="preserve"> （D.2.2-2）</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（3）桩周土均处于塑性阶段</w:t>
      </w: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25"/>
        <w:gridCol w:w="5364"/>
        <w:gridCol w:w="16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95" w:type="pct"/>
            <w:vAlign w:val="center"/>
          </w:tcPr>
          <w:p>
            <w:pPr>
              <w:spacing w:line="360" w:lineRule="auto"/>
              <w:rPr>
                <w:rFonts w:ascii="Times New Roman" w:hAnsi="Times New Roman" w:cs="Times New Roman"/>
                <w:color w:val="000000" w:themeColor="text1"/>
                <w:szCs w:val="21"/>
                <w14:textFill>
                  <w14:solidFill>
                    <w14:schemeClr w14:val="tx1"/>
                  </w14:solidFill>
                </w14:textFill>
              </w:rPr>
            </w:pPr>
          </w:p>
        </w:tc>
        <w:tc>
          <w:tcPr>
            <w:tcW w:w="3147" w:type="pct"/>
            <w:vAlign w:val="center"/>
          </w:tcPr>
          <w:p>
            <w:pPr>
              <w:spacing w:line="360" w:lineRule="auto"/>
              <w:jc w:val="center"/>
              <w:rPr>
                <w:rFonts w:ascii="Times New Roman" w:hAnsi="Times New Roman" w:cs="Times New Roman"/>
                <w:color w:val="000000" w:themeColor="text1"/>
                <w:szCs w:val="21"/>
                <w14:textFill>
                  <w14:solidFill>
                    <w14:schemeClr w14:val="tx1"/>
                  </w14:solidFill>
                </w14:textFill>
              </w:rPr>
            </w:pPr>
            <m:oMathPara>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=EA</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tan</m:t>
                    </m:r>
                    <m:ctrlPr>
                      <w:rPr>
                        <w:rFonts w:ascii="Cambria Math" w:hAnsi="Times New Roman"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oMath>
            </m:oMathPara>
          </w:p>
        </w:tc>
        <w:tc>
          <w:tcPr>
            <w:tcW w:w="958" w:type="pct"/>
            <w:vAlign w:val="center"/>
          </w:tcPr>
          <w:p>
            <w:pPr>
              <w:spacing w:line="360" w:lineRule="auto"/>
              <w:jc w:val="righ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（D.2.2-3）</w:t>
            </w:r>
          </w:p>
        </w:tc>
      </w:tr>
    </w:tbl>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由式（</w:t>
      </w:r>
      <w:r>
        <w:rPr>
          <w:rFonts w:hint="eastAsia" w:ascii="Times New Roman" w:hAnsi="Times New Roman" w:cs="Times New Roman"/>
          <w:color w:val="000000" w:themeColor="text1"/>
          <w:szCs w:val="21"/>
          <w14:textFill>
            <w14:solidFill>
              <w14:schemeClr w14:val="tx1"/>
            </w14:solidFill>
          </w14:textFill>
        </w:rPr>
        <w:t>D.2.2-1</w:t>
      </w:r>
      <w:r>
        <w:rPr>
          <w:rFonts w:ascii="Times New Roman" w:hAnsi="Times New Roman" w:cs="Times New Roman"/>
          <w:color w:val="000000" w:themeColor="text1"/>
          <w:szCs w:val="21"/>
          <w14:textFill>
            <w14:solidFill>
              <w14:schemeClr w14:val="tx1"/>
            </w14:solidFill>
          </w14:textFill>
        </w:rPr>
        <w:t>）和（</w:t>
      </w:r>
      <w:r>
        <w:rPr>
          <w:rFonts w:hint="eastAsia" w:ascii="Times New Roman" w:hAnsi="Times New Roman" w:cs="Times New Roman"/>
          <w:color w:val="000000" w:themeColor="text1"/>
          <w:szCs w:val="21"/>
          <w14:textFill>
            <w14:solidFill>
              <w14:schemeClr w14:val="tx1"/>
            </w14:solidFill>
          </w14:textFill>
        </w:rPr>
        <w:t>D.2.2-3</w:t>
      </w:r>
      <w:r>
        <w:rPr>
          <w:rFonts w:ascii="Times New Roman" w:hAnsi="Times New Roman" w:cs="Times New Roman"/>
          <w:color w:val="000000" w:themeColor="text1"/>
          <w:szCs w:val="21"/>
          <w14:textFill>
            <w14:solidFill>
              <w14:schemeClr w14:val="tx1"/>
            </w14:solidFill>
          </w14:textFill>
        </w:rPr>
        <w:t>）可知，当给定试桩试验曲线，便可确定</w:t>
      </w:r>
      <w:r>
        <w:rPr>
          <w:rFonts w:hint="eastAsia" w:ascii="Times New Roman" w:hAnsi="Times New Roman" w:cs="Times New Roman"/>
          <w:color w:val="000000" w:themeColor="text1"/>
          <w:szCs w:val="21"/>
          <w14:textFill>
            <w14:solidFill>
              <w14:schemeClr w14:val="tx1"/>
            </w14:solidFill>
          </w14:textFill>
        </w:rPr>
        <w:t>参数</w:t>
      </w:r>
      <w:r>
        <w:rPr>
          <w:rFonts w:ascii="Times New Roman" w:hAnsi="Times New Roman" w:cs="Times New Roman"/>
          <w:i/>
          <w:color w:val="000000" w:themeColor="text1"/>
          <w:szCs w:val="21"/>
          <w14:textFill>
            <w14:solidFill>
              <w14:schemeClr w14:val="tx1"/>
            </w14:solidFill>
          </w14:textFill>
        </w:rPr>
        <w:t>λ</w:t>
      </w:r>
      <w:r>
        <w:rPr>
          <w:rFonts w:ascii="Times New Roman" w:hAnsi="Times New Roman" w:cs="Times New Roman"/>
          <w:color w:val="000000" w:themeColor="text1"/>
          <w:szCs w:val="21"/>
          <w:vertAlign w:val="subscript"/>
          <w14:textFill>
            <w14:solidFill>
              <w14:schemeClr w14:val="tx1"/>
            </w14:solidFill>
          </w14:textFill>
        </w:rPr>
        <w:t>1</w:t>
      </w:r>
      <w:r>
        <w:rPr>
          <w:rFonts w:ascii="Times New Roman" w:hAnsi="Times New Roman" w:cs="Times New Roman"/>
          <w:color w:val="000000" w:themeColor="text1"/>
          <w:szCs w:val="21"/>
          <w14:textFill>
            <w14:solidFill>
              <w14:schemeClr w14:val="tx1"/>
            </w14:solidFill>
          </w14:textFill>
        </w:rPr>
        <w:t>，</w:t>
      </w:r>
      <w:r>
        <w:rPr>
          <w:rFonts w:ascii="Times New Roman" w:hAnsi="Times New Roman" w:cs="Times New Roman"/>
          <w:i/>
          <w:color w:val="000000" w:themeColor="text1"/>
          <w:szCs w:val="21"/>
          <w14:textFill>
            <w14:solidFill>
              <w14:schemeClr w14:val="tx1"/>
            </w14:solidFill>
          </w14:textFill>
        </w:rPr>
        <w:t>λ</w:t>
      </w:r>
      <w:r>
        <w:rPr>
          <w:rFonts w:ascii="Times New Roman" w:hAnsi="Times New Roman" w:cs="Times New Roman"/>
          <w:color w:val="000000" w:themeColor="text1"/>
          <w:szCs w:val="21"/>
          <w:vertAlign w:val="subscript"/>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w:t>
      </w:r>
      <w:r>
        <w:rPr>
          <w:rFonts w:ascii="Times New Roman" w:hAnsi="Times New Roman" w:cs="Times New Roman"/>
          <w:i/>
          <w:color w:val="000000" w:themeColor="text1"/>
          <w:szCs w:val="21"/>
          <w14:textFill>
            <w14:solidFill>
              <w14:schemeClr w14:val="tx1"/>
            </w14:solidFill>
          </w14:textFill>
        </w:rPr>
        <w:t>W</w:t>
      </w:r>
      <w:r>
        <w:rPr>
          <w:rFonts w:ascii="Times New Roman" w:hAnsi="Times New Roman" w:cs="Times New Roman"/>
          <w:color w:val="000000" w:themeColor="text1"/>
          <w:szCs w:val="21"/>
          <w:vertAlign w:val="subscript"/>
          <w14:textFill>
            <w14:solidFill>
              <w14:schemeClr w14:val="tx1"/>
            </w14:solidFill>
          </w14:textFill>
        </w:rPr>
        <w:t>1</w:t>
      </w:r>
      <w:r>
        <w:rPr>
          <w:rFonts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D.2.3</w:t>
      </w:r>
      <w:r>
        <w:rPr>
          <w:rFonts w:hint="eastAsia" w:ascii="Times New Roman" w:hAnsi="Times New Roman" w:cs="Times New Roman"/>
          <w:color w:val="000000" w:themeColor="text1"/>
          <w:szCs w:val="21"/>
          <w14:textFill>
            <w14:solidFill>
              <w14:schemeClr w14:val="tx1"/>
            </w14:solidFill>
          </w14:textFill>
        </w:rPr>
        <w:t xml:space="preserve"> 自锚试桩下段桩解析解公式</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（1）桩周土、桩端土全部处于弹性阶段</w:t>
      </w: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221"/>
        <w:gridCol w:w="16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79" w:type="pct"/>
            <w:vAlign w:val="center"/>
          </w:tcPr>
          <w:p>
            <w:pPr>
              <w:spacing w:line="360" w:lineRule="auto"/>
              <w:rPr>
                <w:rFonts w:ascii="Times New Roman" w:hAnsi="Times New Roman" w:cs="Times New Roman"/>
                <w:color w:val="000000" w:themeColor="text1"/>
                <w:szCs w:val="21"/>
                <w14:textFill>
                  <w14:solidFill>
                    <w14:schemeClr w14:val="tx1"/>
                  </w14:solidFill>
                </w14:textFill>
              </w:rPr>
            </w:pPr>
          </w:p>
        </w:tc>
        <w:tc>
          <w:tcPr>
            <w:tcW w:w="3063" w:type="pct"/>
            <w:vAlign w:val="center"/>
          </w:tcPr>
          <w:p>
            <w:pPr>
              <w:spacing w:line="360" w:lineRule="auto"/>
              <w:jc w:val="center"/>
              <w:rPr>
                <w:rFonts w:ascii="Times New Roman" w:hAnsi="Times New Roman" w:cs="Times New Roman"/>
                <w:color w:val="000000" w:themeColor="text1"/>
                <w:szCs w:val="21"/>
                <w14:textFill>
                  <w14:solidFill>
                    <w14:schemeClr w14:val="tx1"/>
                  </w14:solidFill>
                </w14:textFill>
              </w:rPr>
            </w:pPr>
            <m:oMathPara>
              <m:oMath>
                <m:f>
                  <m:fPr>
                    <m:ctrlPr>
                      <w:rPr>
                        <w:rFonts w:ascii="Cambria Math" w:hAnsi="Times New Roman" w:cs="Times New Roman"/>
                        <w:i/>
                        <w:color w:val="000000" w:themeColor="text1"/>
                        <w:szCs w:val="21"/>
                        <w14:textFill>
                          <w14:solidFill>
                            <w14:schemeClr w14:val="tx1"/>
                          </w14:solidFill>
                        </w14:textFill>
                      </w:rPr>
                    </m:ctrlPr>
                  </m:fPr>
                  <m:num>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d</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num>
                  <m:den>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d</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den>
                </m:f>
                <m:r>
                  <m:rPr/>
                  <w:rPr>
                    <w:rFonts w:ascii="Cambria Math" w:hAnsi="Times New Roman" w:cs="Times New Roman"/>
                    <w:color w:val="000000" w:themeColor="text1"/>
                    <w:szCs w:val="21"/>
                    <w14:textFill>
                      <w14:solidFill>
                        <w14:schemeClr w14:val="tx1"/>
                      </w14:solidFill>
                    </w14:textFill>
                  </w:rPr>
                  <m:t>=EA</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3</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c</m:t>
                </m:r>
              </m:oMath>
            </m:oMathPara>
          </w:p>
        </w:tc>
        <w:tc>
          <w:tcPr>
            <w:tcW w:w="958" w:type="pct"/>
            <w:vAlign w:val="center"/>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（D.2.3-1）</w:t>
            </w:r>
          </w:p>
        </w:tc>
      </w:tr>
    </w:tbl>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（2）桩端土处于弹性阶段，桩周土部分处于塑性阶段</w:t>
      </w: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68"/>
        <w:gridCol w:w="5243"/>
        <w:gridCol w:w="16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79" w:type="pct"/>
            <w:vAlign w:val="center"/>
          </w:tcPr>
          <w:p>
            <w:pPr>
              <w:spacing w:line="360" w:lineRule="auto"/>
              <w:rPr>
                <w:rFonts w:ascii="Times New Roman" w:hAnsi="Times New Roman" w:cs="Times New Roman"/>
                <w:color w:val="000000" w:themeColor="text1"/>
                <w:szCs w:val="21"/>
                <w14:textFill>
                  <w14:solidFill>
                    <w14:schemeClr w14:val="tx1"/>
                  </w14:solidFill>
                </w14:textFill>
              </w:rPr>
            </w:pPr>
          </w:p>
        </w:tc>
        <w:tc>
          <w:tcPr>
            <w:tcW w:w="3076" w:type="pct"/>
            <w:vAlign w:val="center"/>
          </w:tcPr>
          <w:p>
            <w:pPr>
              <w:spacing w:line="360" w:lineRule="auto"/>
              <w:jc w:val="center"/>
              <w:rPr>
                <w:rFonts w:ascii="Times New Roman" w:hAnsi="Times New Roman" w:cs="Times New Roman"/>
                <w:color w:val="000000" w:themeColor="text1"/>
                <w:szCs w:val="21"/>
                <w14:textFill>
                  <w14:solidFill>
                    <w14:schemeClr w14:val="tx1"/>
                  </w14:solidFill>
                </w14:textFill>
              </w:rPr>
            </w:pPr>
            <m:oMathPara>
              <m:oMath>
                <m:d>
                  <m:dPr>
                    <m:begChr m:val="{"/>
                    <m:endChr m:val=""/>
                    <m:ctrlPr>
                      <w:rPr>
                        <w:rFonts w:ascii="Cambria Math" w:hAnsi="Times New Roman" w:cs="Times New Roman"/>
                        <w:i/>
                        <w:color w:val="000000" w:themeColor="text1"/>
                        <w:szCs w:val="21"/>
                        <w14:textFill>
                          <w14:solidFill>
                            <w14:schemeClr w14:val="tx1"/>
                          </w14:solidFill>
                        </w14:textFill>
                      </w:rPr>
                    </m:ctrlPr>
                  </m:dPr>
                  <m:e>
                    <m:eqArr>
                      <m:eqArrPr>
                        <m:ctrlPr>
                          <w:rPr>
                            <w:rFonts w:ascii="Cambria Math" w:hAnsi="Times New Roman" w:cs="Times New Roman"/>
                            <w:i/>
                            <w:color w:val="000000" w:themeColor="text1"/>
                            <w:szCs w:val="21"/>
                            <w14:textFill>
                              <w14:solidFill>
                                <w14:schemeClr w14:val="tx1"/>
                              </w14:solidFill>
                            </w14:textFill>
                          </w:rPr>
                        </m:ctrlPr>
                      </m:eqArr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d</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&amp;=EA</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d>
                          <m:dPr>
                            <m:endChr m:val=""/>
                            <m:ctrlPr>
                              <w:rPr>
                                <w:rFonts w:ascii="Cambria Math" w:hAnsi="Times New Roman" w:cs="Times New Roman"/>
                                <w:i/>
                                <w:color w:val="000000" w:themeColor="text1"/>
                                <w:szCs w:val="21"/>
                                <w14:textFill>
                                  <w14:solidFill>
                                    <w14:schemeClr w14:val="tx1"/>
                                  </w14:solidFill>
                                </w14:textFill>
                              </w:rPr>
                            </m:ctrlPr>
                          </m:dPr>
                          <m:e>
                            <m:f>
                              <m:fPr>
                                <m:ctrlPr>
                                  <w:rPr>
                                    <w:rFonts w:ascii="Cambria Math" w:hAnsi="Times New Roman" w:cs="Times New Roman"/>
                                    <w:i/>
                                    <w:color w:val="000000" w:themeColor="text1"/>
                                    <w:szCs w:val="21"/>
                                    <w14:textFill>
                                      <w14:solidFill>
                                        <w14:schemeClr w14:val="tx1"/>
                                      </w14:solidFill>
                                    </w14:textFill>
                                  </w:rPr>
                                </m:ctrlPr>
                              </m:fPr>
                              <m:num>
                                <m:sSubSup>
                                  <m:sSubSupPr>
                                    <m:ctrlPr>
                                      <w:rPr>
                                        <w:rFonts w:ascii="Cambria Math" w:hAnsi="Times New Roman" w:cs="Times New Roman"/>
                                        <w:i/>
                                        <w:color w:val="000000" w:themeColor="text1"/>
                                        <w:szCs w:val="21"/>
                                        <w14:textFill>
                                          <w14:solidFill>
                                            <w14:schemeClr w14:val="tx1"/>
                                          </w14:solidFill>
                                        </w14:textFill>
                                      </w:rPr>
                                    </m:ctrlPr>
                                  </m:sSubSupPr>
                                  <m:e>
                                    <m:r>
                                      <m:rPr/>
                                      <w:rPr>
                                        <w:rFonts w:ascii="Cambria Math" w:hAnsi="Times New Roman"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3</m:t>
                                    </m:r>
                                    <m:ctrlPr>
                                      <w:rPr>
                                        <w:rFonts w:ascii="Cambria Math" w:hAnsi="Times New Roman" w:cs="Times New Roman"/>
                                        <w:i/>
                                        <w:color w:val="000000" w:themeColor="text1"/>
                                        <w:szCs w:val="21"/>
                                        <w14:textFill>
                                          <w14:solidFill>
                                            <w14:schemeClr w14:val="tx1"/>
                                          </w14:solidFill>
                                        </w14:textFill>
                                      </w:rPr>
                                    </m:ctrlPr>
                                  </m:sub>
                                  <m:sup>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p>
                                </m:sSubSup>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sinh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ctrlPr>
                                  <w:rPr>
                                    <w:rFonts w:ascii="Cambria Math" w:hAnsi="Times New Roman" w:cs="Times New Roman"/>
                                    <w:i/>
                                    <w:color w:val="000000" w:themeColor="text1"/>
                                    <w:szCs w:val="21"/>
                                    <w14:textFill>
                                      <w14:solidFill>
                                        <w14:schemeClr w14:val="tx1"/>
                                      </w14:solidFill>
                                    </w14:textFill>
                                  </w:rPr>
                                </m:ctrlPr>
                              </m:num>
                              <m:den>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den>
                            </m:f>
                            <m:r>
                              <m:rPr/>
                              <w:rPr>
                                <w:rFonts w:ascii="Cambria Math" w:hAnsi="Times New Roman" w:cs="Times New Roman"/>
                                <w:color w:val="000000" w:themeColor="text1"/>
                                <w:szCs w:val="21"/>
                                <w14:textFill>
                                  <w14:solidFill>
                                    <w14:schemeClr w14:val="tx1"/>
                                  </w14:solidFill>
                                </w14:textFill>
                              </w:rPr>
                              <m:t>+</m:t>
                            </m:r>
                            <m:ctrlPr>
                              <w:rPr>
                                <w:rFonts w:ascii="Cambria Math" w:hAnsi="Times New Roman" w:cs="Times New Roman"/>
                                <w:i/>
                                <w:color w:val="000000" w:themeColor="text1"/>
                                <w:szCs w:val="21"/>
                                <w14:textFill>
                                  <w14:solidFill>
                                    <w14:schemeClr w14:val="tx1"/>
                                  </w14:solidFill>
                                </w14:textFill>
                              </w:rPr>
                            </m:ctrlPr>
                          </m:e>
                        </m:d>
                        <m:d>
                          <m:dPr>
                            <m:begChr m:val=""/>
                            <m:ctrlPr>
                              <w:rPr>
                                <w:rFonts w:ascii="Cambria Math" w:hAnsi="Times New Roman" w:cs="Times New Roman"/>
                                <w:i/>
                                <w:color w:val="000000" w:themeColor="text1"/>
                                <w:szCs w:val="21"/>
                                <w14:textFill>
                                  <w14:solidFill>
                                    <w14:schemeClr w14:val="tx1"/>
                                  </w14:solidFill>
                                </w14:textFill>
                              </w:rPr>
                            </m:ctrlPr>
                          </m:dPr>
                          <m:e>
                            <m:f>
                              <m:fPr>
                                <m:ctrlPr>
                                  <w:rPr>
                                    <w:rFonts w:ascii="Cambria Math" w:hAnsi="Times New Roman" w:cs="Times New Roman"/>
                                    <w:i/>
                                    <w:color w:val="000000" w:themeColor="text1"/>
                                    <w:szCs w:val="21"/>
                                    <w14:textFill>
                                      <w14:solidFill>
                                        <w14:schemeClr w14:val="tx1"/>
                                      </w14:solidFill>
                                    </w14:textFill>
                                  </w:rPr>
                                </m:ctrlPr>
                              </m:fPr>
                              <m:num>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ctrlPr>
                                  <w:rPr>
                                    <w:rFonts w:ascii="Cambria Math" w:hAnsi="Times New Roman" w:cs="Times New Roman"/>
                                    <w:i/>
                                    <w:color w:val="000000" w:themeColor="text1"/>
                                    <w:szCs w:val="21"/>
                                    <w14:textFill>
                                      <w14:solidFill>
                                        <w14:schemeClr w14:val="tx1"/>
                                      </w14:solidFill>
                                    </w14:textFill>
                                  </w:rPr>
                                </m:ctrlPr>
                              </m:num>
                              <m:den>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den>
                            </m:f>
                            <m:ctrlPr>
                              <w:rPr>
                                <w:rFonts w:ascii="Cambria Math" w:hAnsi="Cambria Math" w:cs="Times New Roman"/>
                                <w:i/>
                                <w:color w:val="000000" w:themeColor="text1"/>
                                <w:szCs w:val="21"/>
                                <w14:textFill>
                                  <w14:solidFill>
                                    <w14:schemeClr w14:val="tx1"/>
                                  </w14:solidFill>
                                </w14:textFill>
                              </w:rPr>
                            </m:ctrlPr>
                          </m:e>
                        </m:d>
                        <m:ctrlPr>
                          <w:rPr>
                            <w:rFonts w:ascii="Cambria Math" w:hAnsi="Times New Roman" w:cs="Times New Roman"/>
                            <w:i/>
                            <w:color w:val="000000" w:themeColor="text1"/>
                            <w:szCs w:val="21"/>
                            <w14:textFill>
                              <w14:solidFill>
                                <w14:schemeClr w14:val="tx1"/>
                              </w14:solidFill>
                            </w14:textFill>
                          </w:rPr>
                        </m:ctrlPr>
                      </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d</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&amp;=</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d>
                          <m:dPr>
                            <m:ctrlPr>
                              <w:rPr>
                                <w:rFonts w:ascii="Cambria Math" w:hAnsi="Times New Roman" w:cs="Times New Roman"/>
                                <w:i/>
                                <w:color w:val="000000" w:themeColor="text1"/>
                                <w:szCs w:val="21"/>
                                <w14:textFill>
                                  <w14:solidFill>
                                    <w14:schemeClr w14:val="tx1"/>
                                  </w14:solidFill>
                                </w14:textFill>
                              </w:rPr>
                            </m:ctrlPr>
                          </m:dPr>
                          <m:e>
                            <m:f>
                              <m:fPr>
                                <m:ctrlPr>
                                  <w:rPr>
                                    <w:rFonts w:ascii="Cambria Math" w:hAnsi="Times New Roman" w:cs="Times New Roman"/>
                                    <w:i/>
                                    <w:color w:val="000000" w:themeColor="text1"/>
                                    <w:szCs w:val="21"/>
                                    <w14:textFill>
                                      <w14:solidFill>
                                        <w14:schemeClr w14:val="tx1"/>
                                      </w14:solidFill>
                                    </w14:textFill>
                                  </w:rPr>
                                </m:ctrlPr>
                              </m:fPr>
                              <m:num>
                                <m:sSubSup>
                                  <m:sSubSupPr>
                                    <m:ctrlPr>
                                      <w:rPr>
                                        <w:rFonts w:ascii="Cambria Math" w:hAnsi="Times New Roman" w:cs="Times New Roman"/>
                                        <w:i/>
                                        <w:color w:val="000000" w:themeColor="text1"/>
                                        <w:szCs w:val="21"/>
                                        <w14:textFill>
                                          <w14:solidFill>
                                            <w14:schemeClr w14:val="tx1"/>
                                          </w14:solidFill>
                                        </w14:textFill>
                                      </w:rPr>
                                    </m:ctrlPr>
                                  </m:sSubSupPr>
                                  <m:e>
                                    <m:r>
                                      <m:rPr/>
                                      <w:rPr>
                                        <w:rFonts w:ascii="Cambria Math" w:hAnsi="Times New Roman"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3</m:t>
                                    </m:r>
                                    <m:ctrlPr>
                                      <w:rPr>
                                        <w:rFonts w:ascii="Cambria Math" w:hAnsi="Times New Roman" w:cs="Times New Roman"/>
                                        <w:i/>
                                        <w:color w:val="000000" w:themeColor="text1"/>
                                        <w:szCs w:val="21"/>
                                        <w14:textFill>
                                          <w14:solidFill>
                                            <w14:schemeClr w14:val="tx1"/>
                                          </w14:solidFill>
                                        </w14:textFill>
                                      </w:rPr>
                                    </m:ctrlPr>
                                  </m:sub>
                                  <m:sup>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p>
                                </m:sSubSup>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n</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sinh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ctrlPr>
                                  <w:rPr>
                                    <w:rFonts w:ascii="Cambria Math" w:hAnsi="Times New Roman" w:cs="Times New Roman"/>
                                    <w:i/>
                                    <w:color w:val="000000" w:themeColor="text1"/>
                                    <w:szCs w:val="21"/>
                                    <w14:textFill>
                                      <w14:solidFill>
                                        <w14:schemeClr w14:val="tx1"/>
                                      </w14:solidFill>
                                    </w14:textFill>
                                  </w:rPr>
                                </m:ctrlPr>
                              </m:num>
                              <m:den>
                                <m:sSubSup>
                                  <m:sSubSupPr>
                                    <m:ctrlPr>
                                      <w:rPr>
                                        <w:rFonts w:ascii="Cambria Math" w:hAnsi="Times New Roman" w:cs="Times New Roman"/>
                                        <w:i/>
                                        <w:color w:val="000000" w:themeColor="text1"/>
                                        <w:szCs w:val="21"/>
                                        <w14:textFill>
                                          <w14:solidFill>
                                            <w14:schemeClr w14:val="tx1"/>
                                          </w14:solidFill>
                                        </w14:textFill>
                                      </w:rPr>
                                    </m:ctrlPr>
                                  </m:sSubSupPr>
                                  <m:e>
                                    <m:r>
                                      <m:rPr/>
                                      <w:rPr>
                                        <w:rFonts w:ascii="Cambria Math" w:hAnsi="Times New Roman"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up>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p>
                                </m:sSubSup>
                                <m:ctrlPr>
                                  <w:rPr>
                                    <w:rFonts w:ascii="Cambria Math" w:hAnsi="Cambria Math" w:cs="Times New Roman"/>
                                    <w:i/>
                                    <w:color w:val="000000" w:themeColor="text1"/>
                                    <w:szCs w:val="21"/>
                                    <w14:textFill>
                                      <w14:solidFill>
                                        <w14:schemeClr w14:val="tx1"/>
                                      </w14:solidFill>
                                    </w14:textFill>
                                  </w:rPr>
                                </m:ctrlPr>
                              </m:den>
                            </m:f>
                            <m:ctrlPr>
                              <w:rPr>
                                <w:rFonts w:ascii="Cambria Math" w:hAnsi="Cambria Math" w:cs="Times New Roman"/>
                                <w:i/>
                                <w:color w:val="000000" w:themeColor="text1"/>
                                <w:szCs w:val="21"/>
                                <w14:textFill>
                                  <w14:solidFill>
                                    <w14:schemeClr w14:val="tx1"/>
                                  </w14:solidFill>
                                </w14:textFill>
                              </w:rPr>
                            </m:ctrlPr>
                          </m:e>
                        </m:d>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eqArr>
                    <m:ctrlPr>
                      <w:rPr>
                        <w:rFonts w:ascii="Cambria Math" w:hAnsi="Cambria Math" w:cs="Times New Roman"/>
                        <w:i/>
                        <w:color w:val="000000" w:themeColor="text1"/>
                        <w:szCs w:val="21"/>
                        <w14:textFill>
                          <w14:solidFill>
                            <w14:schemeClr w14:val="tx1"/>
                          </w14:solidFill>
                        </w14:textFill>
                      </w:rPr>
                    </m:ctrlPr>
                  </m:e>
                </m:d>
              </m:oMath>
            </m:oMathPara>
          </w:p>
        </w:tc>
        <w:tc>
          <w:tcPr>
            <w:tcW w:w="945" w:type="pct"/>
            <w:vAlign w:val="center"/>
          </w:tcPr>
          <w:p>
            <w:pPr>
              <w:spacing w:line="360" w:lineRule="auto"/>
              <w:jc w:val="righ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（D.2.3-2）</w:t>
            </w:r>
          </w:p>
        </w:tc>
      </w:tr>
    </w:tbl>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（3）桩端土处于弹性阶段，桩周土均处于塑性阶段</w:t>
      </w: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5"/>
        <w:gridCol w:w="6654"/>
        <w:gridCol w:w="16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8" w:type="pct"/>
            <w:vAlign w:val="center"/>
          </w:tcPr>
          <w:p>
            <w:pPr>
              <w:spacing w:line="360" w:lineRule="auto"/>
              <w:rPr>
                <w:rFonts w:ascii="Times New Roman" w:hAnsi="Times New Roman" w:cs="Times New Roman"/>
                <w:color w:val="000000" w:themeColor="text1"/>
                <w:szCs w:val="21"/>
                <w14:textFill>
                  <w14:solidFill>
                    <w14:schemeClr w14:val="tx1"/>
                  </w14:solidFill>
                </w14:textFill>
              </w:rPr>
            </w:pPr>
          </w:p>
        </w:tc>
        <w:tc>
          <w:tcPr>
            <w:tcW w:w="3904" w:type="pct"/>
            <w:vAlign w:val="center"/>
          </w:tcPr>
          <w:p>
            <w:pPr>
              <w:spacing w:line="360" w:lineRule="auto"/>
              <w:jc w:val="center"/>
              <w:rPr>
                <w:rFonts w:ascii="Times New Roman" w:hAnsi="Times New Roman" w:cs="Times New Roman"/>
                <w:color w:val="000000" w:themeColor="text1"/>
                <w:szCs w:val="21"/>
                <w14:textFill>
                  <w14:solidFill>
                    <w14:schemeClr w14:val="tx1"/>
                  </w14:solidFill>
                </w14:textFill>
              </w:rPr>
            </w:pPr>
            <m:oMathPara>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d</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f>
                  <m:fPr>
                    <m:ctrlPr>
                      <w:rPr>
                        <w:rFonts w:ascii="Cambria Math" w:hAnsi="Times New Roman" w:cs="Times New Roman"/>
                        <w:i/>
                        <w:color w:val="000000" w:themeColor="text1"/>
                        <w:szCs w:val="21"/>
                        <w14:textFill>
                          <w14:solidFill>
                            <w14:schemeClr w14:val="tx1"/>
                          </w14:solidFill>
                        </w14:textFill>
                      </w:rPr>
                    </m:ctrlPr>
                  </m:fPr>
                  <m:num>
                    <m:r>
                      <m:rPr/>
                      <w:rPr>
                        <w:rFonts w:ascii="Cambria Math" w:hAnsi="Times New Roman" w:cs="Times New Roman"/>
                        <w:color w:val="000000" w:themeColor="text1"/>
                        <w:szCs w:val="21"/>
                        <w14:textFill>
                          <w14:solidFill>
                            <w14:schemeClr w14:val="tx1"/>
                          </w14:solidFill>
                        </w14:textFill>
                      </w:rPr>
                      <m:t>EA</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d>
                      <m:dPr>
                        <m:begChr m:val="["/>
                        <m:endChr m:val="]"/>
                        <m:ctrlPr>
                          <w:rPr>
                            <w:rFonts w:ascii="Cambria Math" w:hAnsi="Times New Roman" w:cs="Times New Roman"/>
                            <w:i/>
                            <w:color w:val="000000" w:themeColor="text1"/>
                            <w:szCs w:val="21"/>
                            <w14:textFill>
                              <w14:solidFill>
                                <w14:schemeClr w14:val="tx1"/>
                              </w14:solidFill>
                            </w14:textFill>
                          </w:rPr>
                        </m:ctrlPr>
                      </m:dPr>
                      <m:e>
                        <m:d>
                          <m:dPr>
                            <m:ctrlPr>
                              <w:rPr>
                                <w:rFonts w:ascii="Cambria Math" w:hAnsi="Times New Roman" w:cs="Times New Roman"/>
                                <w:i/>
                                <w:color w:val="000000" w:themeColor="text1"/>
                                <w:szCs w:val="21"/>
                                <w14:textFill>
                                  <w14:solidFill>
                                    <w14:schemeClr w14:val="tx1"/>
                                  </w14:solidFill>
                                </w14:textFill>
                              </w:rPr>
                            </m:ctrlPr>
                          </m:d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sinh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ctrlPr>
                              <w:rPr>
                                <w:rFonts w:ascii="Cambria Math" w:hAnsi="Times New Roman" w:cs="Times New Roman"/>
                                <w:i/>
                                <w:color w:val="000000" w:themeColor="text1"/>
                                <w:szCs w:val="21"/>
                                <w14:textFill>
                                  <w14:solidFill>
                                    <w14:schemeClr w14:val="tx1"/>
                                  </w14:solidFill>
                                </w14:textFill>
                              </w:rPr>
                            </m:ctrlPr>
                          </m:e>
                        </m:d>
                        <m:d>
                          <m:dPr>
                            <m:ctrlPr>
                              <w:rPr>
                                <w:rFonts w:ascii="Cambria Math" w:hAnsi="Times New Roman" w:cs="Times New Roman"/>
                                <w:i/>
                                <w:color w:val="000000" w:themeColor="text1"/>
                                <w:szCs w:val="21"/>
                                <w14:textFill>
                                  <w14:solidFill>
                                    <w14:schemeClr w14:val="tx1"/>
                                  </w14:solidFill>
                                </w14:textFill>
                              </w:rPr>
                            </m:ctrlPr>
                          </m:d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p</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d>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d>
                    <m:ctrlPr>
                      <w:rPr>
                        <w:rFonts w:ascii="Cambria Math" w:hAnsi="Times New Roman" w:cs="Times New Roman"/>
                        <w:i/>
                        <w:color w:val="000000" w:themeColor="text1"/>
                        <w:szCs w:val="21"/>
                        <w14:textFill>
                          <w14:solidFill>
                            <w14:schemeClr w14:val="tx1"/>
                          </w14:solidFill>
                        </w14:textFill>
                      </w:rPr>
                    </m:ctrlPr>
                  </m:num>
                  <m:den>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sinh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ctrlPr>
                      <w:rPr>
                        <w:rFonts w:ascii="Cambria Math" w:hAnsi="Times New Roman" w:cs="Times New Roman"/>
                        <w:i/>
                        <w:color w:val="000000" w:themeColor="text1"/>
                        <w:szCs w:val="21"/>
                        <w14:textFill>
                          <w14:solidFill>
                            <w14:schemeClr w14:val="tx1"/>
                          </w14:solidFill>
                        </w14:textFill>
                      </w:rPr>
                    </m:ctrlPr>
                  </m:den>
                </m:f>
              </m:oMath>
            </m:oMathPara>
          </w:p>
        </w:tc>
        <w:tc>
          <w:tcPr>
            <w:tcW w:w="958" w:type="pct"/>
            <w:vAlign w:val="center"/>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（D.2.3-3）</w:t>
            </w:r>
          </w:p>
        </w:tc>
      </w:tr>
    </w:tbl>
    <w:p>
      <w:pPr>
        <w:spacing w:line="360" w:lineRule="auto"/>
        <w:rPr>
          <w:rFonts w:ascii="Times New Roman" w:hAnsi="Times New Roman" w:cs="Times New Roman"/>
          <w:color w:val="000000" w:themeColor="text1"/>
          <w:szCs w:val="21"/>
          <w:vertAlign w:val="subscript"/>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（4）桩端土进入塑性阶段对应的临界荷载</w:t>
      </w:r>
      <w:r>
        <w:rPr>
          <w:rFonts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vertAlign w:val="subscript"/>
          <w14:textFill>
            <w14:solidFill>
              <w14:schemeClr w14:val="tx1"/>
            </w14:solidFill>
          </w14:textFill>
        </w:rPr>
        <w:t>dc</w:t>
      </w:r>
      <w:r>
        <w:rPr>
          <w:rFonts w:hint="eastAsia" w:ascii="Times New Roman" w:hAnsi="Times New Roman" w:cs="Times New Roman"/>
          <w:color w:val="000000" w:themeColor="text1"/>
          <w:szCs w:val="21"/>
          <w14:textFill>
            <w14:solidFill>
              <w14:schemeClr w14:val="tx1"/>
            </w14:solidFill>
          </w14:textFill>
        </w:rPr>
        <w:t>和临界位移</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vertAlign w:val="subscript"/>
          <w14:textFill>
            <w14:solidFill>
              <w14:schemeClr w14:val="tx1"/>
            </w14:solidFill>
          </w14:textFill>
        </w:rPr>
        <w:t>dc</w:t>
      </w: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
        <w:gridCol w:w="6356"/>
        <w:gridCol w:w="16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3" w:type="pct"/>
            <w:vAlign w:val="center"/>
          </w:tcPr>
          <w:p>
            <w:pPr>
              <w:spacing w:line="360" w:lineRule="auto"/>
              <w:rPr>
                <w:rFonts w:ascii="Times New Roman" w:hAnsi="Times New Roman" w:cs="Times New Roman"/>
                <w:color w:val="000000" w:themeColor="text1"/>
                <w:szCs w:val="21"/>
                <w14:textFill>
                  <w14:solidFill>
                    <w14:schemeClr w14:val="tx1"/>
                  </w14:solidFill>
                </w14:textFill>
              </w:rPr>
            </w:pPr>
          </w:p>
        </w:tc>
        <w:tc>
          <w:tcPr>
            <w:tcW w:w="3729" w:type="pct"/>
            <w:vAlign w:val="center"/>
          </w:tcPr>
          <w:p>
            <w:pPr>
              <w:spacing w:line="360" w:lineRule="auto"/>
              <w:jc w:val="center"/>
              <w:rPr>
                <w:rFonts w:ascii="Times New Roman" w:hAnsi="Times New Roman" w:cs="Times New Roman"/>
                <w:color w:val="000000" w:themeColor="text1"/>
                <w:szCs w:val="21"/>
                <w14:textFill>
                  <w14:solidFill>
                    <w14:schemeClr w14:val="tx1"/>
                  </w14:solidFill>
                </w14:textFill>
              </w:rPr>
            </w:pPr>
            <m:oMathPara>
              <m:oMath>
                <m:d>
                  <m:dPr>
                    <m:begChr m:val="{"/>
                    <m:endChr m:val=""/>
                    <m:ctrlPr>
                      <w:rPr>
                        <w:rFonts w:ascii="Cambria Math" w:hAnsi="Times New Roman" w:cs="Times New Roman"/>
                        <w:i/>
                        <w:color w:val="000000" w:themeColor="text1"/>
                        <w:szCs w:val="21"/>
                        <w14:textFill>
                          <w14:solidFill>
                            <w14:schemeClr w14:val="tx1"/>
                          </w14:solidFill>
                        </w14:textFill>
                      </w:rPr>
                    </m:ctrlPr>
                  </m:dPr>
                  <m:e>
                    <m:eqArr>
                      <m:eqArrPr>
                        <m:ctrlPr>
                          <w:rPr>
                            <w:rFonts w:ascii="Cambria Math" w:hAnsi="Times New Roman" w:cs="Times New Roman"/>
                            <w:i/>
                            <w:color w:val="000000" w:themeColor="text1"/>
                            <w:szCs w:val="21"/>
                            <w14:textFill>
                              <w14:solidFill>
                                <w14:schemeClr w14:val="tx1"/>
                              </w14:solidFill>
                            </w14:textFill>
                          </w:rPr>
                        </m:ctrlPr>
                      </m:eqArr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dc</m:t>
                            </m:r>
                            <m:ctrlPr>
                              <w:rPr>
                                <w:rFonts w:ascii="Cambria Math" w:hAnsi="Times New Roman" w:cs="Times New Roman"/>
                                <w:i/>
                                <w:color w:val="000000" w:themeColor="text1"/>
                                <w:szCs w:val="21"/>
                                <w14:textFill>
                                  <w14:solidFill>
                                    <w14:schemeClr w14:val="tx1"/>
                                  </w14:solidFill>
                                </w14:textFill>
                              </w:rPr>
                            </m:ctrlPr>
                          </m:sub>
                        </m:sSub>
                        <m:r>
                          <m:rPr>
                            <m:sty m:val="p"/>
                          </m:rPr>
                          <w:rPr>
                            <w:rFonts w:ascii="Cambria Math" w:hAnsi="Times New Roman" w:cs="Times New Roman"/>
                            <w:color w:val="000000" w:themeColor="text1"/>
                            <w:szCs w:val="21"/>
                            <w14:textFill>
                              <w14:solidFill>
                                <w14:schemeClr w14:val="tx1"/>
                              </w14:solidFill>
                            </w14:textFill>
                          </w:rPr>
                          <m:t>&amp;=</m:t>
                        </m:r>
                        <m:r>
                          <m:rPr/>
                          <w:rPr>
                            <w:rFonts w:ascii="Cambria Math" w:hAnsi="Times New Roman" w:cs="Times New Roman"/>
                            <w:color w:val="000000" w:themeColor="text1"/>
                            <w:szCs w:val="21"/>
                            <w14:textFill>
                              <w14:solidFill>
                                <w14:schemeClr w14:val="tx1"/>
                              </w14:solidFill>
                            </w14:textFill>
                          </w:rPr>
                          <m:t>EA</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d>
                          <m:dPr>
                            <m:begChr m:val="["/>
                            <m:endChr m:val="]"/>
                            <m:ctrlPr>
                              <w:rPr>
                                <w:rFonts w:ascii="Cambria Math" w:hAnsi="Times New Roman" w:cs="Times New Roman"/>
                                <w:i/>
                                <w:color w:val="000000" w:themeColor="text1"/>
                                <w:szCs w:val="21"/>
                                <w14:textFill>
                                  <w14:solidFill>
                                    <w14:schemeClr w14:val="tx1"/>
                                  </w14:solidFill>
                                </w14:textFill>
                              </w:rPr>
                            </m:ctrlPr>
                          </m:d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b</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d>
                              <m:dPr>
                                <m:ctrlPr>
                                  <w:rPr>
                                    <w:rFonts w:ascii="Cambria Math" w:hAnsi="Times New Roman" w:cs="Times New Roman"/>
                                    <w:i/>
                                    <w:color w:val="000000" w:themeColor="text1"/>
                                    <w:szCs w:val="21"/>
                                    <w14:textFill>
                                      <w14:solidFill>
                                        <w14:schemeClr w14:val="tx1"/>
                                      </w14:solidFill>
                                    </w14:textFill>
                                  </w:rPr>
                                </m:ctrlPr>
                              </m:d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b</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d>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sinh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ctrlPr>
                              <w:rPr>
                                <w:rFonts w:ascii="Cambria Math" w:hAnsi="Times New Roman" w:cs="Times New Roman"/>
                                <w:i/>
                                <w:color w:val="000000" w:themeColor="text1"/>
                                <w:szCs w:val="21"/>
                                <w14:textFill>
                                  <w14:solidFill>
                                    <w14:schemeClr w14:val="tx1"/>
                                  </w14:solidFill>
                                </w14:textFill>
                              </w:rPr>
                            </m:ctrlPr>
                          </m:e>
                        </m:d>
                        <m:ctrlPr>
                          <w:rPr>
                            <w:rFonts w:ascii="Cambria Math" w:hAnsi="Times New Roman" w:cs="Times New Roman"/>
                            <w:i/>
                            <w:color w:val="000000" w:themeColor="text1"/>
                            <w:szCs w:val="21"/>
                            <w14:textFill>
                              <w14:solidFill>
                                <w14:schemeClr w14:val="tx1"/>
                              </w14:solidFill>
                            </w14:textFill>
                          </w:rPr>
                        </m:ctrlPr>
                      </m:e>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dc</m:t>
                            </m:r>
                            <m:ctrlPr>
                              <w:rPr>
                                <w:rFonts w:ascii="Cambria Math" w:hAnsi="Times New Roman" w:cs="Times New Roman"/>
                                <w:i/>
                                <w:color w:val="000000" w:themeColor="text1"/>
                                <w:szCs w:val="21"/>
                                <w14:textFill>
                                  <w14:solidFill>
                                    <w14:schemeClr w14:val="tx1"/>
                                  </w14:solidFill>
                                </w14:textFill>
                              </w:rPr>
                            </m:ctrlPr>
                          </m:sub>
                        </m:sSub>
                        <m:r>
                          <m:rPr>
                            <m:sty m:val="p"/>
                          </m:rPr>
                          <w:rPr>
                            <w:rFonts w:ascii="Cambria Math" w:hAnsi="Times New Roman" w:cs="Times New Roman"/>
                            <w:color w:val="000000" w:themeColor="text1"/>
                            <w:szCs w:val="21"/>
                            <w14:textFill>
                              <w14:solidFill>
                                <w14:schemeClr w14:val="tx1"/>
                              </w14:solidFill>
                            </w14:textFill>
                          </w:rPr>
                          <m:t>&amp;=</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d>
                          <m:dPr>
                            <m:ctrlPr>
                              <w:rPr>
                                <w:rFonts w:ascii="Cambria Math" w:hAnsi="Times New Roman" w:cs="Times New Roman"/>
                                <w:i/>
                                <w:color w:val="000000" w:themeColor="text1"/>
                                <w:szCs w:val="21"/>
                                <w14:textFill>
                                  <w14:solidFill>
                                    <w14:schemeClr w14:val="tx1"/>
                                  </w14:solidFill>
                                </w14:textFill>
                              </w:rPr>
                            </m:ctrlPr>
                          </m:dPr>
                          <m:e>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e>
                        </m:d>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b</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b</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sinh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ctrlPr>
                          <w:rPr>
                            <w:rFonts w:ascii="Cambria Math" w:hAnsi="Times New Roman" w:cs="Times New Roman"/>
                            <w:i/>
                            <w:color w:val="000000" w:themeColor="text1"/>
                            <w:szCs w:val="21"/>
                            <w14:textFill>
                              <w14:solidFill>
                                <w14:schemeClr w14:val="tx1"/>
                              </w14:solidFill>
                            </w14:textFill>
                          </w:rPr>
                        </m:ctrlPr>
                      </m:e>
                    </m:eqArr>
                    <m:ctrlPr>
                      <w:rPr>
                        <w:rFonts w:ascii="Cambria Math" w:hAnsi="Cambria Math" w:cs="Times New Roman"/>
                        <w:i/>
                        <w:color w:val="000000" w:themeColor="text1"/>
                        <w:szCs w:val="21"/>
                        <w14:textFill>
                          <w14:solidFill>
                            <w14:schemeClr w14:val="tx1"/>
                          </w14:solidFill>
                        </w14:textFill>
                      </w:rPr>
                    </m:ctrlPr>
                  </m:e>
                </m:d>
              </m:oMath>
            </m:oMathPara>
          </w:p>
        </w:tc>
        <w:tc>
          <w:tcPr>
            <w:tcW w:w="958" w:type="pct"/>
            <w:vAlign w:val="center"/>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（D.2.3-4）</w:t>
            </w:r>
          </w:p>
        </w:tc>
      </w:tr>
    </w:tbl>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（5）桩端土处于塑性阶段</w:t>
      </w:r>
    </w:p>
    <w:p>
      <w:pPr>
        <w:spacing w:line="360" w:lineRule="auto"/>
        <w:rPr>
          <w:rFonts w:ascii="Times New Roman" w:hAnsi="Times New Roman" w:cs="Times New Roman"/>
          <w:color w:val="000000" w:themeColor="text1"/>
          <w:szCs w:val="21"/>
          <w14:textFill>
            <w14:solidFill>
              <w14:schemeClr w14:val="tx1"/>
            </w14:solidFill>
          </w14:textFill>
        </w:rPr>
      </w:pPr>
      <m:oMathPara>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d</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f>
            <m:fPr>
              <m:ctrlPr>
                <w:rPr>
                  <w:rFonts w:ascii="Cambria Math" w:hAnsi="Times New Roman" w:cs="Times New Roman"/>
                  <w:i/>
                  <w:color w:val="000000" w:themeColor="text1"/>
                  <w:szCs w:val="21"/>
                  <w14:textFill>
                    <w14:solidFill>
                      <w14:schemeClr w14:val="tx1"/>
                    </w14:solidFill>
                  </w14:textFill>
                </w:rPr>
              </m:ctrlPr>
            </m:fPr>
            <m:num>
              <m:r>
                <m:rPr/>
                <w:rPr>
                  <w:rFonts w:ascii="Cambria Math" w:hAnsi="Times New Roman" w:cs="Times New Roman"/>
                  <w:color w:val="000000" w:themeColor="text1"/>
                  <w:szCs w:val="21"/>
                  <w14:textFill>
                    <w14:solidFill>
                      <w14:schemeClr w14:val="tx1"/>
                    </w14:solidFill>
                  </w14:textFill>
                </w:rPr>
                <m:t>EA</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d>
                <m:dPr>
                  <m:begChr m:val="["/>
                  <m:endChr m:val="]"/>
                  <m:ctrlPr>
                    <w:rPr>
                      <w:rFonts w:ascii="Cambria Math" w:hAnsi="Times New Roman" w:cs="Times New Roman"/>
                      <w:i/>
                      <w:color w:val="000000" w:themeColor="text1"/>
                      <w:szCs w:val="21"/>
                      <w14:textFill>
                        <w14:solidFill>
                          <w14:schemeClr w14:val="tx1"/>
                        </w14:solidFill>
                      </w14:textFill>
                    </w:rPr>
                  </m:ctrlPr>
                </m:dPr>
                <m:e>
                  <m:d>
                    <m:dPr>
                      <m:ctrlPr>
                        <w:rPr>
                          <w:rFonts w:ascii="Cambria Math" w:hAnsi="Times New Roman" w:cs="Times New Roman"/>
                          <w:i/>
                          <w:color w:val="000000" w:themeColor="text1"/>
                          <w:szCs w:val="21"/>
                          <w14:textFill>
                            <w14:solidFill>
                              <w14:schemeClr w14:val="tx1"/>
                            </w14:solidFill>
                          </w14:textFill>
                        </w:rPr>
                      </m:ctrlPr>
                    </m:d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3</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sinh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ctrlPr>
                        <w:rPr>
                          <w:rFonts w:ascii="Cambria Math" w:hAnsi="Times New Roman" w:cs="Times New Roman"/>
                          <w:i/>
                          <w:color w:val="000000" w:themeColor="text1"/>
                          <w:szCs w:val="21"/>
                          <w14:textFill>
                            <w14:solidFill>
                              <w14:schemeClr w14:val="tx1"/>
                            </w14:solidFill>
                          </w14:textFill>
                        </w:rPr>
                      </m:ctrlPr>
                    </m:e>
                  </m:d>
                  <m:d>
                    <m:dPr>
                      <m:ctrlPr>
                        <w:rPr>
                          <w:rFonts w:ascii="Cambria Math" w:hAnsi="Times New Roman" w:cs="Times New Roman"/>
                          <w:i/>
                          <w:color w:val="000000" w:themeColor="text1"/>
                          <w:szCs w:val="21"/>
                          <w14:textFill>
                            <w14:solidFill>
                              <w14:schemeClr w14:val="tx1"/>
                            </w14:solidFill>
                          </w14:textFill>
                        </w:rPr>
                      </m:ctrlPr>
                    </m:d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d</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d>
                  <m:r>
                    <m:rPr/>
                    <w:rPr>
                      <w:rFonts w:ascii="Cambria Math" w:hAnsi="Times New Roman" w:cs="Times New Roman"/>
                      <w:color w:val="000000" w:themeColor="text1"/>
                      <w:szCs w:val="21"/>
                      <w14:textFill>
                        <w14:solidFill>
                          <w14:schemeClr w14:val="tx1"/>
                        </w14:solidFill>
                      </w14:textFill>
                    </w:rPr>
                    <m:t>+</m:t>
                  </m:r>
                  <m:d>
                    <m:dPr>
                      <m:ctrlPr>
                        <w:rPr>
                          <w:rFonts w:ascii="Cambria Math" w:hAnsi="Times New Roman" w:cs="Times New Roman"/>
                          <w:i/>
                          <w:color w:val="000000" w:themeColor="text1"/>
                          <w:szCs w:val="21"/>
                          <w14:textFill>
                            <w14:solidFill>
                              <w14:schemeClr w14:val="tx1"/>
                            </w14:solidFill>
                          </w14:textFill>
                        </w:rPr>
                      </m:ctrlPr>
                    </m:dPr>
                    <m:e>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3</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d>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b</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m</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W</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3</m:t>
                      </m:r>
                      <m:ctrlPr>
                        <w:rPr>
                          <w:rFonts w:ascii="Cambria Math" w:hAnsi="Times New Roman"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d>
              <m:ctrlPr>
                <w:rPr>
                  <w:rFonts w:ascii="Cambria Math" w:hAnsi="Times New Roman" w:cs="Times New Roman"/>
                  <w:i/>
                  <w:color w:val="000000" w:themeColor="text1"/>
                  <w:szCs w:val="21"/>
                  <w14:textFill>
                    <w14:solidFill>
                      <w14:schemeClr w14:val="tx1"/>
                    </w14:solidFill>
                  </w14:textFill>
                </w:rPr>
              </m:ctrlPr>
            </m:num>
            <m:den>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cosh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3</m:t>
                  </m:r>
                  <m:ctrlPr>
                    <w:rPr>
                      <w:rFonts w:ascii="Cambria Math" w:hAnsi="Times New Roman" w:cs="Times New Roman"/>
                      <w:i/>
                      <w:color w:val="000000" w:themeColor="text1"/>
                      <w:szCs w:val="21"/>
                      <w14:textFill>
                        <w14:solidFill>
                          <w14:schemeClr w14:val="tx1"/>
                        </w14:solidFill>
                      </w14:textFill>
                    </w:rPr>
                  </m:ctrlPr>
                </m:sub>
              </m:sSub>
              <m:func>
                <m:funcPr>
                  <m:ctrlPr>
                    <w:rPr>
                      <w:rFonts w:ascii="Cambria Math" w:hAnsi="Times New Roman" w:cs="Times New Roman"/>
                      <w:i/>
                      <w:color w:val="000000" w:themeColor="text1"/>
                      <w:szCs w:val="21"/>
                      <w14:textFill>
                        <w14:solidFill>
                          <w14:schemeClr w14:val="tx1"/>
                        </w14:solidFill>
                      </w14:textFill>
                    </w:rPr>
                  </m:ctrlPr>
                </m:funcPr>
                <m:fName>
                  <m:r>
                    <m:rPr>
                      <m:sty m:val="p"/>
                    </m:rPr>
                    <w:rPr>
                      <w:rFonts w:ascii="Cambria Math" w:hAnsi="Times New Roman" w:cs="Times New Roman"/>
                      <w:color w:val="000000" w:themeColor="text1"/>
                      <w:szCs w:val="21"/>
                      <w14:textFill>
                        <w14:solidFill>
                          <w14:schemeClr w14:val="tx1"/>
                        </w14:solidFill>
                      </w14:textFill>
                    </w:rPr>
                    <m:t>sinh</m:t>
                  </m:r>
                  <m:ctrlPr>
                    <w:rPr>
                      <w:rFonts w:ascii="Cambria Math" w:hAnsi="Cambria Math" w:cs="Times New Roman"/>
                      <w:i/>
                      <w:color w:val="000000" w:themeColor="text1"/>
                      <w:szCs w:val="21"/>
                      <w14:textFill>
                        <w14:solidFill>
                          <w14:schemeClr w14:val="tx1"/>
                        </w14:solidFill>
                      </w14:textFill>
                    </w:rPr>
                  </m:ctrlPr>
                </m:fName>
                <m:e>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4</m:t>
                      </m:r>
                      <m:ctrlPr>
                        <w:rPr>
                          <w:rFonts w:ascii="Cambria Math" w:hAnsi="Cambria Math" w:cs="Times New Roman"/>
                          <w:i/>
                          <w:color w:val="000000" w:themeColor="text1"/>
                          <w:szCs w:val="21"/>
                          <w14:textFill>
                            <w14:solidFill>
                              <w14:schemeClr w14:val="tx1"/>
                            </w14:solidFill>
                          </w14:textFill>
                        </w:rPr>
                      </m:ctrlPr>
                    </m:sub>
                  </m:sSub>
                  <m:ctrlPr>
                    <w:rPr>
                      <w:rFonts w:ascii="Cambria Math" w:hAnsi="Times New Roman" w:cs="Times New Roman"/>
                      <w:i/>
                      <w:color w:val="000000" w:themeColor="text1"/>
                      <w:szCs w:val="21"/>
                      <w14:textFill>
                        <w14:solidFill>
                          <w14:schemeClr w14:val="tx1"/>
                        </w14:solidFill>
                      </w14:textFill>
                    </w:rPr>
                  </m:ctrlPr>
                </m:e>
              </m:func>
              <m:ctrlPr>
                <w:rPr>
                  <w:rFonts w:ascii="Cambria Math" w:hAnsi="Times New Roman" w:cs="Times New Roman"/>
                  <w:i/>
                  <w:color w:val="000000" w:themeColor="text1"/>
                  <w:szCs w:val="21"/>
                  <w14:textFill>
                    <w14:solidFill>
                      <w14:schemeClr w14:val="tx1"/>
                    </w14:solidFill>
                  </w14:textFill>
                </w:rPr>
              </m:ctrlPr>
            </m:den>
          </m:f>
        </m:oMath>
      </m:oMathPara>
    </w:p>
    <w:p>
      <w:pPr>
        <w:spacing w:line="360" w:lineRule="auto"/>
        <w:jc w:val="righ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（D.2.3-5）</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由式（</w:t>
      </w:r>
      <w:r>
        <w:rPr>
          <w:rFonts w:hint="eastAsia" w:ascii="Times New Roman" w:hAnsi="Times New Roman" w:cs="Times New Roman"/>
          <w:color w:val="000000" w:themeColor="text1"/>
          <w:szCs w:val="21"/>
          <w14:textFill>
            <w14:solidFill>
              <w14:schemeClr w14:val="tx1"/>
            </w14:solidFill>
          </w14:textFill>
        </w:rPr>
        <w:t>D.2.3-1</w:t>
      </w:r>
      <w:r>
        <w:rPr>
          <w:rFonts w:ascii="Times New Roman" w:hAnsi="Times New Roman" w:cs="Times New Roman"/>
          <w:color w:val="000000" w:themeColor="text1"/>
          <w:szCs w:val="21"/>
          <w14:textFill>
            <w14:solidFill>
              <w14:schemeClr w14:val="tx1"/>
            </w14:solidFill>
          </w14:textFill>
        </w:rPr>
        <w:t>）和（</w:t>
      </w:r>
      <w:r>
        <w:rPr>
          <w:rFonts w:hint="eastAsia" w:ascii="Times New Roman" w:hAnsi="Times New Roman" w:cs="Times New Roman"/>
          <w:color w:val="000000" w:themeColor="text1"/>
          <w:szCs w:val="21"/>
          <w14:textFill>
            <w14:solidFill>
              <w14:schemeClr w14:val="tx1"/>
            </w14:solidFill>
          </w14:textFill>
        </w:rPr>
        <w:t>D.2.3-4</w:t>
      </w:r>
      <w:r>
        <w:rPr>
          <w:rFonts w:ascii="Times New Roman" w:hAnsi="Times New Roman" w:cs="Times New Roman"/>
          <w:color w:val="000000" w:themeColor="text1"/>
          <w:szCs w:val="21"/>
          <w14:textFill>
            <w14:solidFill>
              <w14:schemeClr w14:val="tx1"/>
            </w14:solidFill>
          </w14:textFill>
        </w:rPr>
        <w:t>）可知，当给定试桩试验曲线，便可确定</w:t>
      </w:r>
      <w:r>
        <w:rPr>
          <w:rFonts w:hint="eastAsia" w:ascii="Times New Roman" w:hAnsi="Times New Roman" w:cs="Times New Roman"/>
          <w:color w:val="000000" w:themeColor="text1"/>
          <w:szCs w:val="21"/>
          <w14:textFill>
            <w14:solidFill>
              <w14:schemeClr w14:val="tx1"/>
            </w14:solidFill>
          </w14:textFill>
        </w:rPr>
        <w:t>参数</w:t>
      </w:r>
      <w:r>
        <w:rPr>
          <w:rFonts w:ascii="Times New Roman" w:hAnsi="Times New Roman" w:cs="Times New Roman"/>
          <w:i/>
          <w:color w:val="000000" w:themeColor="text1"/>
          <w:szCs w:val="21"/>
          <w14:textFill>
            <w14:solidFill>
              <w14:schemeClr w14:val="tx1"/>
            </w14:solidFill>
          </w14:textFill>
        </w:rPr>
        <w:t>λ</w:t>
      </w:r>
      <w:r>
        <w:rPr>
          <w:rFonts w:ascii="Times New Roman" w:hAnsi="Times New Roman" w:cs="Times New Roman"/>
          <w:color w:val="000000" w:themeColor="text1"/>
          <w:szCs w:val="21"/>
          <w:vertAlign w:val="subscript"/>
          <w14:textFill>
            <w14:solidFill>
              <w14:schemeClr w14:val="tx1"/>
            </w14:solidFill>
          </w14:textFill>
        </w:rPr>
        <w:t>3</w:t>
      </w:r>
      <w:r>
        <w:rPr>
          <w:rFonts w:ascii="Times New Roman" w:hAnsi="Times New Roman" w:cs="Times New Roman"/>
          <w:color w:val="000000" w:themeColor="text1"/>
          <w:szCs w:val="21"/>
          <w14:textFill>
            <w14:solidFill>
              <w14:schemeClr w14:val="tx1"/>
            </w14:solidFill>
          </w14:textFill>
        </w:rPr>
        <w:t>，</w:t>
      </w:r>
      <w:r>
        <w:rPr>
          <w:rFonts w:ascii="Times New Roman" w:hAnsi="Times New Roman" w:cs="Times New Roman"/>
          <w:i/>
          <w:color w:val="000000" w:themeColor="text1"/>
          <w:szCs w:val="21"/>
          <w14:textFill>
            <w14:solidFill>
              <w14:schemeClr w14:val="tx1"/>
            </w14:solidFill>
          </w14:textFill>
        </w:rPr>
        <w:t>λ</w:t>
      </w:r>
      <w:r>
        <w:rPr>
          <w:rFonts w:ascii="Times New Roman" w:hAnsi="Times New Roman" w:cs="Times New Roman"/>
          <w:color w:val="000000" w:themeColor="text1"/>
          <w:szCs w:val="21"/>
          <w:vertAlign w:val="subscript"/>
          <w14:textFill>
            <w14:solidFill>
              <w14:schemeClr w14:val="tx1"/>
            </w14:solidFill>
          </w14:textFill>
        </w:rPr>
        <w:t>4</w:t>
      </w:r>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k</w:t>
      </w:r>
      <w:r>
        <w:rPr>
          <w:rFonts w:hint="eastAsia" w:ascii="Times New Roman" w:hAnsi="Times New Roman" w:cs="Times New Roman"/>
          <w:color w:val="000000" w:themeColor="text1"/>
          <w:szCs w:val="21"/>
          <w:vertAlign w:val="subscript"/>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k</w:t>
      </w:r>
      <w:r>
        <w:rPr>
          <w:rFonts w:hint="eastAsia" w:ascii="Times New Roman" w:hAnsi="Times New Roman" w:cs="Times New Roman"/>
          <w:color w:val="000000" w:themeColor="text1"/>
          <w:szCs w:val="21"/>
          <w:vertAlign w:val="subscript"/>
          <w14:textFill>
            <w14:solidFill>
              <w14:schemeClr w14:val="tx1"/>
            </w14:solidFill>
          </w14:textFill>
        </w:rPr>
        <w:t>2</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i/>
          <w:color w:val="000000" w:themeColor="text1"/>
          <w:szCs w:val="21"/>
          <w14:textFill>
            <w14:solidFill>
              <w14:schemeClr w14:val="tx1"/>
            </w14:solidFill>
          </w14:textFill>
        </w:rPr>
        <w:t>W</w:t>
      </w:r>
      <w:r>
        <w:rPr>
          <w:rFonts w:ascii="Times New Roman" w:hAnsi="Times New Roman" w:cs="Times New Roman"/>
          <w:color w:val="000000" w:themeColor="text1"/>
          <w:szCs w:val="21"/>
          <w:vertAlign w:val="subscript"/>
          <w14:textFill>
            <w14:solidFill>
              <w14:schemeClr w14:val="tx1"/>
            </w14:solidFill>
          </w14:textFill>
        </w:rPr>
        <w:t>2</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W</w:t>
      </w:r>
      <w:r>
        <w:rPr>
          <w:rFonts w:hint="eastAsia" w:ascii="Times New Roman" w:hAnsi="Times New Roman" w:cs="Times New Roman"/>
          <w:color w:val="000000" w:themeColor="text1"/>
          <w:szCs w:val="21"/>
          <w:vertAlign w:val="subscript"/>
          <w14:textFill>
            <w14:solidFill>
              <w14:schemeClr w14:val="tx1"/>
            </w14:solidFill>
          </w14:textFill>
        </w:rPr>
        <w:t>b</w:t>
      </w:r>
      <w:r>
        <w:rPr>
          <w:rFonts w:ascii="Times New Roman" w:hAnsi="Times New Roman" w:cs="Times New Roman"/>
          <w:color w:val="000000" w:themeColor="text1"/>
          <w:szCs w:val="21"/>
          <w14:textFill>
            <w14:solidFill>
              <w14:schemeClr w14:val="tx1"/>
            </w14:solidFill>
          </w14:textFill>
        </w:rPr>
        <w:t>。</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式（D.2.2-1）到（D.2.3-4）中：</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n</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r>
          <m:rPr>
            <m:sty m:val="p"/>
          </m:rPr>
          <w:rPr>
            <w:rFonts w:ascii="Cambria Math" w:hAnsi="Cambria Math" w:cs="Times New Roman"/>
            <w:color w:val="000000" w:themeColor="text1"/>
            <w:szCs w:val="21"/>
            <w14:textFill>
              <w14:solidFill>
                <w14:schemeClr w14:val="tx1"/>
              </w14:solidFill>
            </w14:textFill>
          </w:rPr>
          <m:t>tan</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r>
          <m:rPr>
            <m:sty m:val="p"/>
          </m:rPr>
          <w:rPr>
            <w:rFonts w:ascii="Cambria Math" w:hAnsi="Cambria Math" w:cs="Times New Roman"/>
            <w:color w:val="000000" w:themeColor="text1"/>
            <w:szCs w:val="21"/>
            <w14:textFill>
              <w14:solidFill>
                <w14:schemeClr w14:val="tx1"/>
              </w14:solidFill>
            </w14:textFill>
          </w:rPr>
          <m:t>tan</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 /(1+</m:t>
        </m:r>
        <m:r>
          <m:rPr>
            <m:sty m:val="p"/>
          </m:rPr>
          <w:rPr>
            <w:rFonts w:ascii="Cambria Math" w:hAnsi="Cambria Math" w:cs="Times New Roman"/>
            <w:color w:val="000000" w:themeColor="text1"/>
            <w:szCs w:val="21"/>
            <w14:textFill>
              <w14:solidFill>
                <w14:schemeClr w14:val="tx1"/>
              </w14:solidFill>
            </w14:textFill>
          </w:rPr>
          <m:t>tan</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r>
          <m:rPr>
            <m:sty m:val="p"/>
          </m:rPr>
          <w:rPr>
            <w:rFonts w:ascii="Cambria Math" w:hAnsi="Cambria Math" w:cs="Times New Roman"/>
            <w:color w:val="000000" w:themeColor="text1"/>
            <w:szCs w:val="21"/>
            <w14:textFill>
              <w14:solidFill>
                <w14:schemeClr w14:val="tx1"/>
              </w14:solidFill>
            </w14:textFill>
          </w:rPr>
          <m:t>tan</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oMath>
      <w:r>
        <w:rPr>
          <w:rFonts w:ascii="Times New Roman" w:hAnsi="Times New Roman" w:cs="Times New Roman"/>
          <w:color w:val="000000" w:themeColor="text1"/>
          <w:szCs w:val="21"/>
          <w14:textFill>
            <w14:solidFill>
              <w14:schemeClr w14:val="tx1"/>
            </w14:solidFill>
          </w14:textFill>
        </w:rPr>
        <w:t>；</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n</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3</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r>
          <m:rPr>
            <m:sty m:val="p"/>
          </m:rPr>
          <w:rPr>
            <w:rFonts w:ascii="Cambria Math" w:hAnsi="Cambria Math" w:cs="Times New Roman"/>
            <w:color w:val="000000" w:themeColor="text1"/>
            <w:szCs w:val="21"/>
            <w14:textFill>
              <w14:solidFill>
                <w14:schemeClr w14:val="tx1"/>
              </w14:solidFill>
            </w14:textFill>
          </w:rPr>
          <m:t>c</m:t>
        </m:r>
        <m:r>
          <m:rPr/>
          <w:rPr>
            <w:rFonts w:ascii="Cambria Math" w:hAnsi="Cambria Math" w:cs="Times New Roman"/>
            <w:color w:val="000000" w:themeColor="text1"/>
            <w:szCs w:val="21"/>
            <w14:textFill>
              <w14:solidFill>
                <w14:schemeClr w14:val="tx1"/>
              </w14:solidFill>
            </w14:textFill>
          </w:rPr>
          <m:t>−</m:t>
        </m:r>
        <m:r>
          <m:rPr>
            <m:sty m:val="p"/>
          </m:rPr>
          <w:rPr>
            <w:rFonts w:ascii="Cambria Math" w:hAnsi="Cambria Math" w:cs="Times New Roman"/>
            <w:color w:val="000000" w:themeColor="text1"/>
            <w:szCs w:val="21"/>
            <w14:textFill>
              <w14:solidFill>
                <w14:schemeClr w14:val="tx1"/>
              </w14:solidFill>
            </w14:textFill>
          </w:rPr>
          <m:t>tanh</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3</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 /(1−c</m:t>
        </m:r>
        <m:r>
          <m:rPr>
            <m:sty m:val="p"/>
          </m:rPr>
          <w:rPr>
            <w:rFonts w:ascii="Cambria Math" w:hAnsi="Cambria Math" w:cs="Times New Roman"/>
            <w:color w:val="000000" w:themeColor="text1"/>
            <w:szCs w:val="21"/>
            <w14:textFill>
              <w14:solidFill>
                <w14:schemeClr w14:val="tx1"/>
              </w14:solidFill>
            </w14:textFill>
          </w:rPr>
          <m:t>tanh</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γ</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3</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oMath>
      <w:r>
        <w:rPr>
          <w:rFonts w:ascii="Times New Roman" w:hAnsi="Times New Roman" w:cs="Times New Roman"/>
          <w:color w:val="000000" w:themeColor="text1"/>
          <w:szCs w:val="21"/>
          <w14:textFill>
            <w14:solidFill>
              <w14:schemeClr w14:val="tx1"/>
            </w14:solidFill>
          </w14:textFill>
        </w:rPr>
        <w:t>；</w:t>
      </w:r>
      <m:oMath>
        <m:r>
          <m:rPr/>
          <w:rPr>
            <w:rFonts w:ascii="Cambria Math" w:hAnsi="Cambria Math" w:cs="Times New Roman"/>
            <w:color w:val="000000" w:themeColor="text1"/>
            <w:szCs w:val="21"/>
            <w14:textFill>
              <w14:solidFill>
                <w14:schemeClr w14:val="tx1"/>
              </w14:solidFill>
            </w14:textFill>
          </w:rPr>
          <m:t>c=(</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r>
          <m:rPr>
            <m:sty m:val="p"/>
          </m:rPr>
          <w:rPr>
            <w:rFonts w:ascii="Cambria Math" w:hAnsi="Cambria Math" w:cs="Times New Roman"/>
            <w:color w:val="000000" w:themeColor="text1"/>
            <w:szCs w:val="21"/>
            <w14:textFill>
              <w14:solidFill>
                <w14:schemeClr w14:val="tx1"/>
              </w14:solidFill>
            </w14:textFill>
          </w:rPr>
          <m:t>tanh</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3</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)/(1+</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m:sty m:val="p"/>
          </m:rPr>
          <w:rPr>
            <w:rFonts w:ascii="Cambria Math" w:hAnsi="Cambria Math" w:cs="Times New Roman"/>
            <w:color w:val="000000" w:themeColor="text1"/>
            <w:szCs w:val="21"/>
            <w14:textFill>
              <w14:solidFill>
                <w14:schemeClr w14:val="tx1"/>
              </w14:solidFill>
            </w14:textFill>
          </w:rPr>
          <m:t>tanh</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β</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3</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oMath>
      <w:r>
        <w:rPr>
          <w:rFonts w:ascii="Times New Roman" w:hAnsi="Times New Roman" w:cs="Times New Roman"/>
          <w:color w:val="000000" w:themeColor="text1"/>
          <w:szCs w:val="21"/>
          <w14:textFill>
            <w14:solidFill>
              <w14:schemeClr w14:val="tx1"/>
            </w14:solidFill>
          </w14:textFill>
        </w:rPr>
        <w:t>；</w:t>
      </w: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1</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k</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/E</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3</m:t>
            </m:r>
            <m:ctrlPr>
              <w:rPr>
                <w:rFonts w:ascii="Cambria Math" w:hAnsi="Times New Roman" w:cs="Times New Roman"/>
                <w:i/>
                <w:color w:val="000000" w:themeColor="text1"/>
                <w:szCs w:val="21"/>
                <w14:textFill>
                  <w14:solidFill>
                    <w14:schemeClr w14:val="tx1"/>
                  </w14:solidFill>
                </w14:textFill>
              </w:rPr>
            </m:ctrlPr>
          </m:sub>
        </m:sSub>
      </m:oMath>
      <w:r>
        <w:rPr>
          <w:rFonts w:ascii="Times New Roman" w:hAnsi="Times New Roman" w:cs="Times New Roman"/>
          <w:color w:val="000000" w:themeColor="text1"/>
          <w:szCs w:val="21"/>
          <w14:textFill>
            <w14:solidFill>
              <w14:schemeClr w14:val="tx1"/>
            </w14:solidFill>
          </w14:textFill>
        </w:rPr>
        <w:t>；</w:t>
      </w: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2</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k</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1</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/E</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oMath>
      <w:r>
        <w:rPr>
          <w:rFonts w:ascii="Times New Roman" w:hAnsi="Times New Roman" w:cs="Times New Roman"/>
          <w:color w:val="000000" w:themeColor="text1"/>
          <w:szCs w:val="21"/>
          <w14:textFill>
            <w14:solidFill>
              <w14:schemeClr w14:val="tx1"/>
            </w14:solidFill>
          </w14:textFill>
        </w:rPr>
        <w:t>；</w:t>
      </w:r>
      <m:oMath>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η</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3</m:t>
            </m:r>
            <m:ctrlPr>
              <w:rPr>
                <w:rFonts w:ascii="Cambria Math" w:hAnsi="Times New Roman"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k</m:t>
            </m:r>
            <m:ctrlPr>
              <w:rPr>
                <w:rFonts w:ascii="Cambria Math" w:hAnsi="Cambria Math" w:cs="Times New Roman"/>
                <w:i/>
                <w:color w:val="000000" w:themeColor="text1"/>
                <w:szCs w:val="21"/>
                <w14:textFill>
                  <w14:solidFill>
                    <w14:schemeClr w14:val="tx1"/>
                  </w14:solidFill>
                </w14:textFill>
              </w:rPr>
            </m:ctrlPr>
          </m:e>
          <m:sub>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/E</m:t>
        </m:r>
        <m:sSub>
          <m:sSubPr>
            <m:ctrlPr>
              <w:rPr>
                <w:rFonts w:ascii="Cambria Math" w:hAnsi="Times New Roman"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Times New Roman" w:cs="Times New Roman"/>
                <w:i/>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4</m:t>
            </m:r>
            <m:ctrlPr>
              <w:rPr>
                <w:rFonts w:ascii="Cambria Math" w:hAnsi="Times New Roman" w:cs="Times New Roman"/>
                <w:i/>
                <w:color w:val="000000" w:themeColor="text1"/>
                <w:szCs w:val="21"/>
                <w14:textFill>
                  <w14:solidFill>
                    <w14:schemeClr w14:val="tx1"/>
                  </w14:solidFill>
                </w14:textFill>
              </w:rPr>
            </m:ctrlPr>
          </m:sub>
        </m:sSub>
      </m:oMath>
      <w:r>
        <w:rPr>
          <w:rFonts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D</w:t>
      </w:r>
      <w:r>
        <w:rPr>
          <w:rFonts w:hint="eastAsia" w:ascii="Times New Roman" w:hAnsi="Times New Roman" w:cs="Times New Roman"/>
          <w:b/>
          <w:bCs/>
          <w:color w:val="000000" w:themeColor="text1"/>
          <w:szCs w:val="21"/>
          <w14:textFill>
            <w14:solidFill>
              <w14:schemeClr w14:val="tx1"/>
            </w14:solidFill>
          </w14:textFill>
        </w:rPr>
        <w:t>.2.4</w:t>
      </w:r>
      <w:r>
        <w:rPr>
          <w:rFonts w:hint="eastAsia" w:ascii="Times New Roman" w:hAnsi="Times New Roman" w:cs="Times New Roman"/>
          <w:color w:val="000000" w:themeColor="text1"/>
          <w:szCs w:val="21"/>
          <w14:textFill>
            <w14:solidFill>
              <w14:schemeClr w14:val="tx1"/>
            </w14:solidFill>
          </w14:textFill>
        </w:rPr>
        <w:t xml:space="preserve"> 解析转换法步骤：</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自锚试桩上段桩的桩侧摩阻力方向向下，与传统抗压桩相反，其解析法计算参数</w:t>
      </w:r>
      <w:r>
        <w:rPr>
          <w:rFonts w:ascii="Times New Roman" w:hAnsi="Times New Roman" w:cs="Times New Roman"/>
          <w:i/>
          <w:color w:val="000000" w:themeColor="text1"/>
          <w:szCs w:val="21"/>
          <w14:textFill>
            <w14:solidFill>
              <w14:schemeClr w14:val="tx1"/>
            </w14:solidFill>
          </w14:textFill>
        </w:rPr>
        <w:t>λ</w:t>
      </w:r>
      <w:r>
        <w:rPr>
          <w:rFonts w:ascii="Times New Roman" w:hAnsi="Times New Roman" w:cs="Times New Roman"/>
          <w:color w:val="000000" w:themeColor="text1"/>
          <w:szCs w:val="21"/>
          <w:vertAlign w:val="subscript"/>
          <w14:textFill>
            <w14:solidFill>
              <w14:schemeClr w14:val="tx1"/>
            </w14:solidFill>
          </w14:textFill>
        </w:rPr>
        <w:t>1</w:t>
      </w:r>
      <w:r>
        <w:rPr>
          <w:rFonts w:ascii="Times New Roman" w:hAnsi="Times New Roman" w:cs="Times New Roman"/>
          <w:color w:val="000000" w:themeColor="text1"/>
          <w:szCs w:val="21"/>
          <w14:textFill>
            <w14:solidFill>
              <w14:schemeClr w14:val="tx1"/>
            </w14:solidFill>
          </w14:textFill>
        </w:rPr>
        <w:t>，</w:t>
      </w:r>
      <w:r>
        <w:rPr>
          <w:rFonts w:ascii="Times New Roman" w:hAnsi="Times New Roman" w:cs="Times New Roman"/>
          <w:i/>
          <w:color w:val="000000" w:themeColor="text1"/>
          <w:szCs w:val="21"/>
          <w14:textFill>
            <w14:solidFill>
              <w14:schemeClr w14:val="tx1"/>
            </w14:solidFill>
          </w14:textFill>
        </w:rPr>
        <w:t>λ</w:t>
      </w:r>
      <w:r>
        <w:rPr>
          <w:rFonts w:ascii="Times New Roman" w:hAnsi="Times New Roman" w:cs="Times New Roman"/>
          <w:color w:val="000000" w:themeColor="text1"/>
          <w:szCs w:val="21"/>
          <w:vertAlign w:val="subscript"/>
          <w14:textFill>
            <w14:solidFill>
              <w14:schemeClr w14:val="tx1"/>
            </w14:solidFill>
          </w14:textFill>
        </w:rPr>
        <w:t>2</w:t>
      </w:r>
      <w:r>
        <w:rPr>
          <w:rFonts w:hint="eastAsia" w:ascii="Times New Roman" w:hAnsi="Times New Roman" w:cs="Times New Roman"/>
          <w:color w:val="000000" w:themeColor="text1"/>
          <w:szCs w:val="21"/>
          <w14:textFill>
            <w14:solidFill>
              <w14:schemeClr w14:val="tx1"/>
            </w14:solidFill>
          </w14:textFill>
        </w:rPr>
        <w:t>需要除以</w:t>
      </w:r>
      <w:r>
        <w:rPr>
          <w:rFonts w:ascii="Times New Roman" w:hAnsi="Times New Roman" w:cs="Times New Roman"/>
          <w:i/>
          <w:color w:val="000000" w:themeColor="text1"/>
          <w:szCs w:val="21"/>
          <w14:textFill>
            <w14:solidFill>
              <w14:schemeClr w14:val="tx1"/>
            </w14:solidFill>
          </w14:textFill>
        </w:rPr>
        <w:t>β</w:t>
      </w:r>
      <w:r>
        <w:rPr>
          <w:rFonts w:hint="eastAsia" w:ascii="Times New Roman" w:hAnsi="Times New Roman" w:cs="Times New Roman"/>
          <w:color w:val="000000" w:themeColor="text1"/>
          <w:szCs w:val="21"/>
          <w14:textFill>
            <w14:solidFill>
              <w14:schemeClr w14:val="tx1"/>
            </w14:solidFill>
          </w14:textFill>
        </w:rPr>
        <w:t>加以修正，</w:t>
      </w:r>
      <w:r>
        <w:rPr>
          <w:rFonts w:ascii="Times New Roman" w:hAnsi="Times New Roman" w:cs="Times New Roman"/>
          <w:i/>
          <w:color w:val="000000" w:themeColor="text1"/>
          <w:szCs w:val="21"/>
          <w14:textFill>
            <w14:solidFill>
              <w14:schemeClr w14:val="tx1"/>
            </w14:solidFill>
          </w14:textFill>
        </w:rPr>
        <w:t>β</w:t>
      </w:r>
      <w:r>
        <w:rPr>
          <w:rFonts w:hint="eastAsia" w:ascii="Times New Roman" w:hAnsi="Times New Roman" w:cs="Times New Roman"/>
          <w:color w:val="000000" w:themeColor="text1"/>
          <w:szCs w:val="21"/>
          <w14:textFill>
            <w14:solidFill>
              <w14:schemeClr w14:val="tx1"/>
            </w14:solidFill>
          </w14:textFill>
        </w:rPr>
        <w:t>为修正系数，其实质是抗拔桩的摩阻力抗拔系数，为</w:t>
      </w:r>
      <m:oMath>
        <m:sSub>
          <m:sSubPr>
            <m:ctrlPr>
              <w:rPr>
                <w:rFonts w:ascii="Cambria Math" w:hAnsi="Times New Roman" w:cs="Times New Roman"/>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1/α</m:t>
            </m:r>
            <m:ctrlPr>
              <w:rPr>
                <w:rFonts w:ascii="Cambria Math" w:hAnsi="Times New Roman" w:cs="Times New Roman"/>
                <w:iCs/>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iCs/>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。修正后所得参数依次作为</w:t>
      </w:r>
      <w:r>
        <w:rPr>
          <w:rFonts w:ascii="Times New Roman" w:hAnsi="Times New Roman" w:cs="Times New Roman"/>
          <w:i/>
          <w:color w:val="000000" w:themeColor="text1"/>
          <w:szCs w:val="21"/>
          <w14:textFill>
            <w14:solidFill>
              <w14:schemeClr w14:val="tx1"/>
            </w14:solidFill>
          </w14:textFill>
        </w:rPr>
        <w:t>λ</w:t>
      </w:r>
      <w:r>
        <w:rPr>
          <w:rFonts w:ascii="Times New Roman" w:hAnsi="Times New Roman" w:cs="Times New Roman"/>
          <w:color w:val="000000" w:themeColor="text1"/>
          <w:szCs w:val="21"/>
          <w:vertAlign w:val="subscript"/>
          <w14:textFill>
            <w14:solidFill>
              <w14:schemeClr w14:val="tx1"/>
            </w14:solidFill>
          </w14:textFill>
        </w:rPr>
        <w:t>3</w:t>
      </w:r>
      <w:r>
        <w:rPr>
          <w:rFonts w:ascii="Times New Roman" w:hAnsi="Times New Roman" w:cs="Times New Roman"/>
          <w:color w:val="000000" w:themeColor="text1"/>
          <w:szCs w:val="21"/>
          <w14:textFill>
            <w14:solidFill>
              <w14:schemeClr w14:val="tx1"/>
            </w14:solidFill>
          </w14:textFill>
        </w:rPr>
        <w:t>，</w:t>
      </w:r>
      <w:r>
        <w:rPr>
          <w:rFonts w:ascii="Times New Roman" w:hAnsi="Times New Roman" w:cs="Times New Roman"/>
          <w:i/>
          <w:color w:val="000000" w:themeColor="text1"/>
          <w:szCs w:val="21"/>
          <w14:textFill>
            <w14:solidFill>
              <w14:schemeClr w14:val="tx1"/>
            </w14:solidFill>
          </w14:textFill>
        </w:rPr>
        <w:t>λ</w:t>
      </w:r>
      <w:r>
        <w:rPr>
          <w:rFonts w:ascii="Times New Roman" w:hAnsi="Times New Roman" w:cs="Times New Roman"/>
          <w:color w:val="000000" w:themeColor="text1"/>
          <w:szCs w:val="21"/>
          <w:vertAlign w:val="subscript"/>
          <w14:textFill>
            <w14:solidFill>
              <w14:schemeClr w14:val="tx1"/>
            </w14:solidFill>
          </w14:textFill>
        </w:rPr>
        <w:t>4</w:t>
      </w:r>
      <w:r>
        <w:rPr>
          <w:rFonts w:hint="eastAsia" w:ascii="Times New Roman" w:hAnsi="Times New Roman" w:cs="Times New Roman"/>
          <w:color w:val="000000" w:themeColor="text1"/>
          <w:szCs w:val="21"/>
          <w14:textFill>
            <w14:solidFill>
              <w14:schemeClr w14:val="tx1"/>
            </w14:solidFill>
          </w14:textFill>
        </w:rPr>
        <w:t>。然后，将下段桩的计算荷载-位移曲线视为桩端土的荷载-位移曲线，采用双折线近似描述，拟合参数为</w:t>
      </w:r>
      <w:r>
        <w:rPr>
          <w:rFonts w:hint="eastAsia" w:ascii="Times New Roman" w:hAnsi="Times New Roman" w:cs="Times New Roman"/>
          <w:i/>
          <w:color w:val="000000" w:themeColor="text1"/>
          <w:szCs w:val="21"/>
          <w14:textFill>
            <w14:solidFill>
              <w14:schemeClr w14:val="tx1"/>
            </w14:solidFill>
          </w14:textFill>
        </w:rPr>
        <w:t>k</w:t>
      </w:r>
      <w:r>
        <w:rPr>
          <w:rFonts w:hint="eastAsia" w:ascii="Times New Roman" w:hAnsi="Times New Roman" w:cs="Times New Roman"/>
          <w:color w:val="000000" w:themeColor="text1"/>
          <w:szCs w:val="21"/>
          <w:vertAlign w:val="subscript"/>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k</w:t>
      </w:r>
      <w:r>
        <w:rPr>
          <w:rFonts w:hint="eastAsia" w:ascii="Times New Roman" w:hAnsi="Times New Roman" w:cs="Times New Roman"/>
          <w:color w:val="000000" w:themeColor="text1"/>
          <w:szCs w:val="21"/>
          <w:vertAlign w:val="subscript"/>
          <w14:textFill>
            <w14:solidFill>
              <w14:schemeClr w14:val="tx1"/>
            </w14:solidFill>
          </w14:textFill>
        </w:rPr>
        <w:t>2</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W</w:t>
      </w:r>
      <w:r>
        <w:rPr>
          <w:rFonts w:hint="eastAsia" w:ascii="Times New Roman" w:hAnsi="Times New Roman" w:cs="Times New Roman"/>
          <w:color w:val="000000" w:themeColor="text1"/>
          <w:szCs w:val="21"/>
          <w:vertAlign w:val="subscript"/>
          <w14:textFill>
            <w14:solidFill>
              <w14:schemeClr w14:val="tx1"/>
            </w14:solidFill>
          </w14:textFill>
        </w:rPr>
        <w:t>b</w:t>
      </w:r>
      <w:r>
        <w:rPr>
          <w:rFonts w:hint="eastAsia" w:ascii="Times New Roman" w:hAnsi="Times New Roman" w:cs="Times New Roman"/>
          <w:color w:val="000000" w:themeColor="text1"/>
          <w:szCs w:val="21"/>
          <w14:textFill>
            <w14:solidFill>
              <w14:schemeClr w14:val="tx1"/>
            </w14:solidFill>
          </w14:textFill>
        </w:rPr>
        <w:t>。最后，根据上述得到的参数便可利用自锚试桩上、下段桩的解析解公式将自锚试桩结果转换为传统抗压桩的</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14:textFill>
            <w14:solidFill>
              <w14:schemeClr w14:val="tx1"/>
            </w14:solidFill>
          </w14:textFill>
        </w:rPr>
        <w:t>曲线。</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bookmarkStart w:id="151" w:name="_Toc165274035"/>
      <w:bookmarkStart w:id="152" w:name="_Toc154934741"/>
      <w:bookmarkStart w:id="153" w:name="_Toc154757395"/>
      <w:r>
        <w:rPr>
          <w:rFonts w:hint="eastAsia"/>
          <w:color w:val="000000" w:themeColor="text1"/>
          <w14:textFill>
            <w14:solidFill>
              <w14:schemeClr w14:val="tx1"/>
            </w14:solidFill>
          </w14:textFill>
        </w:rPr>
        <w:t>本规范用词说明</w:t>
      </w:r>
      <w:bookmarkEnd w:id="151"/>
      <w:bookmarkEnd w:id="152"/>
      <w:bookmarkEnd w:id="153"/>
    </w:p>
    <w:p>
      <w:pPr>
        <w:spacing w:line="360" w:lineRule="auto"/>
        <w:ind w:firstLine="422" w:firstLineChars="200"/>
        <w:rPr>
          <w:color w:val="000000" w:themeColor="text1"/>
          <w:szCs w:val="21"/>
          <w14:textFill>
            <w14:solidFill>
              <w14:schemeClr w14:val="tx1"/>
            </w14:solidFill>
          </w14:textFill>
        </w:rPr>
      </w:pPr>
      <w:r>
        <w:rPr>
          <w:rFonts w:eastAsia="黑体"/>
          <w:b/>
          <w:color w:val="000000" w:themeColor="text1"/>
          <w:szCs w:val="21"/>
          <w14:textFill>
            <w14:solidFill>
              <w14:schemeClr w14:val="tx1"/>
            </w14:solidFill>
          </w14:textFill>
        </w:rPr>
        <w:t>1</w:t>
      </w:r>
      <w:r>
        <w:rPr>
          <w:rFonts w:hint="eastAsia"/>
          <w:b/>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为了便于在执行本规范条文时区别对待，对要求严格程度不同的用词说明如下：</w:t>
      </w:r>
    </w:p>
    <w:p>
      <w:pPr>
        <w:spacing w:line="360" w:lineRule="auto"/>
        <w:ind w:firstLine="630"/>
        <w:rPr>
          <w:color w:val="000000" w:themeColor="text1"/>
          <w:szCs w:val="21"/>
          <w14:textFill>
            <w14:solidFill>
              <w14:schemeClr w14:val="tx1"/>
            </w14:solidFill>
          </w14:textFill>
        </w:rPr>
      </w:pPr>
      <w:r>
        <w:rPr>
          <w:color w:val="000000" w:themeColor="text1"/>
          <w:szCs w:val="21"/>
          <w14:textFill>
            <w14:solidFill>
              <w14:schemeClr w14:val="tx1"/>
            </w14:solidFill>
          </w14:textFill>
        </w:rPr>
        <w:t>1) 表示很严格，非这样做不可的：</w:t>
      </w:r>
    </w:p>
    <w:p>
      <w:pPr>
        <w:spacing w:line="360" w:lineRule="auto"/>
        <w:ind w:firstLine="630" w:firstLineChars="3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正面词采用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必须</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；反面词采用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严禁</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w:t>
      </w:r>
    </w:p>
    <w:p>
      <w:pPr>
        <w:spacing w:line="360" w:lineRule="auto"/>
        <w:ind w:firstLine="630" w:firstLineChars="300"/>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表示严格，在正常情况下均应这样做的：</w:t>
      </w:r>
    </w:p>
    <w:p>
      <w:pPr>
        <w:spacing w:line="360" w:lineRule="auto"/>
        <w:ind w:firstLine="630" w:firstLineChars="300"/>
        <w:rPr>
          <w:color w:val="000000" w:themeColor="text1"/>
          <w:szCs w:val="21"/>
          <w14:textFill>
            <w14:solidFill>
              <w14:schemeClr w14:val="tx1"/>
            </w14:solidFill>
          </w14:textFill>
        </w:rPr>
      </w:pPr>
      <w:r>
        <w:rPr>
          <w:color w:val="000000" w:themeColor="text1"/>
          <w:szCs w:val="21"/>
          <w14:textFill>
            <w14:solidFill>
              <w14:schemeClr w14:val="tx1"/>
            </w14:solidFill>
          </w14:textFill>
        </w:rPr>
        <w:t>正面词采用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应</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；反面词采用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不应</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或</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不得</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w:t>
      </w:r>
    </w:p>
    <w:p>
      <w:pPr>
        <w:spacing w:line="360" w:lineRule="auto"/>
        <w:ind w:firstLine="630" w:firstLineChars="300"/>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表示允许稍有选择，在条件许可时首先应这样做的：</w:t>
      </w:r>
    </w:p>
    <w:p>
      <w:pPr>
        <w:spacing w:line="360" w:lineRule="auto"/>
        <w:ind w:firstLine="630" w:firstLineChars="300"/>
        <w:rPr>
          <w:color w:val="000000" w:themeColor="text1"/>
          <w:szCs w:val="21"/>
          <w14:textFill>
            <w14:solidFill>
              <w14:schemeClr w14:val="tx1"/>
            </w14:solidFill>
          </w14:textFill>
        </w:rPr>
      </w:pPr>
      <w:r>
        <w:rPr>
          <w:color w:val="000000" w:themeColor="text1"/>
          <w:szCs w:val="21"/>
          <w14:textFill>
            <w14:solidFill>
              <w14:schemeClr w14:val="tx1"/>
            </w14:solidFill>
          </w14:textFill>
        </w:rPr>
        <w:t>正面词采用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宜</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反面词采用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不宜</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w:t>
      </w:r>
    </w:p>
    <w:p>
      <w:pPr>
        <w:spacing w:line="360" w:lineRule="auto"/>
        <w:ind w:firstLine="630" w:firstLineChars="3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表示有选择，在一定条件下可以这样做的：</w:t>
      </w:r>
    </w:p>
    <w:p>
      <w:pPr>
        <w:spacing w:line="360" w:lineRule="auto"/>
        <w:ind w:firstLine="630" w:firstLineChars="300"/>
        <w:rPr>
          <w:color w:val="000000" w:themeColor="text1"/>
          <w:szCs w:val="21"/>
          <w14:textFill>
            <w14:solidFill>
              <w14:schemeClr w14:val="tx1"/>
            </w14:solidFill>
          </w14:textFill>
        </w:rPr>
      </w:pPr>
      <w:r>
        <w:rPr>
          <w:color w:val="000000" w:themeColor="text1"/>
          <w:szCs w:val="21"/>
          <w14:textFill>
            <w14:solidFill>
              <w14:schemeClr w14:val="tx1"/>
            </w14:solidFill>
          </w14:textFill>
        </w:rPr>
        <w:t>正面词采用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可</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；反面词采用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不可</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w:t>
      </w:r>
    </w:p>
    <w:p>
      <w:pPr>
        <w:spacing w:line="360" w:lineRule="auto"/>
        <w:ind w:firstLine="422" w:firstLineChars="200"/>
        <w:rPr>
          <w:color w:val="000000" w:themeColor="text1"/>
          <w:szCs w:val="21"/>
          <w14:textFill>
            <w14:solidFill>
              <w14:schemeClr w14:val="tx1"/>
            </w14:solidFill>
          </w14:textFill>
        </w:rPr>
      </w:pPr>
      <w:r>
        <w:rPr>
          <w:rFonts w:eastAsia="黑体"/>
          <w:b/>
          <w:color w:val="000000" w:themeColor="text1"/>
          <w:szCs w:val="21"/>
          <w14:textFill>
            <w14:solidFill>
              <w14:schemeClr w14:val="tx1"/>
            </w14:solidFill>
          </w14:textFill>
        </w:rPr>
        <w:t xml:space="preserve">2 </w:t>
      </w:r>
      <w:r>
        <w:rPr>
          <w:rFonts w:hint="eastAsia" w:eastAsia="黑体"/>
          <w:b/>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条文中指</w:t>
      </w:r>
      <w:r>
        <w:rPr>
          <w:rFonts w:hint="eastAsia"/>
          <w:color w:val="000000" w:themeColor="text1"/>
          <w:szCs w:val="21"/>
          <w14:textFill>
            <w14:solidFill>
              <w14:schemeClr w14:val="tx1"/>
            </w14:solidFill>
          </w14:textFill>
        </w:rPr>
        <w:t>明</w:t>
      </w:r>
      <w:r>
        <w:rPr>
          <w:color w:val="000000" w:themeColor="text1"/>
          <w:szCs w:val="21"/>
          <w14:textFill>
            <w14:solidFill>
              <w14:schemeClr w14:val="tx1"/>
            </w14:solidFill>
          </w14:textFill>
        </w:rPr>
        <w:t>应按其他有关标准执行</w:t>
      </w:r>
      <w:r>
        <w:rPr>
          <w:rFonts w:hint="eastAsia"/>
          <w:color w:val="000000" w:themeColor="text1"/>
          <w:szCs w:val="21"/>
          <w14:textFill>
            <w14:solidFill>
              <w14:schemeClr w14:val="tx1"/>
            </w14:solidFill>
          </w14:textFill>
        </w:rPr>
        <w:t>的</w:t>
      </w:r>
      <w:r>
        <w:rPr>
          <w:color w:val="000000" w:themeColor="text1"/>
          <w:szCs w:val="21"/>
          <w14:textFill>
            <w14:solidFill>
              <w14:schemeClr w14:val="tx1"/>
            </w14:solidFill>
          </w14:textFill>
        </w:rPr>
        <w:t>写法为</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应符合</w:t>
      </w:r>
      <w:r>
        <w:rPr>
          <w:rFonts w:hint="eastAsia"/>
          <w:color w:val="000000" w:themeColor="text1"/>
          <w:szCs w:val="21"/>
          <w14:textFill>
            <w14:solidFill>
              <w14:schemeClr w14:val="tx1"/>
            </w14:solidFill>
          </w14:textFill>
        </w:rPr>
        <w:t>……的</w:t>
      </w:r>
      <w:r>
        <w:rPr>
          <w:color w:val="000000" w:themeColor="text1"/>
          <w:szCs w:val="21"/>
          <w14:textFill>
            <w14:solidFill>
              <w14:schemeClr w14:val="tx1"/>
            </w14:solidFill>
          </w14:textFill>
        </w:rPr>
        <w:t>规定</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或</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应按</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执行</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bookmarkStart w:id="154" w:name="_Toc154934742"/>
      <w:bookmarkStart w:id="155" w:name="_Toc154757396"/>
      <w:bookmarkStart w:id="156" w:name="_Toc165274036"/>
      <w:r>
        <w:rPr>
          <w:rFonts w:hint="eastAsia"/>
          <w:color w:val="000000" w:themeColor="text1"/>
          <w14:textFill>
            <w14:solidFill>
              <w14:schemeClr w14:val="tx1"/>
            </w14:solidFill>
          </w14:textFill>
        </w:rPr>
        <w:t>引用标准名录</w:t>
      </w:r>
      <w:bookmarkEnd w:id="154"/>
      <w:bookmarkEnd w:id="155"/>
      <w:bookmarkEnd w:id="156"/>
    </w:p>
    <w:p>
      <w:pPr>
        <w:spacing w:line="312" w:lineRule="auto"/>
        <w:ind w:firstLine="422" w:firstLineChars="200"/>
        <w:rPr>
          <w:color w:val="000000" w:themeColor="text1"/>
          <w14:textFill>
            <w14:solidFill>
              <w14:schemeClr w14:val="tx1"/>
            </w14:solidFill>
          </w14:textFill>
        </w:rPr>
      </w:pPr>
      <w:r>
        <w:rPr>
          <w:rFonts w:hint="eastAsia" w:eastAsia="黑体"/>
          <w:b/>
          <w:color w:val="000000" w:themeColor="text1"/>
          <w14:textFill>
            <w14:solidFill>
              <w14:schemeClr w14:val="tx1"/>
            </w14:solidFill>
          </w14:textFill>
        </w:rPr>
        <w:t xml:space="preserve">1 </w:t>
      </w:r>
      <w:r>
        <w:rPr>
          <w:rFonts w:hint="eastAsia"/>
          <w:color w:val="000000" w:themeColor="text1"/>
          <w14:textFill>
            <w14:solidFill>
              <w14:schemeClr w14:val="tx1"/>
            </w14:solidFill>
          </w14:textFill>
        </w:rPr>
        <w:t>《建筑桩基技术规范》（JGJ</w:t>
      </w:r>
      <w:r>
        <w:rPr>
          <w:color w:val="000000" w:themeColor="text1"/>
          <w14:textFill>
            <w14:solidFill>
              <w14:schemeClr w14:val="tx1"/>
            </w14:solidFill>
          </w14:textFill>
        </w:rPr>
        <w:t xml:space="preserve"> 94</w:t>
      </w:r>
      <w:r>
        <w:rPr>
          <w:rFonts w:hint="eastAsia"/>
          <w:color w:val="000000" w:themeColor="text1"/>
          <w14:textFill>
            <w14:solidFill>
              <w14:schemeClr w14:val="tx1"/>
            </w14:solidFill>
          </w14:textFill>
        </w:rPr>
        <w:t>）</w:t>
      </w:r>
    </w:p>
    <w:p>
      <w:pPr>
        <w:spacing w:line="312"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 《建筑基桩检测技术规范》（JGJ 106）</w:t>
      </w:r>
    </w:p>
    <w:p>
      <w:pPr>
        <w:spacing w:line="312"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 《建筑基桩自平衡静载试验技术规程》（JGJ/T 403）</w:t>
      </w: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line="312" w:lineRule="auto"/>
        <w:ind w:firstLine="420" w:firstLineChars="200"/>
        <w:rPr>
          <w:color w:val="000000" w:themeColor="text1"/>
          <w:szCs w:val="21"/>
          <w14:textFill>
            <w14:solidFill>
              <w14:schemeClr w14:val="tx1"/>
            </w14:solidFill>
          </w14:textFill>
        </w:rPr>
      </w:pPr>
    </w:p>
    <w:p>
      <w:pPr>
        <w:spacing w:before="156" w:after="120"/>
        <w:jc w:val="center"/>
        <w:rPr>
          <w:rFonts w:eastAsia="黑体"/>
          <w:b/>
          <w:color w:val="000000" w:themeColor="text1"/>
          <w:sz w:val="44"/>
          <w14:textFill>
            <w14:solidFill>
              <w14:schemeClr w14:val="tx1"/>
            </w14:solidFill>
          </w14:textFill>
        </w:rPr>
      </w:pPr>
      <w:r>
        <w:rPr>
          <w:rFonts w:hint="eastAsia" w:eastAsia="黑体"/>
          <w:b/>
          <w:color w:val="000000" w:themeColor="text1"/>
          <w:sz w:val="44"/>
          <w14:textFill>
            <w14:solidFill>
              <w14:schemeClr w14:val="tx1"/>
            </w14:solidFill>
          </w14:textFill>
        </w:rPr>
        <w:t>中华人民</w:t>
      </w:r>
      <w:r>
        <w:rPr>
          <w:rFonts w:eastAsia="黑体"/>
          <w:b/>
          <w:color w:val="000000" w:themeColor="text1"/>
          <w:sz w:val="44"/>
          <w14:textFill>
            <w14:solidFill>
              <w14:schemeClr w14:val="tx1"/>
            </w14:solidFill>
          </w14:textFill>
        </w:rPr>
        <w:t>共和国</w:t>
      </w:r>
      <w:r>
        <w:rPr>
          <w:rFonts w:hint="eastAsia" w:eastAsia="黑体"/>
          <w:b/>
          <w:color w:val="000000" w:themeColor="text1"/>
          <w:sz w:val="44"/>
          <w14:textFill>
            <w14:solidFill>
              <w14:schemeClr w14:val="tx1"/>
            </w14:solidFill>
          </w14:textFill>
        </w:rPr>
        <w:t>化工行业</w:t>
      </w:r>
      <w:r>
        <w:rPr>
          <w:rFonts w:eastAsia="黑体"/>
          <w:b/>
          <w:color w:val="000000" w:themeColor="text1"/>
          <w:sz w:val="44"/>
          <w14:textFill>
            <w14:solidFill>
              <w14:schemeClr w14:val="tx1"/>
            </w14:solidFill>
          </w14:textFill>
        </w:rPr>
        <w:t>标准</w:t>
      </w:r>
    </w:p>
    <w:p>
      <w:pPr>
        <w:spacing w:before="468" w:beforeLines="150"/>
        <w:jc w:val="center"/>
        <w:rPr>
          <w:rFonts w:eastAsia="黑体"/>
          <w:color w:val="000000" w:themeColor="text1"/>
          <w:sz w:val="44"/>
          <w14:textFill>
            <w14:solidFill>
              <w14:schemeClr w14:val="tx1"/>
            </w14:solidFill>
          </w14:textFill>
        </w:rPr>
      </w:pPr>
      <w:r>
        <w:rPr>
          <w:rFonts w:hint="eastAsia" w:eastAsia="黑体"/>
          <w:b/>
          <w:color w:val="000000" w:themeColor="text1"/>
          <w:sz w:val="44"/>
          <w14:textFill>
            <w14:solidFill>
              <w14:schemeClr w14:val="tx1"/>
            </w14:solidFill>
          </w14:textFill>
        </w:rPr>
        <w:t>工程基桩自锚测试技术规范</w:t>
      </w:r>
    </w:p>
    <w:p>
      <w:pPr>
        <w:spacing w:before="156" w:after="120"/>
        <w:rPr>
          <w:rFonts w:eastAsia="黑体"/>
          <w:color w:val="000000" w:themeColor="text1"/>
          <w:sz w:val="32"/>
          <w14:textFill>
            <w14:solidFill>
              <w14:schemeClr w14:val="tx1"/>
            </w14:solidFill>
          </w14:textFill>
        </w:rPr>
      </w:pPr>
    </w:p>
    <w:p>
      <w:pPr>
        <w:spacing w:before="156" w:after="120" w:line="600" w:lineRule="auto"/>
        <w:jc w:val="center"/>
        <w:rPr>
          <w:rFonts w:eastAsia="黑体"/>
          <w:b/>
          <w:color w:val="000000" w:themeColor="text1"/>
          <w:sz w:val="28"/>
          <w14:textFill>
            <w14:solidFill>
              <w14:schemeClr w14:val="tx1"/>
            </w14:solidFill>
          </w14:textFill>
        </w:rPr>
      </w:pPr>
      <w:r>
        <w:rPr>
          <w:rFonts w:hint="eastAsia" w:eastAsia="黑体"/>
          <w:b/>
          <w:color w:val="000000" w:themeColor="text1"/>
          <w:sz w:val="28"/>
          <w14:textFill>
            <w14:solidFill>
              <w14:schemeClr w14:val="tx1"/>
            </w14:solidFill>
          </w14:textFill>
        </w:rPr>
        <w:t>H</w:t>
      </w:r>
      <w:r>
        <w:rPr>
          <w:rFonts w:eastAsia="黑体"/>
          <w:b/>
          <w:color w:val="000000" w:themeColor="text1"/>
          <w:sz w:val="28"/>
          <w14:textFill>
            <w14:solidFill>
              <w14:schemeClr w14:val="tx1"/>
            </w14:solidFill>
          </w14:textFill>
        </w:rPr>
        <w:t>/</w:t>
      </w:r>
      <w:r>
        <w:rPr>
          <w:rFonts w:hint="eastAsia" w:eastAsia="黑体"/>
          <w:b/>
          <w:color w:val="000000" w:themeColor="text1"/>
          <w:sz w:val="28"/>
          <w14:textFill>
            <w14:solidFill>
              <w14:schemeClr w14:val="tx1"/>
            </w14:solidFill>
          </w14:textFill>
        </w:rPr>
        <w:t>G</w:t>
      </w:r>
      <w:r>
        <w:rPr>
          <w:rFonts w:eastAsia="黑体"/>
          <w:b/>
          <w:color w:val="000000" w:themeColor="text1"/>
          <w:sz w:val="28"/>
          <w14:textFill>
            <w14:solidFill>
              <w14:schemeClr w14:val="tx1"/>
            </w14:solidFill>
          </w14:textFill>
        </w:rPr>
        <w:t xml:space="preserve"> **-**-****</w:t>
      </w:r>
    </w:p>
    <w:p>
      <w:pPr>
        <w:jc w:val="center"/>
        <w:rPr>
          <w:rFonts w:ascii="黑体" w:hAnsi="黑体" w:eastAsia="黑体"/>
          <w:b/>
          <w:color w:val="000000" w:themeColor="text1"/>
          <w:sz w:val="44"/>
          <w:szCs w:val="44"/>
          <w14:textFill>
            <w14:solidFill>
              <w14:schemeClr w14:val="tx1"/>
            </w14:solidFill>
          </w14:textFill>
        </w:rPr>
      </w:pPr>
      <w:bookmarkStart w:id="157" w:name="_Toc217350415"/>
      <w:bookmarkStart w:id="158" w:name="_Toc232936527"/>
      <w:bookmarkStart w:id="159" w:name="_Toc456006165"/>
      <w:bookmarkStart w:id="160" w:name="_Toc215720769"/>
      <w:bookmarkStart w:id="161" w:name="_Toc229239528"/>
      <w:bookmarkStart w:id="162" w:name="_Toc233190551"/>
      <w:bookmarkStart w:id="163" w:name="_Toc438477698"/>
      <w:r>
        <w:rPr>
          <w:rFonts w:hint="eastAsia" w:ascii="黑体" w:hAnsi="黑体" w:eastAsia="黑体"/>
          <w:b/>
          <w:color w:val="000000" w:themeColor="text1"/>
          <w:sz w:val="44"/>
          <w:szCs w:val="44"/>
          <w14:textFill>
            <w14:solidFill>
              <w14:schemeClr w14:val="tx1"/>
            </w14:solidFill>
          </w14:textFill>
        </w:rPr>
        <w:t>条 文 说 明</w:t>
      </w:r>
      <w:bookmarkEnd w:id="157"/>
      <w:bookmarkEnd w:id="158"/>
      <w:bookmarkEnd w:id="159"/>
      <w:bookmarkEnd w:id="160"/>
      <w:bookmarkEnd w:id="161"/>
      <w:bookmarkEnd w:id="162"/>
      <w:bookmarkEnd w:id="163"/>
      <w:bookmarkStart w:id="164" w:name="_Toc456014927"/>
      <w:bookmarkStart w:id="165" w:name="_Toc454642081"/>
      <w:bookmarkStart w:id="166" w:name="_Toc456006166"/>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pStyle w:val="6"/>
        <w:spacing w:after="0" w:afterLines="0"/>
        <w:rPr>
          <w:color w:val="000000" w:themeColor="text1"/>
          <w14:textFill>
            <w14:solidFill>
              <w14:schemeClr w14:val="tx1"/>
            </w14:solidFill>
          </w14:textFill>
        </w:rPr>
      </w:pPr>
    </w:p>
    <w:p>
      <w:pPr>
        <w:spacing w:line="360" w:lineRule="auto"/>
        <w:jc w:val="center"/>
        <w:rPr>
          <w:rFonts w:ascii="黑体" w:hAnsi="黑体" w:eastAsia="黑体"/>
          <w:b/>
          <w:color w:val="000000" w:themeColor="text1"/>
          <w:sz w:val="44"/>
          <w:szCs w:val="44"/>
          <w14:textFill>
            <w14:solidFill>
              <w14:schemeClr w14:val="tx1"/>
            </w14:solidFill>
          </w14:textFill>
        </w:rPr>
      </w:pPr>
    </w:p>
    <w:p>
      <w:pPr>
        <w:spacing w:line="360" w:lineRule="auto"/>
        <w:jc w:val="center"/>
        <w:rPr>
          <w:rFonts w:ascii="黑体" w:hAnsi="黑体" w:eastAsia="黑体"/>
          <w:b/>
          <w:color w:val="000000" w:themeColor="text1"/>
          <w:sz w:val="44"/>
          <w:szCs w:val="44"/>
          <w14:textFill>
            <w14:solidFill>
              <w14:schemeClr w14:val="tx1"/>
            </w14:solidFill>
          </w14:textFill>
        </w:rPr>
      </w:pPr>
    </w:p>
    <w:p>
      <w:pPr>
        <w:spacing w:line="360" w:lineRule="auto"/>
        <w:jc w:val="center"/>
        <w:rPr>
          <w:rFonts w:eastAsia="黑体"/>
          <w:b/>
          <w:color w:val="000000" w:themeColor="text1"/>
          <w:sz w:val="44"/>
          <w:szCs w:val="44"/>
          <w14:textFill>
            <w14:solidFill>
              <w14:schemeClr w14:val="tx1"/>
            </w14:solidFill>
          </w14:textFill>
        </w:rPr>
      </w:pPr>
      <w:r>
        <w:rPr>
          <w:rFonts w:hint="eastAsia" w:ascii="黑体" w:hAnsi="黑体" w:eastAsia="黑体"/>
          <w:b/>
          <w:color w:val="000000" w:themeColor="text1"/>
          <w:sz w:val="44"/>
          <w:szCs w:val="44"/>
          <w14:textFill>
            <w14:solidFill>
              <w14:schemeClr w14:val="tx1"/>
            </w14:solidFill>
          </w14:textFill>
        </w:rPr>
        <w:t>制 定 说 明</w:t>
      </w:r>
    </w:p>
    <w:bookmarkEnd w:id="164"/>
    <w:bookmarkEnd w:id="165"/>
    <w:bookmarkEnd w:id="166"/>
    <w:p>
      <w:pPr>
        <w:pStyle w:val="6"/>
        <w:spacing w:after="0" w:afterLines="0"/>
        <w:rPr>
          <w:color w:val="000000" w:themeColor="text1"/>
          <w14:textFill>
            <w14:solidFill>
              <w14:schemeClr w14:val="tx1"/>
            </w14:solidFill>
          </w14:textFill>
        </w:rPr>
      </w:pPr>
      <w:r>
        <w:rPr>
          <w:rFonts w:hint="eastAsia"/>
          <w:color w:val="000000" w:themeColor="text1"/>
          <w14:textFill>
            <w14:solidFill>
              <w14:schemeClr w14:val="tx1"/>
            </w14:solidFill>
          </w14:textFill>
        </w:rPr>
        <w:t>《工程基桩自锚测试技术规范》(HG/T)，经工业和信息化部***年***月***日以第**号公告批准发布。</w:t>
      </w:r>
    </w:p>
    <w:p>
      <w:pPr>
        <w:pStyle w:val="6"/>
        <w:spacing w:after="0" w:afterLines="0"/>
        <w:rPr>
          <w:color w:val="000000" w:themeColor="text1"/>
          <w14:textFill>
            <w14:solidFill>
              <w14:schemeClr w14:val="tx1"/>
            </w14:solidFill>
          </w14:textFill>
        </w:rPr>
      </w:pPr>
      <w:r>
        <w:rPr>
          <w:rFonts w:hint="eastAsia"/>
          <w:color w:val="000000" w:themeColor="text1"/>
          <w14:textFill>
            <w14:solidFill>
              <w14:schemeClr w14:val="tx1"/>
            </w14:solidFill>
          </w14:textFill>
        </w:rPr>
        <w:t>本标准制定过程中，编制组进行了国内单桩承载力检测方法的调查研究，总结了我国工程建设工程基桩领域的实践经验，主要按照</w:t>
      </w:r>
      <w:r>
        <w:rPr>
          <w:rFonts w:hint="eastAsia"/>
          <w:color w:val="000000" w:themeColor="text1"/>
          <w:szCs w:val="21"/>
          <w14:textFill>
            <w14:solidFill>
              <w14:schemeClr w14:val="tx1"/>
            </w14:solidFill>
          </w14:textFill>
        </w:rPr>
        <w:t>发明专利“单桩抗压承载力检测装置及自锚测试方法”（ZL 2017 1 1437337.9），</w:t>
      </w:r>
      <w:r>
        <w:rPr>
          <w:rFonts w:hint="eastAsia"/>
          <w:color w:val="000000" w:themeColor="text1"/>
          <w14:textFill>
            <w14:solidFill>
              <w14:schemeClr w14:val="tx1"/>
            </w14:solidFill>
          </w14:textFill>
        </w:rPr>
        <w:t>同时参考了国外先进技术法规、技术标准，通过试验、工程验证及征求意见取得了本标准技术内容的重要技术参数。</w:t>
      </w:r>
    </w:p>
    <w:p>
      <w:pPr>
        <w:pStyle w:val="6"/>
        <w:spacing w:after="0" w:afterLines="0"/>
        <w:rPr>
          <w:color w:val="000000" w:themeColor="text1"/>
          <w14:textFill>
            <w14:solidFill>
              <w14:schemeClr w14:val="tx1"/>
            </w14:solidFill>
          </w14:textFill>
        </w:rPr>
      </w:pPr>
      <w:r>
        <w:rPr>
          <w:rFonts w:hint="eastAsia"/>
          <w:color w:val="000000" w:themeColor="text1"/>
          <w14:textFill>
            <w14:solidFill>
              <w14:schemeClr w14:val="tx1"/>
            </w14:solidFill>
          </w14:textFill>
        </w:rPr>
        <w:t>为便于广大设计、施工、科研、学校等单位有关人员在使用本标准时能正确理解和执行条文规定，《工程基桩自锚测试技术规范》编制组按章、节、条顺序编制了本标准的条文说明，对条文规定的目的、依据以及执行中需注意的有关事项进行了说明。但是，本条文说明不具备与标准正文同等的法律效力，仅供使用者作为理解和把握标准规定的参考。</w:t>
      </w:r>
    </w:p>
    <w:p>
      <w:pPr>
        <w:spacing w:line="360" w:lineRule="auto"/>
        <w:jc w:val="center"/>
        <w:rPr>
          <w:rFonts w:ascii="楷体_GB2312" w:eastAsia="楷体_GB2312"/>
          <w:color w:val="000000" w:themeColor="text1"/>
          <w14:textFill>
            <w14:solidFill>
              <w14:schemeClr w14:val="tx1"/>
            </w14:solidFill>
          </w14:textFill>
        </w:rPr>
      </w:pPr>
      <w:r>
        <w:rPr>
          <w:rFonts w:ascii="楷体_GB2312" w:eastAsia="楷体_GB2312"/>
          <w:color w:val="000000" w:themeColor="text1"/>
          <w14:textFill>
            <w14:solidFill>
              <w14:schemeClr w14:val="tx1"/>
            </w14:solidFill>
          </w14:textFill>
        </w:rPr>
        <w:br w:type="page"/>
      </w:r>
    </w:p>
    <w:p>
      <w:pPr>
        <w:spacing w:line="360" w:lineRule="auto"/>
        <w:jc w:val="center"/>
        <w:rPr>
          <w:rFonts w:ascii="楷体_GB2312" w:eastAsia="楷体_GB2312"/>
          <w:color w:val="000000" w:themeColor="text1"/>
          <w14:textFill>
            <w14:solidFill>
              <w14:schemeClr w14:val="tx1"/>
            </w14:solidFill>
          </w14:textFill>
        </w:rPr>
        <w:sectPr>
          <w:pgSz w:w="11906" w:h="16838"/>
          <w:pgMar w:top="1440" w:right="1800" w:bottom="1440" w:left="1800" w:header="851" w:footer="992" w:gutter="0"/>
          <w:pgNumType w:start="1"/>
          <w:cols w:space="425" w:num="1"/>
          <w:docGrid w:type="lines" w:linePitch="312" w:charSpace="0"/>
        </w:sectPr>
      </w:pPr>
    </w:p>
    <w:p>
      <w:pPr>
        <w:spacing w:line="360" w:lineRule="auto"/>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目</w:t>
      </w:r>
      <w:r>
        <w:rPr>
          <w:rFonts w:hint="eastAsia" w:ascii="Times New Roman" w:hAnsi="Times New Roman" w:cs="Times New Roman"/>
          <w:color w:val="000000" w:themeColor="text1"/>
          <w:sz w:val="24"/>
          <w:szCs w:val="24"/>
          <w14:textFill>
            <w14:solidFill>
              <w14:schemeClr w14:val="tx1"/>
            </w14:solidFill>
          </w14:textFill>
        </w:rPr>
        <w:t xml:space="preserve">  </w:t>
      </w:r>
      <w:r>
        <w:rPr>
          <w:rFonts w:ascii="Times New Roman" w:hAnsi="Times New Roman" w:cs="Times New Roman"/>
          <w:color w:val="000000" w:themeColor="text1"/>
          <w:sz w:val="24"/>
          <w:szCs w:val="24"/>
          <w14:textFill>
            <w14:solidFill>
              <w14:schemeClr w14:val="tx1"/>
            </w14:solidFill>
          </w14:textFill>
        </w:rPr>
        <w:t>次</w:t>
      </w:r>
    </w:p>
    <w:p>
      <w:pPr>
        <w:pStyle w:val="15"/>
        <w:tabs>
          <w:tab w:val="right" w:leader="dot" w:pos="8296"/>
        </w:tabs>
        <w:rPr>
          <w:rFonts w:cstheme="minorBidi"/>
          <w:b w:val="0"/>
          <w:bCs w:val="0"/>
          <w:caps w:val="0"/>
          <w:sz w:val="21"/>
          <w:szCs w:val="22"/>
          <w14:ligatures w14:val="standardContextual"/>
        </w:rPr>
      </w:pPr>
      <w:r>
        <w:rPr>
          <w:rFonts w:ascii="楷体_GB2312" w:eastAsia="楷体_GB2312"/>
          <w:color w:val="000000" w:themeColor="text1"/>
          <w14:textFill>
            <w14:solidFill>
              <w14:schemeClr w14:val="tx1"/>
            </w14:solidFill>
          </w14:textFill>
        </w:rPr>
        <w:fldChar w:fldCharType="begin"/>
      </w:r>
      <w:r>
        <w:rPr>
          <w:rFonts w:ascii="楷体_GB2312" w:eastAsia="楷体_GB2312"/>
          <w:color w:val="000000" w:themeColor="text1"/>
          <w14:textFill>
            <w14:solidFill>
              <w14:schemeClr w14:val="tx1"/>
            </w14:solidFill>
          </w14:textFill>
        </w:rPr>
        <w:instrText xml:space="preserve"> TOC \o "1-2" \h \z \u </w:instrText>
      </w:r>
      <w:r>
        <w:rPr>
          <w:rFonts w:ascii="楷体_GB2312" w:eastAsia="楷体_GB2312"/>
          <w:color w:val="000000" w:themeColor="text1"/>
          <w14:textFill>
            <w14:solidFill>
              <w14:schemeClr w14:val="tx1"/>
            </w14:solidFill>
          </w14:textFill>
        </w:rPr>
        <w:fldChar w:fldCharType="separate"/>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"_Toc154934743" </w:instrText>
      </w:r>
      <w:r>
        <w:fldChar w:fldCharType="separate"/>
      </w:r>
      <w:r>
        <w:rPr>
          <w:rStyle w:val="25"/>
        </w:rPr>
        <w:t>1  总则</w:t>
      </w:r>
      <w:r>
        <w:tab/>
      </w:r>
      <w:r>
        <w:fldChar w:fldCharType="begin"/>
      </w:r>
      <w:r>
        <w:instrText xml:space="preserve"> PAGEREF _Toc154934743 \h </w:instrText>
      </w:r>
      <w:r>
        <w:fldChar w:fldCharType="separate"/>
      </w:r>
      <w:r>
        <w:t>2</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"_Toc154934744" </w:instrText>
      </w:r>
      <w:r>
        <w:fldChar w:fldCharType="separate"/>
      </w:r>
      <w:r>
        <w:rPr>
          <w:rStyle w:val="25"/>
        </w:rPr>
        <w:t>3   基本规定</w:t>
      </w:r>
      <w:r>
        <w:tab/>
      </w:r>
      <w:r>
        <w:fldChar w:fldCharType="begin"/>
      </w:r>
      <w:r>
        <w:instrText xml:space="preserve"> PAGEREF _Toc154934744 \h </w:instrText>
      </w:r>
      <w:r>
        <w:fldChar w:fldCharType="separate"/>
      </w:r>
      <w:r>
        <w:t>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"_Toc154934745" </w:instrText>
      </w:r>
      <w:r>
        <w:fldChar w:fldCharType="separate"/>
      </w:r>
      <w:r>
        <w:rPr>
          <w:rStyle w:val="25"/>
        </w:rPr>
        <w:t>3.1 一般规定</w:t>
      </w:r>
      <w:r>
        <w:tab/>
      </w:r>
      <w:r>
        <w:fldChar w:fldCharType="begin"/>
      </w:r>
      <w:r>
        <w:instrText xml:space="preserve"> PAGEREF _Toc154934745 \h </w:instrText>
      </w:r>
      <w:r>
        <w:fldChar w:fldCharType="separate"/>
      </w:r>
      <w:r>
        <w:t>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"_Toc154934746" </w:instrText>
      </w:r>
      <w:r>
        <w:fldChar w:fldCharType="separate"/>
      </w:r>
      <w:r>
        <w:rPr>
          <w:rStyle w:val="25"/>
        </w:rPr>
        <w:t>3.4 试桩位置</w:t>
      </w:r>
      <w:r>
        <w:tab/>
      </w:r>
      <w:r>
        <w:fldChar w:fldCharType="begin"/>
      </w:r>
      <w:r>
        <w:instrText xml:space="preserve"> PAGEREF _Toc154934746 \h </w:instrText>
      </w:r>
      <w:r>
        <w:fldChar w:fldCharType="separate"/>
      </w:r>
      <w:r>
        <w:t>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"_Toc154934747" </w:instrText>
      </w:r>
      <w:r>
        <w:fldChar w:fldCharType="separate"/>
      </w:r>
      <w:r>
        <w:rPr>
          <w:rStyle w:val="25"/>
        </w:rPr>
        <w:t>3.5 试桩加载值</w:t>
      </w:r>
      <w:r>
        <w:tab/>
      </w:r>
      <w:r>
        <w:fldChar w:fldCharType="begin"/>
      </w:r>
      <w:r>
        <w:instrText xml:space="preserve"> PAGEREF _Toc154934747 \h </w:instrText>
      </w:r>
      <w:r>
        <w:fldChar w:fldCharType="separate"/>
      </w:r>
      <w:r>
        <w:t>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"_Toc154934748" </w:instrText>
      </w:r>
      <w:r>
        <w:fldChar w:fldCharType="separate"/>
      </w:r>
      <w:r>
        <w:rPr>
          <w:rStyle w:val="25"/>
        </w:rPr>
        <w:t>3.6 平衡点及通道灌浆</w:t>
      </w:r>
      <w:r>
        <w:tab/>
      </w:r>
      <w:r>
        <w:fldChar w:fldCharType="begin"/>
      </w:r>
      <w:r>
        <w:instrText xml:space="preserve"> PAGEREF _Toc154934748 \h </w:instrText>
      </w:r>
      <w:r>
        <w:fldChar w:fldCharType="separate"/>
      </w:r>
      <w:r>
        <w:t>3</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"_Toc154934749" </w:instrText>
      </w:r>
      <w:r>
        <w:fldChar w:fldCharType="separate"/>
      </w:r>
      <w:r>
        <w:rPr>
          <w:rStyle w:val="25"/>
        </w:rPr>
        <w:t>3.7 检测机构、人员及检测程序和要求</w:t>
      </w:r>
      <w:r>
        <w:tab/>
      </w:r>
      <w:r>
        <w:fldChar w:fldCharType="begin"/>
      </w:r>
      <w:r>
        <w:instrText xml:space="preserve"> PAGEREF _Toc154934749 \h </w:instrText>
      </w:r>
      <w:r>
        <w:fldChar w:fldCharType="separate"/>
      </w:r>
      <w:r>
        <w:t>4</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"_Toc154934750" </w:instrText>
      </w:r>
      <w:r>
        <w:fldChar w:fldCharType="separate"/>
      </w:r>
      <w:r>
        <w:rPr>
          <w:rStyle w:val="25"/>
        </w:rPr>
        <w:t>3.8 试桩结果评价和试桩报告</w:t>
      </w:r>
      <w:r>
        <w:tab/>
      </w:r>
      <w:r>
        <w:fldChar w:fldCharType="begin"/>
      </w:r>
      <w:r>
        <w:instrText xml:space="preserve"> PAGEREF _Toc154934750 \h </w:instrText>
      </w:r>
      <w:r>
        <w:fldChar w:fldCharType="separate"/>
      </w:r>
      <w:r>
        <w:t>4</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"_Toc154934751" </w:instrText>
      </w:r>
      <w:r>
        <w:fldChar w:fldCharType="separate"/>
      </w:r>
      <w:r>
        <w:rPr>
          <w:rStyle w:val="25"/>
        </w:rPr>
        <w:t>4  设备仪器及安装</w:t>
      </w:r>
      <w:r>
        <w:tab/>
      </w:r>
      <w:r>
        <w:fldChar w:fldCharType="begin"/>
      </w:r>
      <w:r>
        <w:instrText xml:space="preserve"> PAGEREF _Toc154934751 \h </w:instrText>
      </w:r>
      <w:r>
        <w:fldChar w:fldCharType="separate"/>
      </w:r>
      <w:r>
        <w:t>5</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"_Toc154934752" </w:instrText>
      </w:r>
      <w:r>
        <w:fldChar w:fldCharType="separate"/>
      </w:r>
      <w:r>
        <w:rPr>
          <w:rStyle w:val="25"/>
        </w:rPr>
        <w:t>4.2  设备安装</w:t>
      </w:r>
      <w:r>
        <w:tab/>
      </w:r>
      <w:r>
        <w:fldChar w:fldCharType="begin"/>
      </w:r>
      <w:r>
        <w:instrText xml:space="preserve"> PAGEREF _Toc154934752 \h </w:instrText>
      </w:r>
      <w:r>
        <w:fldChar w:fldCharType="separate"/>
      </w:r>
      <w:r>
        <w:t>5</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"_Toc154934753" </w:instrText>
      </w:r>
      <w:r>
        <w:fldChar w:fldCharType="separate"/>
      </w:r>
      <w:r>
        <w:rPr>
          <w:rStyle w:val="25"/>
        </w:rPr>
        <w:t>5  现场检测</w:t>
      </w:r>
      <w:r>
        <w:tab/>
      </w:r>
      <w:r>
        <w:fldChar w:fldCharType="begin"/>
      </w:r>
      <w:r>
        <w:instrText xml:space="preserve"> PAGEREF _Toc154934753 \h </w:instrText>
      </w:r>
      <w:r>
        <w:fldChar w:fldCharType="separate"/>
      </w:r>
      <w:r>
        <w:t>5</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"_Toc154934754" </w:instrText>
      </w:r>
      <w:r>
        <w:fldChar w:fldCharType="separate"/>
      </w:r>
      <w:r>
        <w:rPr>
          <w:rStyle w:val="25"/>
        </w:rPr>
        <w:t>5.3终止加载条件</w:t>
      </w:r>
      <w:r>
        <w:tab/>
      </w:r>
      <w:r>
        <w:fldChar w:fldCharType="begin"/>
      </w:r>
      <w:r>
        <w:instrText xml:space="preserve"> PAGEREF _Toc154934754 \h </w:instrText>
      </w:r>
      <w:r>
        <w:fldChar w:fldCharType="separate"/>
      </w:r>
      <w:r>
        <w:t>5</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"_Toc154934755" </w:instrText>
      </w:r>
      <w:r>
        <w:fldChar w:fldCharType="separate"/>
      </w:r>
      <w:r>
        <w:rPr>
          <w:rStyle w:val="25"/>
        </w:rPr>
        <w:t>6  检测数据分析与承载力判定</w:t>
      </w:r>
      <w:r>
        <w:tab/>
      </w:r>
      <w:r>
        <w:fldChar w:fldCharType="begin"/>
      </w:r>
      <w:r>
        <w:instrText xml:space="preserve"> PAGEREF _Toc154934755 \h </w:instrText>
      </w:r>
      <w:r>
        <w:fldChar w:fldCharType="separate"/>
      </w:r>
      <w:r>
        <w:t>6</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"_Toc154934756" </w:instrText>
      </w:r>
      <w:r>
        <w:fldChar w:fldCharType="separate"/>
      </w:r>
      <w:r>
        <w:rPr>
          <w:rStyle w:val="25"/>
        </w:rPr>
        <w:t>6.1 绘制相关曲线</w:t>
      </w:r>
      <w:r>
        <w:tab/>
      </w:r>
      <w:r>
        <w:fldChar w:fldCharType="begin"/>
      </w:r>
      <w:r>
        <w:instrText xml:space="preserve"> PAGEREF _Toc154934756 \h </w:instrText>
      </w:r>
      <w:r>
        <w:fldChar w:fldCharType="separate"/>
      </w:r>
      <w:r>
        <w:t>6</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"_Toc154934757" </w:instrText>
      </w:r>
      <w:r>
        <w:fldChar w:fldCharType="separate"/>
      </w:r>
      <w:r>
        <w:rPr>
          <w:rStyle w:val="25"/>
        </w:rPr>
        <w:t>6.2  承载力确定</w:t>
      </w:r>
      <w:r>
        <w:tab/>
      </w:r>
      <w:r>
        <w:fldChar w:fldCharType="begin"/>
      </w:r>
      <w:r>
        <w:instrText xml:space="preserve"> PAGEREF _Toc154934757 \h </w:instrText>
      </w:r>
      <w:r>
        <w:fldChar w:fldCharType="separate"/>
      </w:r>
      <w:r>
        <w:t>6</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"_Toc154934758" </w:instrText>
      </w:r>
      <w:r>
        <w:fldChar w:fldCharType="separate"/>
      </w:r>
      <w:r>
        <w:rPr>
          <w:rStyle w:val="25"/>
        </w:rPr>
        <w:t>7  检测报告</w:t>
      </w:r>
      <w:r>
        <w:tab/>
      </w:r>
      <w:r>
        <w:fldChar w:fldCharType="begin"/>
      </w:r>
      <w:r>
        <w:instrText xml:space="preserve"> PAGEREF _Toc154934758 \h </w:instrText>
      </w:r>
      <w:r>
        <w:fldChar w:fldCharType="separate"/>
      </w:r>
      <w:r>
        <w:t>7</w:t>
      </w:r>
      <w:r>
        <w:fldChar w:fldCharType="end"/>
      </w:r>
      <w:r>
        <w:fldChar w:fldCharType="end"/>
      </w:r>
    </w:p>
    <w:p>
      <w:pPr>
        <w:pStyle w:val="15"/>
        <w:tabs>
          <w:tab w:val="right" w:leader="dot" w:pos="8296"/>
        </w:tabs>
        <w:rPr>
          <w:rFonts w:cstheme="minorBidi"/>
          <w:b w:val="0"/>
          <w:bCs w:val="0"/>
          <w:caps w:val="0"/>
          <w:sz w:val="21"/>
          <w:szCs w:val="22"/>
          <w14:ligatures w14:val="standardContextual"/>
        </w:rPr>
      </w:pPr>
      <w:r>
        <w:fldChar w:fldCharType="begin"/>
      </w:r>
      <w:r>
        <w:instrText xml:space="preserve"> HYPERLINK \l "_Toc154934759" </w:instrText>
      </w:r>
      <w:r>
        <w:fldChar w:fldCharType="separate"/>
      </w:r>
      <w:r>
        <w:rPr>
          <w:rStyle w:val="25"/>
        </w:rPr>
        <w:t>附录D  等效转换方法</w:t>
      </w:r>
      <w:r>
        <w:tab/>
      </w:r>
      <w:r>
        <w:fldChar w:fldCharType="begin"/>
      </w:r>
      <w:r>
        <w:instrText xml:space="preserve"> PAGEREF _Toc154934759 \h </w:instrText>
      </w:r>
      <w:r>
        <w:fldChar w:fldCharType="separate"/>
      </w:r>
      <w:r>
        <w:t>8</w:t>
      </w:r>
      <w:r>
        <w:fldChar w:fldCharType="end"/>
      </w:r>
      <w:r>
        <w:fldChar w:fldCharType="end"/>
      </w:r>
    </w:p>
    <w:p>
      <w:pPr>
        <w:pStyle w:val="18"/>
        <w:tabs>
          <w:tab w:val="right" w:leader="dot" w:pos="8296"/>
        </w:tabs>
        <w:rPr>
          <w:rFonts w:cstheme="minorBidi"/>
          <w:smallCaps w:val="0"/>
          <w:sz w:val="21"/>
          <w:szCs w:val="22"/>
          <w14:ligatures w14:val="standardContextual"/>
        </w:rPr>
      </w:pPr>
      <w:r>
        <w:fldChar w:fldCharType="begin"/>
      </w:r>
      <w:r>
        <w:instrText xml:space="preserve"> HYPERLINK \l "_Toc154934760" </w:instrText>
      </w:r>
      <w:r>
        <w:fldChar w:fldCharType="separate"/>
      </w:r>
      <w:r>
        <w:rPr>
          <w:rStyle w:val="25"/>
        </w:rPr>
        <w:t>D.1 简单转换法</w:t>
      </w:r>
      <w:r>
        <w:tab/>
      </w:r>
      <w:r>
        <w:fldChar w:fldCharType="begin"/>
      </w:r>
      <w:r>
        <w:instrText xml:space="preserve"> PAGEREF _Toc154934760 \h </w:instrText>
      </w:r>
      <w:r>
        <w:fldChar w:fldCharType="separate"/>
      </w:r>
      <w:r>
        <w:t>8</w:t>
      </w:r>
      <w:r>
        <w:fldChar w:fldCharType="end"/>
      </w:r>
      <w:r>
        <w:fldChar w:fldCharType="end"/>
      </w:r>
    </w:p>
    <w:p>
      <w:pPr>
        <w:spacing w:line="360" w:lineRule="auto"/>
        <w:jc w:val="center"/>
        <w:rPr>
          <w:rFonts w:ascii="楷体_GB2312" w:eastAsia="楷体_GB2312"/>
          <w:color w:val="000000" w:themeColor="text1"/>
          <w14:textFill>
            <w14:solidFill>
              <w14:schemeClr w14:val="tx1"/>
            </w14:solidFill>
          </w14:textFill>
        </w:rPr>
      </w:pPr>
      <w:r>
        <w:rPr>
          <w:rFonts w:ascii="楷体_GB2312" w:eastAsia="楷体_GB2312"/>
          <w:color w:val="000000" w:themeColor="text1"/>
          <w14:textFill>
            <w14:solidFill>
              <w14:schemeClr w14:val="tx1"/>
            </w14:solidFill>
          </w14:textFill>
        </w:rPr>
        <w:fldChar w:fldCharType="end"/>
      </w:r>
    </w:p>
    <w:p>
      <w:pPr>
        <w:spacing w:line="360" w:lineRule="auto"/>
        <w:jc w:val="center"/>
        <w:rPr>
          <w:rFonts w:ascii="楷体_GB2312" w:eastAsia="楷体_GB2312"/>
          <w:color w:val="000000" w:themeColor="text1"/>
          <w14:textFill>
            <w14:solidFill>
              <w14:schemeClr w14:val="tx1"/>
            </w14:solidFill>
          </w14:textFill>
        </w:rPr>
      </w:pPr>
    </w:p>
    <w:p>
      <w:pPr>
        <w:spacing w:line="360" w:lineRule="auto"/>
        <w:jc w:val="center"/>
        <w:rPr>
          <w:rFonts w:ascii="楷体_GB2312" w:eastAsia="楷体_GB2312"/>
          <w:color w:val="000000" w:themeColor="text1"/>
          <w14:textFill>
            <w14:solidFill>
              <w14:schemeClr w14:val="tx1"/>
            </w14:solidFill>
          </w14:textFill>
        </w:rPr>
      </w:pPr>
    </w:p>
    <w:p>
      <w:pPr>
        <w:spacing w:line="360" w:lineRule="auto"/>
        <w:jc w:val="center"/>
        <w:rPr>
          <w:rFonts w:ascii="楷体_GB2312" w:eastAsia="楷体_GB2312"/>
          <w:color w:val="000000" w:themeColor="text1"/>
          <w14:textFill>
            <w14:solidFill>
              <w14:schemeClr w14:val="tx1"/>
            </w14:solidFill>
          </w14:textFill>
        </w:rPr>
      </w:pPr>
    </w:p>
    <w:p>
      <w:pPr>
        <w:spacing w:line="360" w:lineRule="auto"/>
        <w:jc w:val="center"/>
        <w:rPr>
          <w:rFonts w:ascii="楷体_GB2312" w:eastAsia="楷体_GB2312"/>
          <w:color w:val="000000" w:themeColor="text1"/>
          <w14:textFill>
            <w14:solidFill>
              <w14:schemeClr w14:val="tx1"/>
            </w14:solidFill>
          </w14:textFill>
        </w:rPr>
      </w:pPr>
    </w:p>
    <w:p>
      <w:pPr>
        <w:spacing w:line="360" w:lineRule="auto"/>
        <w:jc w:val="center"/>
        <w:rPr>
          <w:rFonts w:ascii="楷体_GB2312" w:eastAsia="楷体_GB2312"/>
          <w:color w:val="000000" w:themeColor="text1"/>
          <w14:textFill>
            <w14:solidFill>
              <w14:schemeClr w14:val="tx1"/>
            </w14:solidFill>
          </w14:textFill>
        </w:rPr>
      </w:pPr>
    </w:p>
    <w:p>
      <w:pPr>
        <w:spacing w:line="360" w:lineRule="auto"/>
        <w:jc w:val="center"/>
        <w:rPr>
          <w:rFonts w:ascii="楷体_GB2312" w:eastAsia="楷体_GB2312"/>
          <w:color w:val="000000" w:themeColor="text1"/>
          <w14:textFill>
            <w14:solidFill>
              <w14:schemeClr w14:val="tx1"/>
            </w14:solidFill>
          </w14:textFill>
        </w:rPr>
      </w:pPr>
    </w:p>
    <w:p>
      <w:pPr>
        <w:spacing w:line="360" w:lineRule="auto"/>
        <w:jc w:val="center"/>
        <w:rPr>
          <w:rFonts w:ascii="楷体_GB2312" w:eastAsia="楷体_GB2312"/>
          <w:color w:val="000000" w:themeColor="text1"/>
          <w14:textFill>
            <w14:solidFill>
              <w14:schemeClr w14:val="tx1"/>
            </w14:solidFill>
          </w14:textFill>
        </w:rPr>
      </w:pPr>
    </w:p>
    <w:p>
      <w:pPr>
        <w:spacing w:line="360" w:lineRule="auto"/>
        <w:jc w:val="center"/>
        <w:rPr>
          <w:rFonts w:ascii="楷体_GB2312" w:eastAsia="楷体_GB2312"/>
          <w:color w:val="000000" w:themeColor="text1"/>
          <w14:textFill>
            <w14:solidFill>
              <w14:schemeClr w14:val="tx1"/>
            </w14:solidFill>
          </w14:textFill>
        </w:rPr>
      </w:pPr>
    </w:p>
    <w:p>
      <w:pPr>
        <w:spacing w:line="360" w:lineRule="auto"/>
        <w:jc w:val="center"/>
        <w:rPr>
          <w:rFonts w:ascii="楷体_GB2312" w:eastAsia="楷体_GB2312"/>
          <w:color w:val="000000" w:themeColor="text1"/>
          <w14:textFill>
            <w14:solidFill>
              <w14:schemeClr w14:val="tx1"/>
            </w14:solidFill>
          </w14:textFill>
        </w:rPr>
      </w:pPr>
    </w:p>
    <w:p>
      <w:pPr>
        <w:spacing w:line="360" w:lineRule="auto"/>
        <w:jc w:val="center"/>
        <w:rPr>
          <w:rFonts w:ascii="楷体_GB2312" w:eastAsia="楷体_GB2312"/>
          <w:color w:val="000000" w:themeColor="text1"/>
          <w14:textFill>
            <w14:solidFill>
              <w14:schemeClr w14:val="tx1"/>
            </w14:solidFill>
          </w14:textFill>
        </w:rPr>
      </w:pPr>
    </w:p>
    <w:p>
      <w:pPr>
        <w:pStyle w:val="2"/>
        <w:rPr>
          <w:color w:val="000000" w:themeColor="text1"/>
          <w14:textFill>
            <w14:solidFill>
              <w14:schemeClr w14:val="tx1"/>
            </w14:solidFill>
          </w14:textFill>
        </w:rPr>
      </w:pPr>
      <w:bookmarkStart w:id="167" w:name="_Toc154934743"/>
      <w:bookmarkStart w:id="168" w:name="_Toc154935081"/>
      <w:bookmarkStart w:id="169" w:name="_Toc154757397"/>
      <w:bookmarkStart w:id="170" w:name="_Toc165274037"/>
      <w:r>
        <w:rPr>
          <w:color w:val="000000" w:themeColor="text1"/>
          <w14:textFill>
            <w14:solidFill>
              <w14:schemeClr w14:val="tx1"/>
            </w14:solidFill>
          </w14:textFill>
        </w:rPr>
        <w:t>1  总则</w:t>
      </w:r>
      <w:bookmarkEnd w:id="167"/>
      <w:bookmarkEnd w:id="168"/>
      <w:bookmarkEnd w:id="169"/>
      <w:bookmarkEnd w:id="170"/>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1</w:t>
      </w:r>
      <w:r>
        <w:rPr>
          <w:rFonts w:ascii="Times New Roman" w:hAnsi="Times New Roman" w:cs="Times New Roman"/>
          <w:b/>
          <w:bCs/>
          <w:color w:val="000000" w:themeColor="text1"/>
          <w:szCs w:val="21"/>
          <w14:textFill>
            <w14:solidFill>
              <w14:schemeClr w14:val="tx1"/>
            </w14:solidFill>
          </w14:textFill>
        </w:rPr>
        <w:t>.0.1</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工程基桩自锚测试方法是一种低碳、高效、安全的基桩承载力测试方法，目前该种承载力测试方法没有相应的设备安装、承载力测试标准。制定本规范的目的是为了在工程</w:t>
      </w:r>
      <w:r>
        <w:rPr>
          <w:rFonts w:ascii="Times New Roman" w:hAnsi="Times New Roman" w:cs="Times New Roman"/>
          <w:color w:val="000000" w:themeColor="text1"/>
          <w:szCs w:val="21"/>
          <w14:textFill>
            <w14:solidFill>
              <w14:schemeClr w14:val="tx1"/>
            </w14:solidFill>
          </w14:textFill>
        </w:rPr>
        <w:t>基桩自锚测试中</w:t>
      </w:r>
      <w:r>
        <w:rPr>
          <w:rFonts w:hint="eastAsia" w:ascii="Times New Roman" w:hAnsi="Times New Roman" w:cs="Times New Roman"/>
          <w:color w:val="000000" w:themeColor="text1"/>
          <w:szCs w:val="21"/>
          <w14:textFill>
            <w14:solidFill>
              <w14:schemeClr w14:val="tx1"/>
            </w14:solidFill>
          </w14:textFill>
        </w:rPr>
        <w:t>贯彻执行国家的技术经济政策，做到安全适用、技术先进、经济合理、确保质量、保护环境。</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1</w:t>
      </w:r>
      <w:r>
        <w:rPr>
          <w:rFonts w:ascii="Times New Roman" w:hAnsi="Times New Roman" w:cs="Times New Roman"/>
          <w:b/>
          <w:bCs/>
          <w:color w:val="000000" w:themeColor="text1"/>
          <w:szCs w:val="21"/>
          <w14:textFill>
            <w14:solidFill>
              <w14:schemeClr w14:val="tx1"/>
            </w14:solidFill>
          </w14:textFill>
        </w:rPr>
        <w:t xml:space="preserve">.0.2 </w:t>
      </w:r>
      <w:r>
        <w:rPr>
          <w:rFonts w:hint="eastAsia" w:ascii="Times New Roman" w:hAnsi="Times New Roman" w:cs="Times New Roman"/>
          <w:color w:val="000000" w:themeColor="text1"/>
          <w:szCs w:val="21"/>
          <w14:textFill>
            <w14:solidFill>
              <w14:schemeClr w14:val="tx1"/>
            </w14:solidFill>
          </w14:textFill>
        </w:rPr>
        <w:t>本条明确了本规范的适用范围。</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1</w:t>
      </w:r>
      <w:r>
        <w:rPr>
          <w:rFonts w:ascii="Times New Roman" w:hAnsi="Times New Roman" w:cs="Times New Roman"/>
          <w:b/>
          <w:bCs/>
          <w:color w:val="000000" w:themeColor="text1"/>
          <w:szCs w:val="21"/>
          <w14:textFill>
            <w14:solidFill>
              <w14:schemeClr w14:val="tx1"/>
            </w14:solidFill>
          </w14:textFill>
        </w:rPr>
        <w:t xml:space="preserve">.0.3 </w:t>
      </w:r>
      <w:r>
        <w:rPr>
          <w:rFonts w:hint="eastAsia" w:ascii="Times New Roman" w:hAnsi="Times New Roman" w:cs="Times New Roman"/>
          <w:color w:val="000000" w:themeColor="text1"/>
          <w:szCs w:val="21"/>
          <w14:textFill>
            <w14:solidFill>
              <w14:schemeClr w14:val="tx1"/>
            </w14:solidFill>
          </w14:textFill>
        </w:rPr>
        <w:t>工程</w:t>
      </w:r>
      <w:r>
        <w:rPr>
          <w:rFonts w:ascii="Times New Roman" w:hAnsi="Times New Roman" w:cs="Times New Roman"/>
          <w:color w:val="000000" w:themeColor="text1"/>
          <w:szCs w:val="21"/>
          <w14:textFill>
            <w14:solidFill>
              <w14:schemeClr w14:val="tx1"/>
            </w14:solidFill>
          </w14:textFill>
        </w:rPr>
        <w:t>基桩自锚测试</w:t>
      </w:r>
      <w:r>
        <w:rPr>
          <w:rFonts w:hint="eastAsia" w:ascii="Times New Roman" w:hAnsi="Times New Roman" w:cs="Times New Roman"/>
          <w:color w:val="000000" w:themeColor="text1"/>
          <w:szCs w:val="21"/>
          <w14:textFill>
            <w14:solidFill>
              <w14:schemeClr w14:val="tx1"/>
            </w14:solidFill>
          </w14:textFill>
        </w:rPr>
        <w:t>方法属于基桩承载力测试的一种方法，在应用本规范时，尚应根据工程问题，遵守其他相关标准的要求。</w:t>
      </w: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bookmarkStart w:id="171" w:name="_Toc165274038"/>
      <w:bookmarkStart w:id="172" w:name="_Toc154934744"/>
      <w:bookmarkStart w:id="173" w:name="_Toc154757398"/>
      <w:bookmarkStart w:id="174" w:name="_Toc154935082"/>
      <w:r>
        <w:rPr>
          <w:rFonts w:hint="eastAsia"/>
          <w:color w:val="000000" w:themeColor="text1"/>
          <w14:textFill>
            <w14:solidFill>
              <w14:schemeClr w14:val="tx1"/>
            </w14:solidFill>
          </w14:textFill>
        </w:rPr>
        <w:t xml:space="preserve">3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基本规定</w:t>
      </w:r>
      <w:bookmarkEnd w:id="171"/>
      <w:bookmarkEnd w:id="172"/>
      <w:bookmarkEnd w:id="173"/>
      <w:bookmarkEnd w:id="174"/>
    </w:p>
    <w:p>
      <w:pPr>
        <w:pStyle w:val="3"/>
        <w:rPr>
          <w:color w:val="000000" w:themeColor="text1"/>
          <w14:textFill>
            <w14:solidFill>
              <w14:schemeClr w14:val="tx1"/>
            </w14:solidFill>
          </w14:textFill>
        </w:rPr>
      </w:pPr>
      <w:bookmarkStart w:id="175" w:name="_Toc154757399"/>
      <w:bookmarkStart w:id="176" w:name="_Toc165274039"/>
      <w:bookmarkStart w:id="177" w:name="_Toc154935083"/>
      <w:bookmarkStart w:id="178" w:name="_Toc154934745"/>
      <w:r>
        <w:rPr>
          <w:color w:val="000000" w:themeColor="text1"/>
          <w14:textFill>
            <w14:solidFill>
              <w14:schemeClr w14:val="tx1"/>
            </w14:solidFill>
          </w14:textFill>
        </w:rPr>
        <w:t xml:space="preserve">3.1 </w:t>
      </w:r>
      <w:r>
        <w:rPr>
          <w:rFonts w:hint="eastAsia"/>
          <w:color w:val="000000" w:themeColor="text1"/>
          <w14:textFill>
            <w14:solidFill>
              <w14:schemeClr w14:val="tx1"/>
            </w14:solidFill>
          </w14:textFill>
        </w:rPr>
        <w:t>一般规定</w:t>
      </w:r>
      <w:bookmarkEnd w:id="175"/>
      <w:bookmarkEnd w:id="176"/>
      <w:bookmarkEnd w:id="177"/>
      <w:bookmarkEnd w:id="178"/>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 xml:space="preserve">3.1.1 </w:t>
      </w:r>
      <w:r>
        <w:rPr>
          <w:rFonts w:hint="eastAsia" w:ascii="Times New Roman" w:hAnsi="Times New Roman" w:eastAsia="宋体" w:cs="Times New Roman"/>
          <w:color w:val="000000" w:themeColor="text1"/>
          <w:szCs w:val="21"/>
          <w14:textFill>
            <w14:solidFill>
              <w14:schemeClr w14:val="tx1"/>
            </w14:solidFill>
          </w14:textFill>
        </w:rPr>
        <w:t>平衡点的位置确定是自锚试桩的一个先行条件，平衡点将整桩分为上段桩和下段桩。上段桩受力形式为抗拔桩，下段桩受力形式为抗压桩，上段桩的抗拔荷载要等于下段桩抗压荷载。本条给出了上段桩长、下段桩长的计算方法，也就是平衡点的确定方法。</w:t>
      </w: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 xml:space="preserve">3.1.2 </w:t>
      </w:r>
      <w:r>
        <w:rPr>
          <w:rFonts w:hint="eastAsia" w:ascii="Times New Roman" w:hAnsi="Times New Roman" w:eastAsia="宋体" w:cs="Times New Roman"/>
          <w:color w:val="000000" w:themeColor="text1"/>
          <w:szCs w:val="21"/>
          <w14:textFill>
            <w14:solidFill>
              <w14:schemeClr w14:val="tx1"/>
            </w14:solidFill>
          </w14:textFill>
        </w:rPr>
        <w:t>传力杆承受抗压荷载，一般在上段桩桩体内，经过上段桩桩体抵到下段桩桩顶，应验算传力杆的强度，并使传力杆有足够的刚度，传力杆一般采用钢管、型钢。</w:t>
      </w:r>
    </w:p>
    <w:p>
      <w:pPr>
        <w:widowControl/>
        <w:spacing w:line="360" w:lineRule="auto"/>
        <w:jc w:val="lef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 xml:space="preserve">3.1.3 </w:t>
      </w:r>
      <w:r>
        <w:rPr>
          <w:rFonts w:hint="eastAsia" w:ascii="Times New Roman" w:hAnsi="Times New Roman" w:eastAsia="宋体" w:cs="Times New Roman"/>
          <w:color w:val="000000" w:themeColor="text1"/>
          <w:szCs w:val="21"/>
          <w14:textFill>
            <w14:solidFill>
              <w14:schemeClr w14:val="tx1"/>
            </w14:solidFill>
          </w14:textFill>
        </w:rPr>
        <w:t>钢筋混凝土灌注桩的纵向钢筋可作为上段抗拔桩的抗拔锚筋，抗拔锚筋的抗拔承载力不应小于最大加载值的1</w:t>
      </w:r>
      <w:r>
        <w:rPr>
          <w:rFonts w:ascii="Times New Roman" w:hAnsi="Times New Roman" w:eastAsia="宋体" w:cs="Times New Roman"/>
          <w:color w:val="000000" w:themeColor="text1"/>
          <w:szCs w:val="21"/>
          <w14:textFill>
            <w14:solidFill>
              <w14:schemeClr w14:val="tx1"/>
            </w14:solidFill>
          </w14:textFill>
        </w:rPr>
        <w:t>.2</w:t>
      </w:r>
      <w:r>
        <w:rPr>
          <w:rFonts w:hint="eastAsia" w:ascii="Times New Roman" w:hAnsi="Times New Roman" w:eastAsia="宋体" w:cs="Times New Roman"/>
          <w:color w:val="000000" w:themeColor="text1"/>
          <w:szCs w:val="21"/>
          <w14:textFill>
            <w14:solidFill>
              <w14:schemeClr w14:val="tx1"/>
            </w14:solidFill>
          </w14:textFill>
        </w:rPr>
        <w:t>倍。如果纵向钢筋抗拔力不满足最大加载值的要求，应对纵向钢筋进行加强处理。</w:t>
      </w:r>
    </w:p>
    <w:p>
      <w:pPr>
        <w:spacing w:line="360" w:lineRule="auto"/>
        <w:rPr>
          <w:rFonts w:ascii="Times New Roman" w:hAnsi="Times New Roman" w:cs="Times New Roman"/>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 xml:space="preserve">3.1.4 </w:t>
      </w:r>
      <w:r>
        <w:rPr>
          <w:rFonts w:hint="eastAsia" w:ascii="Times New Roman" w:hAnsi="Times New Roman" w:eastAsia="宋体" w:cs="Times New Roman"/>
          <w:color w:val="000000" w:themeColor="text1"/>
          <w:szCs w:val="21"/>
          <w14:textFill>
            <w14:solidFill>
              <w14:schemeClr w14:val="tx1"/>
            </w14:solidFill>
          </w14:textFill>
        </w:rPr>
        <w:t>对于管桩，上段桩的抗拔荷载作用点宜取在上段桩的底部，通过在底部设置抗拔锚索等实现抗拔加载，抗拔锚索的抗拔承载力应不小于最大加载值的1</w:t>
      </w:r>
      <w:r>
        <w:rPr>
          <w:rFonts w:ascii="Times New Roman" w:hAnsi="Times New Roman" w:eastAsia="宋体" w:cs="Times New Roman"/>
          <w:color w:val="000000" w:themeColor="text1"/>
          <w:szCs w:val="21"/>
          <w14:textFill>
            <w14:solidFill>
              <w14:schemeClr w14:val="tx1"/>
            </w14:solidFill>
          </w14:textFill>
        </w:rPr>
        <w:t>.5</w:t>
      </w:r>
      <w:r>
        <w:rPr>
          <w:rFonts w:hint="eastAsia" w:ascii="Times New Roman" w:hAnsi="Times New Roman" w:eastAsia="宋体" w:cs="Times New Roman"/>
          <w:color w:val="000000" w:themeColor="text1"/>
          <w:szCs w:val="21"/>
          <w14:textFill>
            <w14:solidFill>
              <w14:schemeClr w14:val="tx1"/>
            </w14:solidFill>
          </w14:textFill>
        </w:rPr>
        <w:t>倍。</w:t>
      </w:r>
    </w:p>
    <w:p>
      <w:pPr>
        <w:pStyle w:val="3"/>
        <w:rPr>
          <w:color w:val="000000" w:themeColor="text1"/>
          <w14:textFill>
            <w14:solidFill>
              <w14:schemeClr w14:val="tx1"/>
            </w14:solidFill>
          </w14:textFill>
        </w:rPr>
      </w:pPr>
      <w:bookmarkStart w:id="179" w:name="_Toc154935084"/>
      <w:bookmarkStart w:id="180" w:name="_Toc165274040"/>
      <w:bookmarkStart w:id="181" w:name="_Toc154934746"/>
      <w:bookmarkStart w:id="182" w:name="_Toc154757400"/>
      <w:r>
        <w:rPr>
          <w:color w:val="000000" w:themeColor="text1"/>
          <w14:textFill>
            <w14:solidFill>
              <w14:schemeClr w14:val="tx1"/>
            </w14:solidFill>
          </w14:textFill>
        </w:rPr>
        <w:t xml:space="preserve">3.4 </w:t>
      </w:r>
      <w:r>
        <w:rPr>
          <w:rFonts w:hint="eastAsia"/>
          <w:color w:val="000000" w:themeColor="text1"/>
          <w14:textFill>
            <w14:solidFill>
              <w14:schemeClr w14:val="tx1"/>
            </w14:solidFill>
          </w14:textFill>
        </w:rPr>
        <w:t>试桩位置</w:t>
      </w:r>
      <w:bookmarkEnd w:id="179"/>
      <w:bookmarkEnd w:id="180"/>
      <w:bookmarkEnd w:id="181"/>
      <w:bookmarkEnd w:id="182"/>
    </w:p>
    <w:p>
      <w:pPr>
        <w:spacing w:line="360" w:lineRule="auto"/>
        <w:ind w:firstLine="420" w:firstLineChars="200"/>
        <w:jc w:val="left"/>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试桩位置尽量靠近钻探孔或静力触探孔，是保证试桩的地层尽量与勘探孔的地层一致，能够更准确的获得相同地层中工程桩的承载力。</w:t>
      </w:r>
    </w:p>
    <w:p>
      <w:pPr>
        <w:pStyle w:val="3"/>
        <w:rPr>
          <w:color w:val="000000" w:themeColor="text1"/>
          <w14:textFill>
            <w14:solidFill>
              <w14:schemeClr w14:val="tx1"/>
            </w14:solidFill>
          </w14:textFill>
        </w:rPr>
      </w:pPr>
      <w:bookmarkStart w:id="183" w:name="_Toc154934747"/>
      <w:bookmarkStart w:id="184" w:name="_Toc165274041"/>
      <w:bookmarkStart w:id="185" w:name="_Toc154935085"/>
      <w:bookmarkStart w:id="186" w:name="_Toc154757401"/>
      <w:r>
        <w:rPr>
          <w:color w:val="000000" w:themeColor="text1"/>
          <w14:textFill>
            <w14:solidFill>
              <w14:schemeClr w14:val="tx1"/>
            </w14:solidFill>
          </w14:textFill>
        </w:rPr>
        <w:t xml:space="preserve">3.5 </w:t>
      </w:r>
      <w:r>
        <w:rPr>
          <w:rFonts w:hint="eastAsia"/>
          <w:color w:val="000000" w:themeColor="text1"/>
          <w14:textFill>
            <w14:solidFill>
              <w14:schemeClr w14:val="tx1"/>
            </w14:solidFill>
          </w14:textFill>
        </w:rPr>
        <w:t>试桩加载值</w:t>
      </w:r>
      <w:bookmarkEnd w:id="183"/>
      <w:bookmarkEnd w:id="184"/>
      <w:bookmarkEnd w:id="185"/>
      <w:bookmarkEnd w:id="186"/>
    </w:p>
    <w:p>
      <w:pPr>
        <w:spacing w:line="360" w:lineRule="auto"/>
        <w:ind w:firstLine="420" w:firstLineChars="200"/>
        <w:jc w:val="left"/>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cs="Times New Roman"/>
          <w:bCs/>
          <w:color w:val="000000" w:themeColor="text1"/>
          <w:szCs w:val="21"/>
          <w14:textFill>
            <w14:solidFill>
              <w14:schemeClr w14:val="tx1"/>
            </w14:solidFill>
          </w14:textFill>
        </w:rPr>
        <w:t>自锚试桩分为上段桩、下段桩，自锚试桩加载值为单桩加载值的一半。</w:t>
      </w:r>
      <w:r>
        <w:rPr>
          <w:rFonts w:ascii="Times New Roman" w:hAnsi="Times New Roman" w:cs="Times New Roman"/>
          <w:bCs/>
          <w:color w:val="000000" w:themeColor="text1"/>
          <w:szCs w:val="21"/>
          <w14:textFill>
            <w14:solidFill>
              <w14:schemeClr w14:val="tx1"/>
            </w14:solidFill>
          </w14:textFill>
        </w:rPr>
        <w:t>为设计提供依据的试桩，</w:t>
      </w:r>
      <w:r>
        <w:rPr>
          <w:rFonts w:hint="eastAsia" w:ascii="Times New Roman" w:hAnsi="Times New Roman" w:cs="Times New Roman"/>
          <w:bCs/>
          <w:color w:val="000000" w:themeColor="text1"/>
          <w:szCs w:val="21"/>
          <w14:textFill>
            <w14:solidFill>
              <w14:schemeClr w14:val="tx1"/>
            </w14:solidFill>
          </w14:textFill>
        </w:rPr>
        <w:t>应加载至破坏，最大加载值不低于岩土工程勘察</w:t>
      </w:r>
      <w:r>
        <w:rPr>
          <w:rFonts w:ascii="Times New Roman" w:hAnsi="Times New Roman" w:cs="Times New Roman"/>
          <w:bCs/>
          <w:color w:val="000000" w:themeColor="text1"/>
          <w:szCs w:val="21"/>
          <w14:textFill>
            <w14:solidFill>
              <w14:schemeClr w14:val="tx1"/>
            </w14:solidFill>
          </w14:textFill>
        </w:rPr>
        <w:t>报告计算的单桩极限承载力的1.2-1.5倍</w:t>
      </w:r>
      <w:r>
        <w:rPr>
          <w:rFonts w:hint="eastAsia" w:ascii="Times New Roman" w:hAnsi="Times New Roman" w:cs="Times New Roman"/>
          <w:bCs/>
          <w:color w:val="000000" w:themeColor="text1"/>
          <w:szCs w:val="21"/>
          <w14:textFill>
            <w14:solidFill>
              <w14:schemeClr w14:val="tx1"/>
            </w14:solidFill>
          </w14:textFill>
        </w:rPr>
        <w:t>的一半；</w:t>
      </w:r>
      <w:r>
        <w:rPr>
          <w:rFonts w:ascii="Times New Roman" w:hAnsi="Times New Roman" w:cs="Times New Roman"/>
          <w:bCs/>
          <w:color w:val="000000" w:themeColor="text1"/>
          <w:szCs w:val="21"/>
          <w14:textFill>
            <w14:solidFill>
              <w14:schemeClr w14:val="tx1"/>
            </w14:solidFill>
          </w14:textFill>
        </w:rPr>
        <w:t>作为工程桩</w:t>
      </w:r>
      <w:r>
        <w:rPr>
          <w:rFonts w:hint="eastAsia" w:ascii="Times New Roman" w:hAnsi="Times New Roman" w:cs="Times New Roman"/>
          <w:bCs/>
          <w:color w:val="000000" w:themeColor="text1"/>
          <w:szCs w:val="21"/>
          <w14:textFill>
            <w14:solidFill>
              <w14:schemeClr w14:val="tx1"/>
            </w14:solidFill>
          </w14:textFill>
        </w:rPr>
        <w:t>验收</w:t>
      </w:r>
      <w:r>
        <w:rPr>
          <w:rFonts w:ascii="Times New Roman" w:hAnsi="Times New Roman" w:cs="Times New Roman"/>
          <w:bCs/>
          <w:color w:val="000000" w:themeColor="text1"/>
          <w:szCs w:val="21"/>
          <w14:textFill>
            <w14:solidFill>
              <w14:schemeClr w14:val="tx1"/>
            </w14:solidFill>
          </w14:textFill>
        </w:rPr>
        <w:t>检测，</w:t>
      </w:r>
      <w:r>
        <w:rPr>
          <w:rFonts w:hint="eastAsia" w:ascii="Times New Roman" w:hAnsi="Times New Roman" w:cs="Times New Roman"/>
          <w:bCs/>
          <w:color w:val="000000" w:themeColor="text1"/>
          <w:szCs w:val="21"/>
          <w14:textFill>
            <w14:solidFill>
              <w14:schemeClr w14:val="tx1"/>
            </w14:solidFill>
          </w14:textFill>
        </w:rPr>
        <w:t>加载值</w:t>
      </w:r>
      <w:r>
        <w:rPr>
          <w:rFonts w:ascii="Times New Roman" w:hAnsi="Times New Roman" w:cs="Times New Roman"/>
          <w:bCs/>
          <w:color w:val="000000" w:themeColor="text1"/>
          <w:szCs w:val="21"/>
          <w14:textFill>
            <w14:solidFill>
              <w14:schemeClr w14:val="tx1"/>
            </w14:solidFill>
          </w14:textFill>
        </w:rPr>
        <w:t>不应小于设计要求的单桩承载力特征值</w:t>
      </w:r>
      <w:r>
        <w:rPr>
          <w:rFonts w:hint="eastAsia" w:ascii="Times New Roman" w:hAnsi="Times New Roman" w:cs="Times New Roman"/>
          <w:bCs/>
          <w:color w:val="000000" w:themeColor="text1"/>
          <w:szCs w:val="21"/>
          <w14:textFill>
            <w14:solidFill>
              <w14:schemeClr w14:val="tx1"/>
            </w14:solidFill>
          </w14:textFill>
        </w:rPr>
        <w:t>。经转换后，整桩等效加载值约为实际加载值的2倍多。</w:t>
      </w:r>
    </w:p>
    <w:p>
      <w:pPr>
        <w:pStyle w:val="3"/>
        <w:rPr>
          <w:color w:val="000000" w:themeColor="text1"/>
          <w14:textFill>
            <w14:solidFill>
              <w14:schemeClr w14:val="tx1"/>
            </w14:solidFill>
          </w14:textFill>
        </w:rPr>
      </w:pPr>
      <w:bookmarkStart w:id="187" w:name="_Toc154935086"/>
      <w:bookmarkStart w:id="188" w:name="_Toc154757402"/>
      <w:bookmarkStart w:id="189" w:name="_Toc165274042"/>
      <w:bookmarkStart w:id="190" w:name="_Toc154934748"/>
      <w:r>
        <w:rPr>
          <w:color w:val="000000" w:themeColor="text1"/>
          <w14:textFill>
            <w14:solidFill>
              <w14:schemeClr w14:val="tx1"/>
            </w14:solidFill>
          </w14:textFill>
        </w:rPr>
        <w:t xml:space="preserve">3.6 </w:t>
      </w:r>
      <w:r>
        <w:rPr>
          <w:rFonts w:hint="eastAsia"/>
          <w:color w:val="000000" w:themeColor="text1"/>
          <w14:textFill>
            <w14:solidFill>
              <w14:schemeClr w14:val="tx1"/>
            </w14:solidFill>
          </w14:textFill>
        </w:rPr>
        <w:t>平衡点及通道灌浆</w:t>
      </w:r>
      <w:bookmarkEnd w:id="187"/>
      <w:bookmarkEnd w:id="188"/>
      <w:bookmarkEnd w:id="189"/>
      <w:bookmarkEnd w:id="190"/>
    </w:p>
    <w:p>
      <w:pPr>
        <w:spacing w:line="360" w:lineRule="auto"/>
        <w:ind w:firstLine="420" w:firstLineChars="200"/>
        <w:jc w:val="left"/>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cs="Times New Roman"/>
          <w:bCs/>
          <w:color w:val="000000" w:themeColor="text1"/>
          <w:szCs w:val="21"/>
          <w14:textFill>
            <w14:solidFill>
              <w14:schemeClr w14:val="tx1"/>
            </w14:solidFill>
          </w14:textFill>
        </w:rPr>
        <w:t>试验结束后，现浇的上段混凝土桩内留有传力杆通道，在平衡点处留有试验位移导致的空隙，此时应采用灌浆法对平衡点处空隙及传力通道灌浆，使上、下段桩连接成一根完整桩。灌浆材料可采用水泥浆、水泥砂浆等，水灰比根据传力杆通道截面大小及形状确定。对通道较大的截面满足细石混凝土浇筑条件的，优先采用细石混凝土灌注；灌浆材料的强度不应低于桩身混凝土强度。</w:t>
      </w:r>
    </w:p>
    <w:p>
      <w:pPr>
        <w:pStyle w:val="3"/>
        <w:rPr>
          <w:color w:val="000000" w:themeColor="text1"/>
          <w14:textFill>
            <w14:solidFill>
              <w14:schemeClr w14:val="tx1"/>
            </w14:solidFill>
          </w14:textFill>
        </w:rPr>
      </w:pPr>
      <w:bookmarkStart w:id="191" w:name="_Toc165274043"/>
      <w:bookmarkStart w:id="192" w:name="_Toc154757403"/>
      <w:bookmarkStart w:id="193" w:name="_Toc154935087"/>
      <w:bookmarkStart w:id="194" w:name="_Toc154934749"/>
      <w:r>
        <w:rPr>
          <w:color w:val="000000" w:themeColor="text1"/>
          <w14:textFill>
            <w14:solidFill>
              <w14:schemeClr w14:val="tx1"/>
            </w14:solidFill>
          </w14:textFill>
        </w:rPr>
        <w:t>3.7 检测机构、人员及检测程序和要求</w:t>
      </w:r>
      <w:bookmarkEnd w:id="191"/>
      <w:bookmarkEnd w:id="192"/>
      <w:bookmarkEnd w:id="193"/>
      <w:bookmarkEnd w:id="194"/>
    </w:p>
    <w:p>
      <w:pPr>
        <w:spacing w:line="360" w:lineRule="auto"/>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3</w:t>
      </w:r>
      <w:r>
        <w:rPr>
          <w:rFonts w:ascii="Times New Roman" w:hAnsi="Times New Roman" w:cs="Times New Roman"/>
          <w:b/>
          <w:color w:val="000000" w:themeColor="text1"/>
          <w:szCs w:val="21"/>
          <w14:textFill>
            <w14:solidFill>
              <w14:schemeClr w14:val="tx1"/>
            </w14:solidFill>
          </w14:textFill>
        </w:rPr>
        <w:t>.7.3</w:t>
      </w:r>
      <w:r>
        <w:rPr>
          <w:rFonts w:ascii="Times New Roman" w:hAnsi="Times New Roman" w:cs="Times New Roman"/>
          <w:bCs/>
          <w:color w:val="000000" w:themeColor="text1"/>
          <w:szCs w:val="21"/>
          <w14:textFill>
            <w14:solidFill>
              <w14:schemeClr w14:val="tx1"/>
            </w14:solidFill>
          </w14:textFill>
        </w:rPr>
        <w:t>检测</w:t>
      </w:r>
      <w:r>
        <w:rPr>
          <w:rFonts w:hint="eastAsia" w:ascii="Times New Roman" w:hAnsi="Times New Roman" w:cs="Times New Roman"/>
          <w:bCs/>
          <w:color w:val="000000" w:themeColor="text1"/>
          <w:szCs w:val="21"/>
          <w14:textFill>
            <w14:solidFill>
              <w14:schemeClr w14:val="tx1"/>
            </w14:solidFill>
          </w14:textFill>
        </w:rPr>
        <w:t>方案</w:t>
      </w:r>
      <w:r>
        <w:rPr>
          <w:rFonts w:ascii="Times New Roman" w:hAnsi="Times New Roman" w:cs="Times New Roman"/>
          <w:bCs/>
          <w:color w:val="000000" w:themeColor="text1"/>
          <w:szCs w:val="21"/>
          <w14:textFill>
            <w14:solidFill>
              <w14:schemeClr w14:val="tx1"/>
            </w14:solidFill>
          </w14:textFill>
        </w:rPr>
        <w:t>和要求</w:t>
      </w:r>
    </w:p>
    <w:p>
      <w:pPr>
        <w:spacing w:line="360" w:lineRule="auto"/>
        <w:ind w:firstLine="435"/>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cs="Times New Roman"/>
          <w:bCs/>
          <w:color w:val="000000" w:themeColor="text1"/>
          <w:szCs w:val="21"/>
          <w14:textFill>
            <w14:solidFill>
              <w14:schemeClr w14:val="tx1"/>
            </w14:solidFill>
          </w14:textFill>
        </w:rPr>
        <w:t>1</w:t>
      </w:r>
      <w:r>
        <w:rPr>
          <w:rFonts w:ascii="Times New Roman" w:hAnsi="Times New Roman" w:cs="Times New Roman"/>
          <w:bCs/>
          <w:color w:val="000000" w:themeColor="text1"/>
          <w:szCs w:val="21"/>
          <w14:textFill>
            <w14:solidFill>
              <w14:schemeClr w14:val="tx1"/>
            </w14:solidFill>
          </w14:textFill>
        </w:rPr>
        <w:t xml:space="preserve"> </w:t>
      </w:r>
      <w:r>
        <w:rPr>
          <w:rFonts w:hint="eastAsia" w:ascii="Times New Roman" w:hAnsi="Times New Roman" w:cs="Times New Roman"/>
          <w:bCs/>
          <w:color w:val="000000" w:themeColor="text1"/>
          <w:szCs w:val="21"/>
          <w14:textFill>
            <w14:solidFill>
              <w14:schemeClr w14:val="tx1"/>
            </w14:solidFill>
          </w14:textFill>
        </w:rPr>
        <w:t>施工前确定单桩极限承载力，目的是为设计单位提供较为可靠的单桩承载力。施工后确定单桩承载力，目的是检验试验桩承载力是否达到设计单位提出的单桩承载力特征值；</w:t>
      </w:r>
    </w:p>
    <w:p>
      <w:pPr>
        <w:spacing w:line="360" w:lineRule="auto"/>
        <w:ind w:firstLine="435"/>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cs="Times New Roman"/>
          <w:bCs/>
          <w:color w:val="000000" w:themeColor="text1"/>
          <w:szCs w:val="21"/>
          <w14:textFill>
            <w14:solidFill>
              <w14:schemeClr w14:val="tx1"/>
            </w14:solidFill>
          </w14:textFill>
        </w:rPr>
        <w:t>4</w:t>
      </w:r>
      <w:r>
        <w:rPr>
          <w:rFonts w:ascii="Times New Roman" w:hAnsi="Times New Roman" w:cs="Times New Roman"/>
          <w:bCs/>
          <w:color w:val="000000" w:themeColor="text1"/>
          <w:szCs w:val="21"/>
          <w14:textFill>
            <w14:solidFill>
              <w14:schemeClr w14:val="tx1"/>
            </w14:solidFill>
          </w14:textFill>
        </w:rPr>
        <w:t xml:space="preserve"> </w:t>
      </w:r>
      <w:r>
        <w:rPr>
          <w:rFonts w:hint="eastAsia" w:ascii="Times New Roman" w:hAnsi="Times New Roman" w:cs="Times New Roman"/>
          <w:bCs/>
          <w:color w:val="000000" w:themeColor="text1"/>
          <w:szCs w:val="21"/>
          <w14:textFill>
            <w14:solidFill>
              <w14:schemeClr w14:val="tx1"/>
            </w14:solidFill>
          </w14:textFill>
        </w:rPr>
        <w:t>自锚试桩分为上段桩、下段桩，需要施工时事先安装传力杆或预留传力杆通道，并根据传力杆截面形式采用合适的留设方法。在安装传力杆或预留传力杆通道过程中，需要施工单位起重机、电焊机等的配合，试验单位人员应对试验桩设备安装、混凝土浇筑等全程指导。</w:t>
      </w:r>
    </w:p>
    <w:p>
      <w:pPr>
        <w:pStyle w:val="3"/>
        <w:rPr>
          <w:color w:val="000000" w:themeColor="text1"/>
          <w14:textFill>
            <w14:solidFill>
              <w14:schemeClr w14:val="tx1"/>
            </w14:solidFill>
          </w14:textFill>
        </w:rPr>
      </w:pPr>
      <w:bookmarkStart w:id="195" w:name="_Toc165274044"/>
      <w:bookmarkStart w:id="196" w:name="_Toc154934750"/>
      <w:bookmarkStart w:id="197" w:name="_Toc154935088"/>
      <w:bookmarkStart w:id="198" w:name="_Toc154757404"/>
      <w:r>
        <w:rPr>
          <w:color w:val="000000" w:themeColor="text1"/>
          <w14:textFill>
            <w14:solidFill>
              <w14:schemeClr w14:val="tx1"/>
            </w14:solidFill>
          </w14:textFill>
        </w:rPr>
        <w:t xml:space="preserve">3.8 </w:t>
      </w:r>
      <w:r>
        <w:rPr>
          <w:rFonts w:hint="eastAsia"/>
          <w:color w:val="000000" w:themeColor="text1"/>
          <w14:textFill>
            <w14:solidFill>
              <w14:schemeClr w14:val="tx1"/>
            </w14:solidFill>
          </w14:textFill>
        </w:rPr>
        <w:t>检测结果评价和检测报告</w:t>
      </w:r>
      <w:bookmarkEnd w:id="195"/>
      <w:bookmarkEnd w:id="196"/>
      <w:bookmarkEnd w:id="197"/>
      <w:bookmarkEnd w:id="198"/>
    </w:p>
    <w:p>
      <w:pPr>
        <w:spacing w:line="360" w:lineRule="auto"/>
        <w:jc w:val="lef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3</w:t>
      </w:r>
      <w:r>
        <w:rPr>
          <w:rFonts w:ascii="Times New Roman" w:hAnsi="Times New Roman" w:cs="Times New Roman"/>
          <w:b/>
          <w:bCs/>
          <w:color w:val="000000" w:themeColor="text1"/>
          <w:szCs w:val="21"/>
          <w14:textFill>
            <w14:solidFill>
              <w14:schemeClr w14:val="tx1"/>
            </w14:solidFill>
          </w14:textFill>
        </w:rPr>
        <w:t xml:space="preserve">.8.1 </w:t>
      </w:r>
      <w:r>
        <w:rPr>
          <w:rFonts w:hint="eastAsia" w:ascii="Times New Roman" w:hAnsi="Times New Roman" w:cs="Times New Roman"/>
          <w:color w:val="000000" w:themeColor="text1"/>
          <w:szCs w:val="21"/>
          <w14:textFill>
            <w14:solidFill>
              <w14:schemeClr w14:val="tx1"/>
            </w14:solidFill>
          </w14:textFill>
        </w:rPr>
        <w:t>工程桩承载力验收检测，应给出单桩承载力特征值是否满足设计要求的结论。</w:t>
      </w:r>
    </w:p>
    <w:p>
      <w:pPr>
        <w:spacing w:line="360" w:lineRule="auto"/>
        <w:jc w:val="lef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3</w:t>
      </w:r>
      <w:r>
        <w:rPr>
          <w:rFonts w:ascii="Times New Roman" w:hAnsi="Times New Roman" w:cs="Times New Roman"/>
          <w:b/>
          <w:bCs/>
          <w:color w:val="000000" w:themeColor="text1"/>
          <w:szCs w:val="21"/>
          <w14:textFill>
            <w14:solidFill>
              <w14:schemeClr w14:val="tx1"/>
            </w14:solidFill>
          </w14:textFill>
        </w:rPr>
        <w:t>.8.2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为设计提供依据的桩，检测后应给出受检桩的极限承载力。</w:t>
      </w:r>
    </w:p>
    <w:p>
      <w:pPr>
        <w:spacing w:line="360" w:lineRule="auto"/>
        <w:jc w:val="lef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3</w:t>
      </w:r>
      <w:r>
        <w:rPr>
          <w:rFonts w:ascii="Times New Roman" w:hAnsi="Times New Roman" w:cs="Times New Roman"/>
          <w:b/>
          <w:bCs/>
          <w:color w:val="000000" w:themeColor="text1"/>
          <w:szCs w:val="21"/>
          <w14:textFill>
            <w14:solidFill>
              <w14:schemeClr w14:val="tx1"/>
            </w14:solidFill>
          </w14:textFill>
        </w:rPr>
        <w:t>.8.3</w:t>
      </w:r>
      <w:r>
        <w:rPr>
          <w:rFonts w:ascii="Times New Roman" w:hAnsi="Times New Roman" w:cs="Times New Roman"/>
          <w:color w:val="000000" w:themeColor="text1"/>
          <w:szCs w:val="21"/>
          <w14:textFill>
            <w14:solidFill>
              <w14:schemeClr w14:val="tx1"/>
            </w14:solidFill>
          </w14:textFill>
        </w:rPr>
        <w:t xml:space="preserve"> </w:t>
      </w:r>
    </w:p>
    <w:p>
      <w:pPr>
        <w:spacing w:line="360" w:lineRule="auto"/>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    3 </w:t>
      </w:r>
      <w:r>
        <w:rPr>
          <w:rFonts w:hint="eastAsia" w:ascii="Times New Roman" w:hAnsi="Times New Roman" w:cs="Times New Roman"/>
          <w:color w:val="000000" w:themeColor="text1"/>
          <w:szCs w:val="21"/>
          <w14:textFill>
            <w14:solidFill>
              <w14:schemeClr w14:val="tx1"/>
            </w14:solidFill>
          </w14:textFill>
        </w:rPr>
        <w:t>自锚试桩施工记录含上段桩施工记录、下段桩施工记录，记录应载明上段桩长、下段桩长；</w:t>
      </w:r>
    </w:p>
    <w:p>
      <w:pPr>
        <w:spacing w:line="360" w:lineRule="auto"/>
        <w:ind w:firstLine="435"/>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4 </w:t>
      </w:r>
      <w:r>
        <w:rPr>
          <w:rFonts w:hint="eastAsia" w:ascii="Times New Roman" w:hAnsi="Times New Roman" w:cs="Times New Roman"/>
          <w:color w:val="000000" w:themeColor="text1"/>
          <w:szCs w:val="21"/>
          <w14:textFill>
            <w14:solidFill>
              <w14:schemeClr w14:val="tx1"/>
            </w14:solidFill>
          </w14:textFill>
        </w:rPr>
        <w:t>自锚试验设备一般包括千斤顶、高压油泵、传力杆、百分表等；</w:t>
      </w:r>
    </w:p>
    <w:p>
      <w:pPr>
        <w:spacing w:line="360" w:lineRule="auto"/>
        <w:ind w:firstLine="435"/>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5 </w:t>
      </w:r>
      <w:r>
        <w:rPr>
          <w:rFonts w:hint="eastAsia" w:ascii="Times New Roman" w:hAnsi="Times New Roman" w:cs="Times New Roman"/>
          <w:color w:val="000000" w:themeColor="text1"/>
          <w:szCs w:val="21"/>
          <w14:textFill>
            <w14:solidFill>
              <w14:schemeClr w14:val="tx1"/>
            </w14:solidFill>
          </w14:textFill>
        </w:rPr>
        <w:t>原始试验数据表按照附录C表C</w:t>
      </w: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格式记录，汇总表按照附录C表C</w:t>
      </w:r>
      <w:r>
        <w:rPr>
          <w:rFonts w:ascii="Times New Roman" w:hAnsi="Times New Roman" w:cs="Times New Roman"/>
          <w:color w:val="000000" w:themeColor="text1"/>
          <w:szCs w:val="21"/>
          <w14:textFill>
            <w14:solidFill>
              <w14:schemeClr w14:val="tx1"/>
            </w14:solidFill>
          </w14:textFill>
        </w:rPr>
        <w:t>.2</w:t>
      </w:r>
      <w:r>
        <w:rPr>
          <w:rFonts w:hint="eastAsia" w:ascii="Times New Roman" w:hAnsi="Times New Roman" w:cs="Times New Roman"/>
          <w:color w:val="000000" w:themeColor="text1"/>
          <w:szCs w:val="21"/>
          <w14:textFill>
            <w14:solidFill>
              <w14:schemeClr w14:val="tx1"/>
            </w14:solidFill>
          </w14:textFill>
        </w:rPr>
        <w:t>格式记录。</w:t>
      </w:r>
    </w:p>
    <w:p>
      <w:pPr>
        <w:spacing w:line="360" w:lineRule="auto"/>
        <w:ind w:firstLine="435"/>
        <w:rPr>
          <w:rFonts w:ascii="Times New Roman" w:hAnsi="Times New Roman" w:cs="Times New Roman"/>
          <w:color w:val="000000" w:themeColor="text1"/>
          <w:szCs w:val="21"/>
          <w14:textFill>
            <w14:solidFill>
              <w14:schemeClr w14:val="tx1"/>
            </w14:solidFill>
          </w14:textFill>
        </w:rPr>
      </w:pPr>
    </w:p>
    <w:p>
      <w:pPr>
        <w:spacing w:line="360" w:lineRule="auto"/>
        <w:ind w:firstLine="435"/>
        <w:rPr>
          <w:rFonts w:ascii="Times New Roman" w:hAnsi="Times New Roman" w:cs="Times New Roman"/>
          <w:color w:val="000000" w:themeColor="text1"/>
          <w:szCs w:val="21"/>
          <w14:textFill>
            <w14:solidFill>
              <w14:schemeClr w14:val="tx1"/>
            </w14:solidFill>
          </w14:textFill>
        </w:rPr>
      </w:pPr>
    </w:p>
    <w:p>
      <w:pPr>
        <w:spacing w:line="360" w:lineRule="auto"/>
        <w:ind w:firstLine="435"/>
        <w:rPr>
          <w:rFonts w:ascii="Times New Roman" w:hAnsi="Times New Roman" w:cs="Times New Roman"/>
          <w:color w:val="000000" w:themeColor="text1"/>
          <w:szCs w:val="21"/>
          <w14:textFill>
            <w14:solidFill>
              <w14:schemeClr w14:val="tx1"/>
            </w14:solidFill>
          </w14:textFill>
        </w:rPr>
      </w:pPr>
    </w:p>
    <w:p>
      <w:pPr>
        <w:spacing w:line="360" w:lineRule="auto"/>
        <w:ind w:firstLine="435"/>
        <w:rPr>
          <w:rFonts w:ascii="Times New Roman" w:hAnsi="Times New Roman" w:cs="Times New Roman"/>
          <w:color w:val="000000" w:themeColor="text1"/>
          <w:szCs w:val="21"/>
          <w14:textFill>
            <w14:solidFill>
              <w14:schemeClr w14:val="tx1"/>
            </w14:solidFill>
          </w14:textFill>
        </w:rPr>
      </w:pPr>
    </w:p>
    <w:p>
      <w:pPr>
        <w:spacing w:line="360" w:lineRule="auto"/>
        <w:ind w:firstLine="435"/>
        <w:rPr>
          <w:rFonts w:ascii="Times New Roman" w:hAnsi="Times New Roman" w:cs="Times New Roman"/>
          <w:color w:val="000000" w:themeColor="text1"/>
          <w:szCs w:val="21"/>
          <w14:textFill>
            <w14:solidFill>
              <w14:schemeClr w14:val="tx1"/>
            </w14:solidFill>
          </w14:textFill>
        </w:rPr>
      </w:pPr>
    </w:p>
    <w:p>
      <w:pPr>
        <w:spacing w:line="360" w:lineRule="auto"/>
        <w:ind w:firstLine="435"/>
        <w:rPr>
          <w:rFonts w:ascii="Times New Roman" w:hAnsi="Times New Roman" w:cs="Times New Roman"/>
          <w:color w:val="000000" w:themeColor="text1"/>
          <w:szCs w:val="21"/>
          <w14:textFill>
            <w14:solidFill>
              <w14:schemeClr w14:val="tx1"/>
            </w14:solidFill>
          </w14:textFill>
        </w:rPr>
      </w:pPr>
    </w:p>
    <w:p>
      <w:pPr>
        <w:spacing w:line="360" w:lineRule="auto"/>
        <w:ind w:firstLine="435"/>
        <w:rPr>
          <w:rFonts w:ascii="Times New Roman" w:hAnsi="Times New Roman" w:cs="Times New Roman"/>
          <w:color w:val="000000" w:themeColor="text1"/>
          <w:szCs w:val="21"/>
          <w14:textFill>
            <w14:solidFill>
              <w14:schemeClr w14:val="tx1"/>
            </w14:solidFill>
          </w14:textFill>
        </w:rPr>
      </w:pPr>
    </w:p>
    <w:p>
      <w:pPr>
        <w:spacing w:line="360" w:lineRule="auto"/>
        <w:ind w:firstLine="435"/>
        <w:rPr>
          <w:rFonts w:ascii="Times New Roman" w:hAnsi="Times New Roman" w:cs="Times New Roman"/>
          <w:color w:val="000000" w:themeColor="text1"/>
          <w:szCs w:val="21"/>
          <w14:textFill>
            <w14:solidFill>
              <w14:schemeClr w14:val="tx1"/>
            </w14:solidFill>
          </w14:textFill>
        </w:rPr>
      </w:pPr>
    </w:p>
    <w:p>
      <w:pPr>
        <w:pStyle w:val="2"/>
        <w:rPr>
          <w:color w:val="000000" w:themeColor="text1"/>
          <w:sz w:val="24"/>
          <w:szCs w:val="24"/>
          <w14:textFill>
            <w14:solidFill>
              <w14:schemeClr w14:val="tx1"/>
            </w14:solidFill>
          </w14:textFill>
        </w:rPr>
      </w:pPr>
      <w:bookmarkStart w:id="199" w:name="_Toc154757405"/>
      <w:bookmarkStart w:id="200" w:name="_Toc165274045"/>
      <w:bookmarkStart w:id="201" w:name="_Toc154934751"/>
      <w:bookmarkStart w:id="202" w:name="_Toc154935089"/>
      <w:r>
        <w:rPr>
          <w:color w:val="000000" w:themeColor="text1"/>
          <w14:textFill>
            <w14:solidFill>
              <w14:schemeClr w14:val="tx1"/>
            </w14:solidFill>
          </w14:textFill>
        </w:rPr>
        <w:t>4  设备仪器及安装</w:t>
      </w:r>
      <w:bookmarkEnd w:id="199"/>
      <w:bookmarkEnd w:id="200"/>
      <w:bookmarkEnd w:id="201"/>
      <w:bookmarkEnd w:id="202"/>
    </w:p>
    <w:p>
      <w:pPr>
        <w:pStyle w:val="3"/>
        <w:rPr>
          <w:color w:val="000000" w:themeColor="text1"/>
          <w14:textFill>
            <w14:solidFill>
              <w14:schemeClr w14:val="tx1"/>
            </w14:solidFill>
          </w14:textFill>
        </w:rPr>
      </w:pPr>
      <w:bookmarkStart w:id="203" w:name="_Toc154757406"/>
      <w:bookmarkStart w:id="204" w:name="_Toc154934752"/>
      <w:bookmarkStart w:id="205" w:name="_Toc154935090"/>
      <w:bookmarkStart w:id="206" w:name="_Toc165274046"/>
      <w:r>
        <w:rPr>
          <w:color w:val="000000" w:themeColor="text1"/>
          <w14:textFill>
            <w14:solidFill>
              <w14:schemeClr w14:val="tx1"/>
            </w14:solidFill>
          </w14:textFill>
        </w:rPr>
        <w:t>4.2  设备安装</w:t>
      </w:r>
      <w:bookmarkEnd w:id="203"/>
      <w:bookmarkEnd w:id="204"/>
      <w:bookmarkEnd w:id="205"/>
      <w:bookmarkEnd w:id="206"/>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4</w:t>
      </w:r>
      <w:r>
        <w:rPr>
          <w:rFonts w:hint="eastAsia" w:ascii="Times New Roman" w:hAnsi="Times New Roman" w:cs="Times New Roman"/>
          <w:b/>
          <w:bCs/>
          <w:color w:val="000000" w:themeColor="text1"/>
          <w:szCs w:val="21"/>
          <w14:textFill>
            <w14:solidFill>
              <w14:schemeClr w14:val="tx1"/>
            </w14:solidFill>
          </w14:textFill>
        </w:rPr>
        <w:t>.2.1</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传力杆位于上段桩的桩体内，传力杆穿过上段桩桩体并将传力杆底端抵在下段桩的桩顶（即平衡点处，桩顶设有承压板）。对于现浇混凝土桩，在浇筑混凝土前，可将传力杆放在平衡点，事先在传力杆侧面采用适当的方法（如涂抹减摩剂等）将传力杆与后浇的混凝土隔离，使传力杆能在混凝土桩体内自由上下移动，此时的传力杆可不考虑压杆稳定影响。对于管桩或现浇混凝土桩内留有传力通道的，因传力杆会在通道内有一定空隙，宜在传力杆上每隔10m设置水平方向限位器，或通过计算确定传力杆截面。现浇混凝土桩的传力杆安装、承压板设置方法可参考发明专利“单桩抗压承载力检测装置及自锚测试方法”（ZL 2017 1 1437337.9）。</w:t>
      </w:r>
    </w:p>
    <w:p>
      <w:pPr>
        <w:spacing w:line="360" w:lineRule="auto"/>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4</w:t>
      </w:r>
      <w:r>
        <w:rPr>
          <w:rFonts w:hint="eastAsia" w:ascii="Times New Roman" w:hAnsi="Times New Roman" w:cs="Times New Roman"/>
          <w:b/>
          <w:bCs/>
          <w:color w:val="000000" w:themeColor="text1"/>
          <w:szCs w:val="21"/>
          <w14:textFill>
            <w14:solidFill>
              <w14:schemeClr w14:val="tx1"/>
            </w14:solidFill>
          </w14:textFill>
        </w:rPr>
        <w:t>.2.</w:t>
      </w:r>
      <w:r>
        <w:rPr>
          <w:rFonts w:ascii="Times New Roman" w:hAnsi="Times New Roman" w:cs="Times New Roman"/>
          <w:b/>
          <w:bCs/>
          <w:color w:val="000000" w:themeColor="text1"/>
          <w:szCs w:val="21"/>
          <w14:textFill>
            <w14:solidFill>
              <w14:schemeClr w14:val="tx1"/>
            </w14:solidFill>
          </w14:textFill>
        </w:rPr>
        <w:t>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传力杆的垂直度受限于成桩桩身的垂直度。对于自锚试验桩，桩的垂直度偏差应不大于5</w:t>
      </w:r>
      <w:r>
        <w:rPr>
          <w:rFonts w:ascii="Times New Roman" w:hAnsi="Times New Roman" w:eastAsia="宋体" w:cs="Times New Roman"/>
          <w:color w:val="000000" w:themeColor="text1"/>
          <w:szCs w:val="21"/>
          <w14:textFill>
            <w14:solidFill>
              <w14:schemeClr w14:val="tx1"/>
            </w14:solidFill>
          </w14:textFill>
        </w:rPr>
        <w:t>‰</w:t>
      </w:r>
      <w:r>
        <w:rPr>
          <w:rFonts w:hint="eastAsia" w:ascii="Times New Roman" w:hAnsi="Times New Roman" w:eastAsia="宋体" w:cs="Times New Roman"/>
          <w:color w:val="000000" w:themeColor="text1"/>
          <w:szCs w:val="21"/>
          <w14:textFill>
            <w14:solidFill>
              <w14:schemeClr w14:val="tx1"/>
            </w14:solidFill>
          </w14:textFill>
        </w:rPr>
        <w:t>，确保传力杆顺利安装。</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4</w:t>
      </w:r>
      <w:r>
        <w:rPr>
          <w:rFonts w:hint="eastAsia" w:ascii="Times New Roman" w:hAnsi="Times New Roman" w:cs="Times New Roman"/>
          <w:b/>
          <w:bCs/>
          <w:color w:val="000000" w:themeColor="text1"/>
          <w:szCs w:val="21"/>
          <w14:textFill>
            <w14:solidFill>
              <w14:schemeClr w14:val="tx1"/>
            </w14:solidFill>
          </w14:textFill>
        </w:rPr>
        <w:t>.2.</w:t>
      </w:r>
      <w:r>
        <w:rPr>
          <w:rFonts w:ascii="Times New Roman" w:hAnsi="Times New Roman" w:cs="Times New Roman"/>
          <w:b/>
          <w:bCs/>
          <w:color w:val="000000" w:themeColor="text1"/>
          <w:szCs w:val="21"/>
          <w14:textFill>
            <w14:solidFill>
              <w14:schemeClr w14:val="tx1"/>
            </w14:solidFill>
          </w14:textFill>
        </w:rPr>
        <w:t>3</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上反力梁刚度应满足加载要求，锚筋宜采用穿孔法穿过上反力梁，并与上反力梁锚固。</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上反力梁的梁底作用有千斤顶荷载，上反力梁在加载过程中不能变形，保证荷载有效施加。对于混凝土灌注桩，承受上段抗拔荷载的锚筋，优先采用灌注桩纵向钢筋，纵向钢筋伸出桩顶的长度应满足试验要求，由检测单位事先确定，并在施工现场确认。纵向钢筋抗拔力不满足加载要求的，必须进行加固处理，一般可采用增大钢筋截面积的方法。</w:t>
      </w:r>
    </w:p>
    <w:p>
      <w:pPr>
        <w:pStyle w:val="2"/>
        <w:rPr>
          <w:color w:val="000000" w:themeColor="text1"/>
          <w14:textFill>
            <w14:solidFill>
              <w14:schemeClr w14:val="tx1"/>
            </w14:solidFill>
          </w14:textFill>
        </w:rPr>
      </w:pPr>
      <w:bookmarkStart w:id="207" w:name="_Toc165274047"/>
      <w:bookmarkStart w:id="208" w:name="_Toc154934753"/>
      <w:bookmarkStart w:id="209" w:name="_Toc154935091"/>
      <w:bookmarkStart w:id="210" w:name="_Toc154757407"/>
      <w:r>
        <w:rPr>
          <w:color w:val="000000" w:themeColor="text1"/>
          <w14:textFill>
            <w14:solidFill>
              <w14:schemeClr w14:val="tx1"/>
            </w14:solidFill>
          </w14:textFill>
        </w:rPr>
        <w:t>5  现场检测</w:t>
      </w:r>
      <w:bookmarkEnd w:id="207"/>
      <w:bookmarkEnd w:id="208"/>
      <w:bookmarkEnd w:id="209"/>
      <w:bookmarkEnd w:id="210"/>
    </w:p>
    <w:p>
      <w:pPr>
        <w:pStyle w:val="3"/>
        <w:rPr>
          <w:color w:val="000000" w:themeColor="text1"/>
          <w:szCs w:val="21"/>
          <w14:textFill>
            <w14:solidFill>
              <w14:schemeClr w14:val="tx1"/>
            </w14:solidFill>
          </w14:textFill>
        </w:rPr>
      </w:pPr>
      <w:bookmarkStart w:id="211" w:name="_Toc165274048"/>
      <w:bookmarkStart w:id="212" w:name="_Toc154934754"/>
      <w:bookmarkStart w:id="213" w:name="_Toc154757408"/>
      <w:bookmarkStart w:id="214" w:name="_Toc154935092"/>
      <w:r>
        <w:rPr>
          <w:color w:val="000000" w:themeColor="text1"/>
          <w14:textFill>
            <w14:solidFill>
              <w14:schemeClr w14:val="tx1"/>
            </w14:solidFill>
          </w14:textFill>
        </w:rPr>
        <w:t>5.3</w:t>
      </w:r>
      <w:r>
        <w:rPr>
          <w:rFonts w:hint="eastAsia"/>
          <w:color w:val="000000" w:themeColor="text1"/>
          <w14:textFill>
            <w14:solidFill>
              <w14:schemeClr w14:val="tx1"/>
            </w14:solidFill>
          </w14:textFill>
        </w:rPr>
        <w:t>终止加载条件</w:t>
      </w:r>
      <w:bookmarkEnd w:id="211"/>
      <w:bookmarkEnd w:id="212"/>
      <w:bookmarkEnd w:id="213"/>
      <w:bookmarkEnd w:id="214"/>
    </w:p>
    <w:p>
      <w:pPr>
        <w:spacing w:line="360" w:lineRule="auto"/>
        <w:rPr>
          <w:rFonts w:ascii="Times New Roman" w:hAnsi="Times New Roman" w:cs="Times New Roman"/>
          <w:color w:val="000000" w:themeColor="text1"/>
          <w:szCs w:val="21"/>
          <w14:textFill>
            <w14:solidFill>
              <w14:schemeClr w14:val="tx1"/>
            </w14:solidFill>
          </w14:textFill>
        </w:rPr>
      </w:pPr>
      <w:bookmarkStart w:id="215" w:name="_Hlk153204960"/>
      <w:r>
        <w:rPr>
          <w:rFonts w:ascii="Times New Roman" w:hAnsi="Times New Roman" w:cs="Times New Roman"/>
          <w:b/>
          <w:bCs/>
          <w:color w:val="000000" w:themeColor="text1"/>
          <w:szCs w:val="21"/>
          <w14:textFill>
            <w14:solidFill>
              <w14:schemeClr w14:val="tx1"/>
            </w14:solidFill>
          </w14:textFill>
        </w:rPr>
        <w:t xml:space="preserve">5.3.1 </w:t>
      </w:r>
      <w:r>
        <w:rPr>
          <w:rFonts w:hint="eastAsia" w:ascii="Times New Roman" w:hAnsi="Times New Roman" w:cs="Times New Roman"/>
          <w:color w:val="000000" w:themeColor="text1"/>
          <w:szCs w:val="21"/>
          <w14:textFill>
            <w14:solidFill>
              <w14:schemeClr w14:val="tx1"/>
            </w14:solidFill>
          </w14:textFill>
        </w:rPr>
        <w:t>达到最大加载值而未破坏情况，按照此条标准执行。</w:t>
      </w:r>
    </w:p>
    <w:bookmarkEnd w:id="215"/>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 xml:space="preserve">5.3.2 </w:t>
      </w:r>
      <w:r>
        <w:rPr>
          <w:rFonts w:hint="eastAsia" w:ascii="Times New Roman" w:hAnsi="Times New Roman" w:cs="Times New Roman"/>
          <w:color w:val="000000" w:themeColor="text1"/>
          <w:szCs w:val="21"/>
          <w14:textFill>
            <w14:solidFill>
              <w14:schemeClr w14:val="tx1"/>
            </w14:solidFill>
          </w14:textFill>
        </w:rPr>
        <w:t>下段桩为抗压桩，上段桩为抗拔桩，应按照受力条件分别判断上段桩、下段桩试验是否破坏。平衡点计算准确，上段桩与下段桩通常是同时破坏。</w:t>
      </w:r>
    </w:p>
    <w:p>
      <w:pPr>
        <w:spacing w:line="360" w:lineRule="auto"/>
        <w:ind w:firstLine="420" w:firstLineChars="200"/>
        <w:jc w:val="left"/>
        <w:rPr>
          <w:rFonts w:ascii="Times New Roman" w:hAnsi="Times New Roman" w:cs="Times New Roman"/>
          <w:bCs/>
          <w:color w:val="000000" w:themeColor="text1"/>
          <w:szCs w:val="21"/>
          <w14:textFill>
            <w14:solidFill>
              <w14:schemeClr w14:val="tx1"/>
            </w14:solidFill>
          </w14:textFill>
        </w:rPr>
      </w:pPr>
    </w:p>
    <w:p>
      <w:pPr>
        <w:spacing w:line="360" w:lineRule="auto"/>
        <w:ind w:firstLine="420" w:firstLineChars="200"/>
        <w:jc w:val="left"/>
        <w:rPr>
          <w:rFonts w:ascii="Times New Roman" w:hAnsi="Times New Roman" w:cs="Times New Roman"/>
          <w:bCs/>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bookmarkStart w:id="216" w:name="_Toc165274049"/>
      <w:bookmarkStart w:id="217" w:name="_Toc154935093"/>
      <w:bookmarkStart w:id="218" w:name="_Toc154934755"/>
      <w:bookmarkStart w:id="219" w:name="_Toc154757409"/>
      <w:r>
        <w:rPr>
          <w:color w:val="000000" w:themeColor="text1"/>
          <w14:textFill>
            <w14:solidFill>
              <w14:schemeClr w14:val="tx1"/>
            </w14:solidFill>
          </w14:textFill>
        </w:rPr>
        <w:t>6  检测数据分析与</w:t>
      </w:r>
      <w:r>
        <w:rPr>
          <w:rFonts w:hint="eastAsia"/>
          <w:color w:val="000000" w:themeColor="text1"/>
          <w14:textFill>
            <w14:solidFill>
              <w14:schemeClr w14:val="tx1"/>
            </w14:solidFill>
          </w14:textFill>
        </w:rPr>
        <w:t>承载力</w:t>
      </w:r>
      <w:r>
        <w:rPr>
          <w:color w:val="000000" w:themeColor="text1"/>
          <w14:textFill>
            <w14:solidFill>
              <w14:schemeClr w14:val="tx1"/>
            </w14:solidFill>
          </w14:textFill>
        </w:rPr>
        <w:t>判定</w:t>
      </w:r>
      <w:bookmarkEnd w:id="216"/>
      <w:bookmarkEnd w:id="217"/>
      <w:bookmarkEnd w:id="218"/>
      <w:bookmarkEnd w:id="219"/>
    </w:p>
    <w:p>
      <w:pPr>
        <w:pStyle w:val="3"/>
        <w:rPr>
          <w:color w:val="000000" w:themeColor="text1"/>
          <w14:textFill>
            <w14:solidFill>
              <w14:schemeClr w14:val="tx1"/>
            </w14:solidFill>
          </w14:textFill>
        </w:rPr>
      </w:pPr>
      <w:bookmarkStart w:id="220" w:name="_Toc154934756"/>
      <w:bookmarkStart w:id="221" w:name="_Toc154935094"/>
      <w:bookmarkStart w:id="222" w:name="_Toc154757410"/>
      <w:bookmarkStart w:id="223" w:name="_Toc165274050"/>
      <w:r>
        <w:rPr>
          <w:rFonts w:hint="eastAsia"/>
          <w:color w:val="000000" w:themeColor="text1"/>
          <w14:textFill>
            <w14:solidFill>
              <w14:schemeClr w14:val="tx1"/>
            </w14:solidFill>
          </w14:textFill>
        </w:rPr>
        <w:t>6.1 绘制相关曲线</w:t>
      </w:r>
      <w:bookmarkEnd w:id="220"/>
      <w:bookmarkEnd w:id="221"/>
      <w:bookmarkEnd w:id="222"/>
      <w:bookmarkEnd w:id="223"/>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6</w:t>
      </w:r>
      <w:r>
        <w:rPr>
          <w:rFonts w:ascii="Times New Roman" w:hAnsi="Times New Roman" w:cs="Times New Roman"/>
          <w:b/>
          <w:bCs/>
          <w:color w:val="000000" w:themeColor="text1"/>
          <w:szCs w:val="21"/>
          <w14:textFill>
            <w14:solidFill>
              <w14:schemeClr w14:val="tx1"/>
            </w14:solidFill>
          </w14:textFill>
        </w:rPr>
        <w:t>.1.1</w:t>
      </w:r>
      <w:r>
        <w:rPr>
          <w:rFonts w:hint="eastAsia" w:ascii="Times New Roman" w:hAnsi="Times New Roman" w:cs="Times New Roman"/>
          <w:b/>
          <w:bCs/>
          <w:color w:val="000000" w:themeColor="text1"/>
          <w:szCs w:val="21"/>
          <w14:textFill>
            <w14:solidFill>
              <w14:schemeClr w14:val="tx1"/>
            </w14:solidFill>
          </w14:textFill>
        </w:rPr>
        <w:t>、6</w:t>
      </w:r>
      <w:r>
        <w:rPr>
          <w:rFonts w:ascii="Times New Roman" w:hAnsi="Times New Roman" w:cs="Times New Roman"/>
          <w:b/>
          <w:bCs/>
          <w:color w:val="000000" w:themeColor="text1"/>
          <w:szCs w:val="21"/>
          <w14:textFill>
            <w14:solidFill>
              <w14:schemeClr w14:val="tx1"/>
            </w14:solidFill>
          </w14:textFill>
        </w:rPr>
        <w:t>.1.2</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根据实测的原始数据，可以分别绘制下段抗压桩的荷载-位移（</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）曲线、上段抗拔桩的荷载-位移（</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）曲线，以及下段抗压桩的位移-时间对数（</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-lg</w:t>
      </w:r>
      <w:r>
        <w:rPr>
          <w:rFonts w:hint="eastAsia" w:ascii="Times New Roman" w:hAnsi="Times New Roman" w:cs="Times New Roman"/>
          <w:i/>
          <w:color w:val="000000" w:themeColor="text1"/>
          <w:szCs w:val="21"/>
          <w14:textFill>
            <w14:solidFill>
              <w14:schemeClr w14:val="tx1"/>
            </w14:solidFill>
          </w14:textFill>
        </w:rPr>
        <w:t>t</w:t>
      </w:r>
      <w:r>
        <w:rPr>
          <w:rFonts w:hint="eastAsia" w:ascii="Times New Roman" w:hAnsi="Times New Roman" w:cs="Times New Roman"/>
          <w:color w:val="000000" w:themeColor="text1"/>
          <w:szCs w:val="21"/>
          <w14:textFill>
            <w14:solidFill>
              <w14:schemeClr w14:val="tx1"/>
            </w14:solidFill>
          </w14:textFill>
        </w:rPr>
        <w:t>）关系曲线、上段抗拔桩的位移-时间对数（</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-lg</w:t>
      </w:r>
      <w:r>
        <w:rPr>
          <w:rFonts w:hint="eastAsia" w:ascii="Times New Roman" w:hAnsi="Times New Roman" w:cs="Times New Roman"/>
          <w:i/>
          <w:color w:val="000000" w:themeColor="text1"/>
          <w:szCs w:val="21"/>
          <w14:textFill>
            <w14:solidFill>
              <w14:schemeClr w14:val="tx1"/>
            </w14:solidFill>
          </w14:textFill>
        </w:rPr>
        <w:t>t</w:t>
      </w:r>
      <w:r>
        <w:rPr>
          <w:rFonts w:hint="eastAsia" w:ascii="Times New Roman" w:hAnsi="Times New Roman" w:cs="Times New Roman"/>
          <w:color w:val="000000" w:themeColor="text1"/>
          <w:szCs w:val="21"/>
          <w14:textFill>
            <w14:solidFill>
              <w14:schemeClr w14:val="tx1"/>
            </w14:solidFill>
          </w14:textFill>
        </w:rPr>
        <w:t>）关系曲线。也就是说，在同一级荷载下，针对下段抗压桩、上段抗拔桩可绘制两条荷载-位移曲线、两条位移-时间对数关系曲线，可以判定下段抗压桩的抗压承载力及上段抗拔桩的抗拔承载力。</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6</w:t>
      </w:r>
      <w:r>
        <w:rPr>
          <w:rFonts w:ascii="Times New Roman" w:hAnsi="Times New Roman" w:cs="Times New Roman"/>
          <w:b/>
          <w:bCs/>
          <w:color w:val="000000" w:themeColor="text1"/>
          <w:szCs w:val="21"/>
          <w14:textFill>
            <w14:solidFill>
              <w14:schemeClr w14:val="tx1"/>
            </w14:solidFill>
          </w14:textFill>
        </w:rPr>
        <w:t>.1.3</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根据6</w:t>
      </w:r>
      <w:r>
        <w:rPr>
          <w:rFonts w:ascii="Times New Roman" w:hAnsi="Times New Roman" w:cs="Times New Roman"/>
          <w:color w:val="000000" w:themeColor="text1"/>
          <w:szCs w:val="21"/>
          <w14:textFill>
            <w14:solidFill>
              <w14:schemeClr w14:val="tx1"/>
            </w14:solidFill>
          </w14:textFill>
        </w:rPr>
        <w:t>.1.1</w:t>
      </w:r>
      <w:r>
        <w:rPr>
          <w:rFonts w:hint="eastAsia" w:ascii="Times New Roman" w:hAnsi="Times New Roman" w:cs="Times New Roman"/>
          <w:color w:val="000000" w:themeColor="text1"/>
          <w:szCs w:val="21"/>
          <w14:textFill>
            <w14:solidFill>
              <w14:schemeClr w14:val="tx1"/>
            </w14:solidFill>
          </w14:textFill>
        </w:rPr>
        <w:t>绘制下段抗压桩的</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d</w:t>
      </w:r>
      <w:r>
        <w:rPr>
          <w:rFonts w:hint="eastAsia" w:ascii="Times New Roman" w:hAnsi="Times New Roman" w:cs="Times New Roman"/>
          <w:iCs/>
          <w:color w:val="000000" w:themeColor="text1"/>
          <w:szCs w:val="21"/>
          <w14:textFill>
            <w14:solidFill>
              <w14:schemeClr w14:val="tx1"/>
            </w14:solidFill>
          </w14:textFill>
        </w:rPr>
        <w:t>曲线</w:t>
      </w:r>
      <w:r>
        <w:rPr>
          <w:rFonts w:hint="eastAsia" w:ascii="Times New Roman" w:hAnsi="Times New Roman" w:cs="Times New Roman"/>
          <w:color w:val="000000" w:themeColor="text1"/>
          <w:szCs w:val="21"/>
          <w14:textFill>
            <w14:solidFill>
              <w14:schemeClr w14:val="tx1"/>
            </w14:solidFill>
          </w14:textFill>
        </w:rPr>
        <w:t>，根据6</w:t>
      </w:r>
      <w:r>
        <w:rPr>
          <w:rFonts w:ascii="Times New Roman" w:hAnsi="Times New Roman" w:cs="Times New Roman"/>
          <w:color w:val="000000" w:themeColor="text1"/>
          <w:szCs w:val="21"/>
          <w14:textFill>
            <w14:solidFill>
              <w14:schemeClr w14:val="tx1"/>
            </w14:solidFill>
          </w14:textFill>
        </w:rPr>
        <w:t>.1.2</w:t>
      </w:r>
      <w:r>
        <w:rPr>
          <w:rFonts w:hint="eastAsia" w:ascii="Times New Roman" w:hAnsi="Times New Roman" w:cs="Times New Roman"/>
          <w:color w:val="000000" w:themeColor="text1"/>
          <w:szCs w:val="21"/>
          <w14:textFill>
            <w14:solidFill>
              <w14:schemeClr w14:val="tx1"/>
            </w14:solidFill>
          </w14:textFill>
        </w:rPr>
        <w:t>绘制上段抗拔桩的</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hint="eastAsia" w:ascii="Times New Roman" w:hAnsi="Times New Roman" w:cs="Times New Roman"/>
          <w:iCs/>
          <w:color w:val="000000" w:themeColor="text1"/>
          <w:szCs w:val="21"/>
          <w14:textFill>
            <w14:solidFill>
              <w14:schemeClr w14:val="tx1"/>
            </w14:solidFill>
          </w14:textFill>
        </w:rPr>
        <w:t>曲线</w:t>
      </w:r>
      <w:r>
        <w:rPr>
          <w:rFonts w:hint="eastAsia" w:ascii="Times New Roman" w:hAnsi="Times New Roman" w:cs="Times New Roman"/>
          <w:color w:val="000000" w:themeColor="text1"/>
          <w:szCs w:val="21"/>
          <w14:textFill>
            <w14:solidFill>
              <w14:schemeClr w14:val="tx1"/>
            </w14:solidFill>
          </w14:textFill>
        </w:rPr>
        <w:t>，需要将这两条曲线通过特定的转换方法，把这两条曲线等效转换为一条</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14:textFill>
            <w14:solidFill>
              <w14:schemeClr w14:val="tx1"/>
            </w14:solidFill>
          </w14:textFill>
        </w:rPr>
        <w:t>曲线，转换后的这条</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14:textFill>
            <w14:solidFill>
              <w14:schemeClr w14:val="tx1"/>
            </w14:solidFill>
          </w14:textFill>
        </w:rPr>
        <w:t>曲线就是完整桩的抗压荷载-位移曲线。</w:t>
      </w:r>
    </w:p>
    <w:p>
      <w:pPr>
        <w:pStyle w:val="3"/>
        <w:rPr>
          <w:color w:val="000000" w:themeColor="text1"/>
          <w14:textFill>
            <w14:solidFill>
              <w14:schemeClr w14:val="tx1"/>
            </w14:solidFill>
          </w14:textFill>
        </w:rPr>
      </w:pPr>
      <w:bookmarkStart w:id="224" w:name="_Toc154935095"/>
      <w:bookmarkStart w:id="225" w:name="_Toc154934757"/>
      <w:bookmarkStart w:id="226" w:name="_Toc165274051"/>
      <w:bookmarkStart w:id="227" w:name="_Toc154757411"/>
      <w:r>
        <w:rPr>
          <w:color w:val="000000" w:themeColor="text1"/>
          <w14:textFill>
            <w14:solidFill>
              <w14:schemeClr w14:val="tx1"/>
            </w14:solidFill>
          </w14:textFill>
        </w:rPr>
        <w:t>6.2  承载力确定</w:t>
      </w:r>
      <w:bookmarkEnd w:id="224"/>
      <w:bookmarkEnd w:id="225"/>
      <w:bookmarkEnd w:id="226"/>
      <w:bookmarkEnd w:id="227"/>
    </w:p>
    <w:p>
      <w:pPr>
        <w:spacing w:line="360" w:lineRule="auto"/>
        <w:rPr>
          <w:rFonts w:ascii="Times New Roman" w:hAnsi="Times New Roman" w:cs="Times New Roman"/>
          <w:i/>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6.2.</w:t>
      </w:r>
      <w:r>
        <w:rPr>
          <w:rFonts w:ascii="Times New Roman" w:hAnsi="Times New Roman" w:cs="Times New Roman"/>
          <w:b/>
          <w:bCs/>
          <w:color w:val="000000" w:themeColor="text1"/>
          <w:szCs w:val="21"/>
          <w14:textFill>
            <w14:solidFill>
              <w14:schemeClr w14:val="tx1"/>
            </w14:solidFill>
          </w14:textFill>
        </w:rPr>
        <w:t>3</w:t>
      </w:r>
      <w:r>
        <w:rPr>
          <w:rFonts w:hint="eastAsia" w:ascii="Times New Roman" w:hAnsi="Times New Roman" w:cs="Times New Roman"/>
          <w:color w:val="000000" w:themeColor="text1"/>
          <w:szCs w:val="21"/>
          <w14:textFill>
            <w14:solidFill>
              <w14:schemeClr w14:val="tx1"/>
            </w14:solidFill>
          </w14:textFill>
        </w:rPr>
        <w:t xml:space="preserve"> 单桩抗压极限承载力由两部分构成，一是上段抗拔桩的极限抗拔荷载转换成的极限抗压荷载，二是下段抗压桩的极限抗压荷载。上段桩的抗拔荷载是由桩侧负摩阻力产生的，抗拔荷载转换成抗压荷载时，应该将抗拔荷载乘以负摩阻力向正摩阻力的转换系数</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 xml:space="preserve"> ，1</w:t>
      </w:r>
      <w:r>
        <w:rPr>
          <w:rFonts w:ascii="Times New Roman" w:hAnsi="Times New Roman" w:cs="Times New Roman"/>
          <w:color w:val="000000" w:themeColor="text1"/>
          <w:szCs w:val="21"/>
          <w14:textFill>
            <w14:solidFill>
              <w14:schemeClr w14:val="tx1"/>
            </w14:solidFill>
          </w14:textFill>
        </w:rPr>
        <w:t>/</w:t>
      </w: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实质上就是桩的抗拔系数</w:t>
      </w:r>
      <m:oMath>
        <m:r>
          <m:rPr/>
          <w:rPr>
            <w:rFonts w:ascii="Cambria Math" w:hAnsi="Cambria Math" w:cs="Times New Roman"/>
            <w:color w:val="000000" w:themeColor="text1"/>
            <w:szCs w:val="21"/>
            <w14:textFill>
              <w14:solidFill>
                <w14:schemeClr w14:val="tx1"/>
              </w14:solidFill>
            </w14:textFill>
          </w:rPr>
          <m:t>λ</m:t>
        </m:r>
      </m:oMath>
      <w:r>
        <w:rPr>
          <w:rFonts w:hint="eastAsia" w:ascii="Times New Roman" w:hAnsi="Times New Roman" w:cs="Times New Roman"/>
          <w:color w:val="000000" w:themeColor="text1"/>
          <w:szCs w:val="21"/>
          <w14:textFill>
            <w14:solidFill>
              <w14:schemeClr w14:val="tx1"/>
            </w14:solidFill>
          </w14:textFill>
        </w:rPr>
        <w:t>，可参考《建筑桩基技术规范》J</w:t>
      </w:r>
      <w:r>
        <w:rPr>
          <w:rFonts w:ascii="Times New Roman" w:hAnsi="Times New Roman" w:cs="Times New Roman"/>
          <w:color w:val="000000" w:themeColor="text1"/>
          <w:szCs w:val="21"/>
          <w14:textFill>
            <w14:solidFill>
              <w14:schemeClr w14:val="tx1"/>
            </w14:solidFill>
          </w14:textFill>
        </w:rPr>
        <w:t>GJ94</w:t>
      </w:r>
      <w:r>
        <w:rPr>
          <w:rFonts w:hint="eastAsia" w:ascii="Times New Roman" w:hAnsi="Times New Roman" w:cs="Times New Roman"/>
          <w:color w:val="000000" w:themeColor="text1"/>
          <w:szCs w:val="21"/>
          <w14:textFill>
            <w14:solidFill>
              <w14:schemeClr w14:val="tx1"/>
            </w14:solidFill>
          </w14:textFill>
        </w:rPr>
        <w:t>表5</w:t>
      </w:r>
      <w:r>
        <w:rPr>
          <w:rFonts w:ascii="Times New Roman" w:hAnsi="Times New Roman" w:cs="Times New Roman"/>
          <w:color w:val="000000" w:themeColor="text1"/>
          <w:szCs w:val="21"/>
          <w14:textFill>
            <w14:solidFill>
              <w14:schemeClr w14:val="tx1"/>
            </w14:solidFill>
          </w14:textFill>
        </w:rPr>
        <w:t>.4.6-2</w:t>
      </w:r>
      <w:r>
        <w:rPr>
          <w:rFonts w:hint="eastAsia" w:ascii="Times New Roman" w:hAnsi="Times New Roman" w:cs="Times New Roman"/>
          <w:color w:val="000000" w:themeColor="text1"/>
          <w:szCs w:val="21"/>
          <w14:textFill>
            <w14:solidFill>
              <w14:schemeClr w14:val="tx1"/>
            </w14:solidFill>
          </w14:textFill>
        </w:rPr>
        <w:t>取值。</w:t>
      </w: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bookmarkStart w:id="228" w:name="_Toc154935096"/>
      <w:bookmarkStart w:id="229" w:name="_Toc154934758"/>
      <w:bookmarkStart w:id="230" w:name="_Toc154757412"/>
      <w:bookmarkStart w:id="231" w:name="_Toc165274052"/>
      <w:r>
        <w:rPr>
          <w:color w:val="000000" w:themeColor="text1"/>
          <w14:textFill>
            <w14:solidFill>
              <w14:schemeClr w14:val="tx1"/>
            </w14:solidFill>
          </w14:textFill>
        </w:rPr>
        <w:t>7  检测报告</w:t>
      </w:r>
      <w:bookmarkEnd w:id="228"/>
      <w:bookmarkEnd w:id="229"/>
      <w:bookmarkEnd w:id="230"/>
      <w:bookmarkEnd w:id="231"/>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7.1.3</w:t>
      </w:r>
      <w:r>
        <w:rPr>
          <w:rFonts w:hint="eastAsia" w:ascii="Times New Roman" w:hAnsi="Times New Roman" w:cs="Times New Roman"/>
          <w:color w:val="000000" w:themeColor="text1"/>
          <w:szCs w:val="21"/>
          <w14:textFill>
            <w14:solidFill>
              <w14:schemeClr w14:val="tx1"/>
            </w14:solidFill>
          </w14:textFill>
        </w:rPr>
        <w:t xml:space="preserve"> 试验加载图应包括上段桩加载方式，可以在上段桩桩顶施加抗拔荷载，也可以在上段桩桩底施加抗拔荷载，但应在加载图中明确，还应包括传力杆材料、截面特征等；</w:t>
      </w:r>
    </w:p>
    <w:p>
      <w:pPr>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7.1.5</w:t>
      </w:r>
      <w:r>
        <w:rPr>
          <w:rFonts w:hint="eastAsia" w:ascii="Times New Roman" w:hAnsi="Times New Roman" w:cs="Times New Roman"/>
          <w:color w:val="000000" w:themeColor="text1"/>
          <w:szCs w:val="21"/>
          <w14:textFill>
            <w14:solidFill>
              <w14:schemeClr w14:val="tx1"/>
            </w14:solidFill>
          </w14:textFill>
        </w:rPr>
        <w:t xml:space="preserve"> 依据试验记录绘制</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i/>
          <w:iCs/>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i/>
          <w:color w:val="000000" w:themeColor="text1"/>
          <w:szCs w:val="21"/>
          <w14:textFill>
            <w14:solidFill>
              <w14:schemeClr w14:val="tx1"/>
            </w14:solidFill>
          </w14:textFill>
        </w:rPr>
        <w:t>-lgt、Q</w:t>
      </w:r>
      <w:r>
        <w:rPr>
          <w:rFonts w:hint="eastAsia" w:ascii="Times New Roman" w:hAnsi="Times New Roman" w:cs="Times New Roman"/>
          <w:color w:val="000000" w:themeColor="text1"/>
          <w:szCs w:val="21"/>
          <w:vertAlign w:val="subscript"/>
          <w14:textFill>
            <w14:solidFill>
              <w14:schemeClr w14:val="tx1"/>
            </w14:solidFill>
          </w14:textFill>
        </w:rPr>
        <w:t>d</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vertAlign w:val="subscript"/>
          <w14:textFill>
            <w14:solidFill>
              <w14:schemeClr w14:val="tx1"/>
            </w14:solidFill>
          </w14:textFill>
        </w:rPr>
        <w:t>d</w:t>
      </w:r>
      <w:r>
        <w:rPr>
          <w:rFonts w:hint="eastAsia" w:ascii="Times New Roman" w:hAnsi="Times New Roman" w:cs="Times New Roman"/>
          <w:i/>
          <w:iCs/>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vertAlign w:val="subscript"/>
          <w14:textFill>
            <w14:solidFill>
              <w14:schemeClr w14:val="tx1"/>
            </w14:solidFill>
          </w14:textFill>
        </w:rPr>
        <w:t>d</w:t>
      </w:r>
      <w:r>
        <w:rPr>
          <w:rFonts w:hint="eastAsia" w:ascii="Times New Roman" w:hAnsi="Times New Roman" w:cs="Times New Roman"/>
          <w:i/>
          <w:color w:val="000000" w:themeColor="text1"/>
          <w:szCs w:val="21"/>
          <w14:textFill>
            <w14:solidFill>
              <w14:schemeClr w14:val="tx1"/>
            </w14:solidFill>
          </w14:textFill>
        </w:rPr>
        <w:t>-lgt</w:t>
      </w:r>
      <w:r>
        <w:rPr>
          <w:rFonts w:ascii="Times New Roman" w:hAnsi="Times New Roman" w:cs="Times New Roman"/>
          <w:color w:val="000000" w:themeColor="text1"/>
          <w:szCs w:val="21"/>
          <w14:textFill>
            <w14:solidFill>
              <w14:schemeClr w14:val="tx1"/>
            </w14:solidFill>
          </w14:textFill>
        </w:rPr>
        <w:t>曲线</w:t>
      </w:r>
      <w:r>
        <w:rPr>
          <w:rFonts w:hint="eastAsia" w:ascii="Times New Roman" w:hAnsi="Times New Roman" w:cs="Times New Roman"/>
          <w:color w:val="000000" w:themeColor="text1"/>
          <w:szCs w:val="21"/>
          <w14:textFill>
            <w14:solidFill>
              <w14:schemeClr w14:val="tx1"/>
            </w14:solidFill>
          </w14:textFill>
        </w:rPr>
        <w:t>，是判断上段桩抗拔承载力、下段桩抗压承载力的依据，将上段抗拔桩</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曲线</w:t>
      </w:r>
      <w:r>
        <w:rPr>
          <w:rFonts w:hint="eastAsia" w:ascii="Times New Roman" w:hAnsi="Times New Roman" w:cs="Times New Roman"/>
          <w:iCs/>
          <w:color w:val="000000" w:themeColor="text1"/>
          <w:szCs w:val="21"/>
          <w14:textFill>
            <w14:solidFill>
              <w14:schemeClr w14:val="tx1"/>
            </w14:solidFill>
          </w14:textFill>
        </w:rPr>
        <w:t>、下段抗压桩</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vertAlign w:val="subscript"/>
          <w14:textFill>
            <w14:solidFill>
              <w14:schemeClr w14:val="tx1"/>
            </w14:solidFill>
          </w14:textFill>
        </w:rPr>
        <w:t>d</w:t>
      </w:r>
      <w:r>
        <w:rPr>
          <w:rFonts w:hint="eastAsia" w:ascii="Times New Roman" w:hAnsi="Times New Roman" w:cs="Times New Roman"/>
          <w:i/>
          <w:color w:val="000000" w:themeColor="text1"/>
          <w:szCs w:val="21"/>
          <w14:textFill>
            <w14:solidFill>
              <w14:schemeClr w14:val="tx1"/>
            </w14:solidFill>
          </w14:textFill>
        </w:rPr>
        <w:t>-s</w:t>
      </w:r>
      <w:r>
        <w:rPr>
          <w:rFonts w:hint="eastAsia" w:ascii="Times New Roman" w:hAnsi="Times New Roman" w:cs="Times New Roman"/>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曲线转换成</w:t>
      </w:r>
      <w:r>
        <w:rPr>
          <w:rFonts w:ascii="Times New Roman" w:hAnsi="Times New Roman" w:cs="Times New Roman"/>
          <w:color w:val="000000" w:themeColor="text1"/>
          <w:szCs w:val="21"/>
          <w14:textFill>
            <w14:solidFill>
              <w14:schemeClr w14:val="tx1"/>
            </w14:solidFill>
          </w14:textFill>
        </w:rPr>
        <w:t>等效</w:t>
      </w:r>
      <w:r>
        <w:rPr>
          <w:rFonts w:hint="eastAsia" w:ascii="Times New Roman" w:hAnsi="Times New Roman" w:cs="Times New Roman"/>
          <w:color w:val="000000" w:themeColor="text1"/>
          <w:szCs w:val="21"/>
          <w14:textFill>
            <w14:solidFill>
              <w14:schemeClr w14:val="tx1"/>
            </w14:solidFill>
          </w14:textFill>
        </w:rPr>
        <w:t>的单桩竖向抗压</w:t>
      </w:r>
      <w:r>
        <w:rPr>
          <w:rFonts w:hint="eastAsia" w:ascii="Times New Roman" w:hAnsi="Times New Roman" w:cs="Times New Roman"/>
          <w:i/>
          <w:color w:val="000000" w:themeColor="text1"/>
          <w:szCs w:val="21"/>
          <w14:textFill>
            <w14:solidFill>
              <w14:schemeClr w14:val="tx1"/>
            </w14:solidFill>
          </w14:textFill>
        </w:rPr>
        <w:t>Q</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s</w:t>
      </w:r>
      <w:r>
        <w:rPr>
          <w:rFonts w:ascii="Times New Roman" w:hAnsi="Times New Roman" w:cs="Times New Roman"/>
          <w:color w:val="000000" w:themeColor="text1"/>
          <w:szCs w:val="21"/>
          <w14:textFill>
            <w14:solidFill>
              <w14:schemeClr w14:val="tx1"/>
            </w14:solidFill>
          </w14:textFill>
        </w:rPr>
        <w:t>曲线</w:t>
      </w:r>
      <w:r>
        <w:rPr>
          <w:rFonts w:hint="eastAsia" w:ascii="Times New Roman" w:hAnsi="Times New Roman" w:cs="Times New Roman"/>
          <w:color w:val="000000" w:themeColor="text1"/>
          <w:szCs w:val="21"/>
          <w14:textFill>
            <w14:solidFill>
              <w14:schemeClr w14:val="tx1"/>
            </w14:solidFill>
          </w14:textFill>
        </w:rPr>
        <w:t>是最终目的。上述内容应完整、转换过程应明晰。</w:t>
      </w: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bookmarkStart w:id="232" w:name="_Toc154934759"/>
      <w:bookmarkStart w:id="233" w:name="_Toc154935097"/>
      <w:bookmarkStart w:id="234" w:name="_Toc165274053"/>
      <w:bookmarkStart w:id="235" w:name="_Toc154757413"/>
      <w:r>
        <w:rPr>
          <w:color w:val="000000" w:themeColor="text1"/>
          <w14:textFill>
            <w14:solidFill>
              <w14:schemeClr w14:val="tx1"/>
            </w14:solidFill>
          </w14:textFill>
        </w:rPr>
        <w:t>附录D  等效转换方法</w:t>
      </w:r>
      <w:bookmarkEnd w:id="232"/>
      <w:bookmarkEnd w:id="233"/>
      <w:bookmarkEnd w:id="234"/>
      <w:bookmarkEnd w:id="235"/>
    </w:p>
    <w:p>
      <w:pPr>
        <w:pStyle w:val="3"/>
        <w:rPr>
          <w:color w:val="000000" w:themeColor="text1"/>
          <w14:textFill>
            <w14:solidFill>
              <w14:schemeClr w14:val="tx1"/>
            </w14:solidFill>
          </w14:textFill>
        </w:rPr>
      </w:pPr>
      <w:bookmarkStart w:id="236" w:name="_Toc154935098"/>
      <w:bookmarkStart w:id="237" w:name="_Toc154757414"/>
      <w:bookmarkStart w:id="238" w:name="_Toc165274054"/>
      <w:bookmarkStart w:id="239" w:name="_Toc154934760"/>
      <w:r>
        <w:rPr>
          <w:rFonts w:hint="eastAsia"/>
          <w:color w:val="000000" w:themeColor="text1"/>
          <w14:textFill>
            <w14:solidFill>
              <w14:schemeClr w14:val="tx1"/>
            </w14:solidFill>
          </w14:textFill>
        </w:rPr>
        <w:t>D.1 简单转换法</w:t>
      </w:r>
      <w:bookmarkEnd w:id="236"/>
      <w:bookmarkEnd w:id="237"/>
      <w:bookmarkEnd w:id="238"/>
      <w:bookmarkEnd w:id="239"/>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 xml:space="preserve">.1.1 </w:t>
      </w:r>
      <w:r>
        <w:rPr>
          <w:rFonts w:hint="eastAsia" w:ascii="Times New Roman" w:hAnsi="Times New Roman" w:cs="Times New Roman"/>
          <w:color w:val="000000" w:themeColor="text1"/>
          <w:szCs w:val="21"/>
          <w14:textFill>
            <w14:solidFill>
              <w14:schemeClr w14:val="tx1"/>
            </w14:solidFill>
          </w14:textFill>
        </w:rPr>
        <w:t>位移转换系数</w:t>
      </w:r>
      <w:r>
        <w:rPr>
          <w:rFonts w:hint="eastAsia" w:ascii="Times New Roman" w:hAnsi="Times New Roman" w:cs="Times New Roman"/>
          <w:i/>
          <w:color w:val="000000" w:themeColor="text1"/>
          <w:szCs w:val="21"/>
          <w14:textFill>
            <w14:solidFill>
              <w14:schemeClr w14:val="tx1"/>
            </w14:solidFill>
          </w14:textFill>
        </w:rPr>
        <w:t>β</w:t>
      </w:r>
      <w:r>
        <w:rPr>
          <w:rFonts w:hint="eastAsia"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确定</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color w:val="000000" w:themeColor="text1"/>
          <w:szCs w:val="21"/>
          <w14:textFill>
            <w14:solidFill>
              <w14:schemeClr w14:val="tx1"/>
            </w14:solidFill>
          </w14:textFill>
        </w:rPr>
        <w:drawing>
          <wp:anchor distT="0" distB="0" distL="114300" distR="114300" simplePos="0" relativeHeight="251669504" behindDoc="0" locked="0" layoutInCell="1" allowOverlap="1">
            <wp:simplePos x="0" y="0"/>
            <wp:positionH relativeFrom="margin">
              <wp:posOffset>1279525</wp:posOffset>
            </wp:positionH>
            <wp:positionV relativeFrom="paragraph">
              <wp:posOffset>1518920</wp:posOffset>
            </wp:positionV>
            <wp:extent cx="2268220" cy="1744345"/>
            <wp:effectExtent l="0" t="0" r="0" b="8255"/>
            <wp:wrapTopAndBottom/>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268220" cy="1744345"/>
                    </a:xfrm>
                    <a:prstGeom prst="rect">
                      <a:avLst/>
                    </a:prstGeom>
                    <a:noFill/>
                    <a:ln>
                      <a:noFill/>
                    </a:ln>
                  </pic:spPr>
                </pic:pic>
              </a:graphicData>
            </a:graphic>
          </wp:anchor>
        </w:drawing>
      </w:r>
      <w:r>
        <w:rPr>
          <w:rFonts w:hint="eastAsia" w:ascii="Times New Roman" w:hAnsi="Times New Roman" w:cs="Times New Roman"/>
          <w:color w:val="000000" w:themeColor="text1"/>
          <w:szCs w:val="21"/>
          <w14:textFill>
            <w14:solidFill>
              <w14:schemeClr w14:val="tx1"/>
            </w14:solidFill>
          </w14:textFill>
        </w:rPr>
        <w:t>自锚试桩</w:t>
      </w:r>
      <w:bookmarkStart w:id="240" w:name="_Hlk153782757"/>
      <w:r>
        <w:rPr>
          <w:rFonts w:hint="eastAsia" w:ascii="Times New Roman" w:hAnsi="Times New Roman" w:cs="Times New Roman"/>
          <w:color w:val="000000" w:themeColor="text1"/>
          <w:szCs w:val="21"/>
          <w14:textFill>
            <w14:solidFill>
              <w14:schemeClr w14:val="tx1"/>
            </w14:solidFill>
          </w14:textFill>
        </w:rPr>
        <w:t>上段抗拔桩、下段抗压桩</w:t>
      </w:r>
      <w:r>
        <w:rPr>
          <w:rFonts w:ascii="Times New Roman" w:hAnsi="Times New Roman" w:cs="Times New Roman"/>
          <w:i/>
          <w:color w:val="000000" w:themeColor="text1"/>
          <w:szCs w:val="21"/>
          <w14:textFill>
            <w14:solidFill>
              <w14:schemeClr w14:val="tx1"/>
            </w14:solidFill>
          </w14:textFill>
        </w:rPr>
        <w:t>Q-s</w:t>
      </w:r>
      <w:r>
        <w:rPr>
          <w:rFonts w:ascii="Times New Roman" w:hAnsi="Times New Roman" w:cs="Times New Roman"/>
          <w:color w:val="000000" w:themeColor="text1"/>
          <w:szCs w:val="21"/>
          <w14:textFill>
            <w14:solidFill>
              <w14:schemeClr w14:val="tx1"/>
            </w14:solidFill>
          </w14:textFill>
        </w:rPr>
        <w:t>曲线</w:t>
      </w:r>
      <w:bookmarkEnd w:id="240"/>
      <w:r>
        <w:rPr>
          <w:rFonts w:hint="eastAsia" w:ascii="Times New Roman" w:hAnsi="Times New Roman" w:cs="Times New Roman"/>
          <w:color w:val="000000" w:themeColor="text1"/>
          <w:szCs w:val="21"/>
          <w14:textFill>
            <w14:solidFill>
              <w14:schemeClr w14:val="tx1"/>
            </w14:solidFill>
          </w14:textFill>
        </w:rPr>
        <w:t>见图D</w:t>
      </w:r>
      <w:r>
        <w:rPr>
          <w:rFonts w:ascii="Times New Roman" w:hAnsi="Times New Roman" w:cs="Times New Roman"/>
          <w:color w:val="000000" w:themeColor="text1"/>
          <w:szCs w:val="21"/>
          <w14:textFill>
            <w14:solidFill>
              <w14:schemeClr w14:val="tx1"/>
            </w14:solidFill>
          </w14:textFill>
        </w:rPr>
        <w:t>.1.1</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观察自锚试桩上段桩与下段桩的位移可以发现，在线性段时，相同荷载等级下，上段桩的位移小于下段桩的位移</w:t>
      </w:r>
      <w:r>
        <w:rPr>
          <w:rFonts w:hint="eastAsia" w:ascii="Times New Roman" w:hAnsi="Times New Roman" w:cs="Times New Roman"/>
          <w:color w:val="000000" w:themeColor="text1"/>
          <w:szCs w:val="21"/>
          <w14:textFill>
            <w14:solidFill>
              <w14:schemeClr w14:val="tx1"/>
            </w14:solidFill>
          </w14:textFill>
        </w:rPr>
        <w:t>。令下段桩线性段</w:t>
      </w:r>
      <w:r>
        <w:rPr>
          <w:rFonts w:ascii="Times New Roman" w:hAnsi="Times New Roman" w:cs="Times New Roman"/>
          <w:color w:val="000000" w:themeColor="text1"/>
          <w:szCs w:val="21"/>
          <w14:textFill>
            <w14:solidFill>
              <w14:schemeClr w14:val="tx1"/>
            </w14:solidFill>
          </w14:textFill>
        </w:rPr>
        <w:t>斜率</w:t>
      </w:r>
      <w:r>
        <w:rPr>
          <w:rFonts w:hint="eastAsia" w:ascii="Times New Roman" w:hAnsi="Times New Roman" w:cs="Times New Roman"/>
          <w:color w:val="000000" w:themeColor="text1"/>
          <w:szCs w:val="21"/>
          <w14:textFill>
            <w14:solidFill>
              <w14:schemeClr w14:val="tx1"/>
            </w14:solidFill>
          </w14:textFill>
        </w:rPr>
        <w:t>为</w:t>
      </w:r>
      <w:r>
        <w:rPr>
          <w:rFonts w:hint="eastAsia" w:ascii="Times New Roman" w:hAnsi="Times New Roman" w:cs="Times New Roman"/>
          <w:i/>
          <w:color w:val="000000" w:themeColor="text1"/>
          <w:szCs w:val="21"/>
          <w14:textFill>
            <w14:solidFill>
              <w14:schemeClr w14:val="tx1"/>
            </w14:solidFill>
          </w14:textFill>
        </w:rPr>
        <w:t>k</w:t>
      </w:r>
      <w:r>
        <w:rPr>
          <w:rFonts w:hint="eastAsia" w:ascii="Times New Roman" w:hAnsi="Times New Roman" w:cs="Times New Roman"/>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、上段桩线性段</w:t>
      </w:r>
      <w:r>
        <w:rPr>
          <w:rFonts w:ascii="Times New Roman" w:hAnsi="Times New Roman" w:cs="Times New Roman"/>
          <w:color w:val="000000" w:themeColor="text1"/>
          <w:szCs w:val="21"/>
          <w14:textFill>
            <w14:solidFill>
              <w14:schemeClr w14:val="tx1"/>
            </w14:solidFill>
          </w14:textFill>
        </w:rPr>
        <w:t>斜率</w:t>
      </w:r>
      <w:r>
        <w:rPr>
          <w:rFonts w:hint="eastAsia" w:ascii="Times New Roman" w:hAnsi="Times New Roman" w:cs="Times New Roman"/>
          <w:color w:val="000000" w:themeColor="text1"/>
          <w:szCs w:val="21"/>
          <w14:textFill>
            <w14:solidFill>
              <w14:schemeClr w14:val="tx1"/>
            </w14:solidFill>
          </w14:textFill>
        </w:rPr>
        <w:t>为</w:t>
      </w:r>
      <w:r>
        <w:rPr>
          <w:rFonts w:hint="eastAsia" w:ascii="Times New Roman" w:hAnsi="Times New Roman" w:cs="Times New Roman"/>
          <w:i/>
          <w:color w:val="000000" w:themeColor="text1"/>
          <w:szCs w:val="21"/>
          <w14:textFill>
            <w14:solidFill>
              <w14:schemeClr w14:val="tx1"/>
            </w14:solidFill>
          </w14:textFill>
        </w:rPr>
        <w:t>k</w:t>
      </w:r>
      <w:r>
        <w:rPr>
          <w:rFonts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则</w:t>
      </w:r>
      <w:bookmarkStart w:id="241" w:name="_Hlk77168857"/>
      <w:r>
        <w:rPr>
          <w:rFonts w:hint="eastAsia" w:ascii="Times New Roman" w:hAnsi="Times New Roman" w:cs="Times New Roman"/>
          <w:i/>
          <w:color w:val="000000" w:themeColor="text1"/>
          <w:szCs w:val="21"/>
          <w14:textFill>
            <w14:solidFill>
              <w14:schemeClr w14:val="tx1"/>
            </w14:solidFill>
          </w14:textFill>
        </w:rPr>
        <w:t>β</w:t>
      </w:r>
      <w:r>
        <w:rPr>
          <w:rFonts w:hint="eastAsia" w:ascii="Times New Roman" w:hAnsi="Times New Roman" w:cs="Times New Roman"/>
          <w:color w:val="000000" w:themeColor="text1"/>
          <w:szCs w:val="21"/>
          <w:vertAlign w:val="subscript"/>
          <w14:textFill>
            <w14:solidFill>
              <w14:schemeClr w14:val="tx1"/>
            </w14:solidFill>
          </w14:textFill>
        </w:rPr>
        <w:t>u</w:t>
      </w:r>
      <w:bookmarkEnd w:id="241"/>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k</w:t>
      </w:r>
      <w:r>
        <w:rPr>
          <w:rFonts w:hint="eastAsia" w:ascii="Times New Roman" w:hAnsi="Times New Roman" w:cs="Times New Roman"/>
          <w:color w:val="000000" w:themeColor="text1"/>
          <w:szCs w:val="21"/>
          <w:vertAlign w:val="subscript"/>
          <w14:textFill>
            <w14:solidFill>
              <w14:schemeClr w14:val="tx1"/>
            </w14:solidFill>
          </w14:textFill>
        </w:rPr>
        <w:t>d</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k</w:t>
      </w:r>
      <w:r>
        <w:rPr>
          <w:rFonts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β</w:t>
      </w:r>
      <w:r>
        <w:rPr>
          <w:rFonts w:hint="eastAsia"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color w:val="000000" w:themeColor="text1"/>
          <w:szCs w:val="21"/>
          <w14:textFill>
            <w14:solidFill>
              <w14:schemeClr w14:val="tx1"/>
            </w14:solidFill>
          </w14:textFill>
        </w:rPr>
        <w:t>称为位移转换系数</w:t>
      </w:r>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在第i级荷载</w:t>
      </w:r>
      <w:r>
        <w:rPr>
          <w:rFonts w:ascii="Times New Roman" w:hAnsi="Times New Roman" w:cs="Times New Roman"/>
          <w:color w:val="000000" w:themeColor="text1"/>
          <w:szCs w:val="21"/>
          <w14:textFill>
            <w14:solidFill>
              <w14:schemeClr w14:val="tx1"/>
            </w14:solidFill>
          </w14:textFill>
        </w:rPr>
        <w:t>作用下，上段桩的位移为</w:t>
      </w:r>
      <w:r>
        <w:rPr>
          <w:rFonts w:hint="eastAsia" w:ascii="Times New Roman" w:hAnsi="Times New Roman" w:cs="Times New Roman"/>
          <w:i/>
          <w:color w:val="000000" w:themeColor="text1"/>
          <w:szCs w:val="21"/>
          <w14:textFill>
            <w14:solidFill>
              <w14:schemeClr w14:val="tx1"/>
            </w14:solidFill>
          </w14:textFill>
        </w:rPr>
        <w:t>s</w:t>
      </w:r>
      <w:r>
        <w:rPr>
          <w:rFonts w:ascii="Times New Roman" w:hAnsi="Times New Roman" w:cs="Times New Roman"/>
          <w:color w:val="000000" w:themeColor="text1"/>
          <w:szCs w:val="21"/>
          <w:vertAlign w:val="subscript"/>
          <w14:textFill>
            <w14:solidFill>
              <w14:schemeClr w14:val="tx1"/>
            </w14:solidFill>
          </w14:textFill>
        </w:rPr>
        <w:t>ui</w:t>
      </w:r>
      <w:r>
        <w:rPr>
          <w:rFonts w:ascii="Times New Roman" w:hAnsi="Times New Roman" w:cs="Times New Roman"/>
          <w:color w:val="000000" w:themeColor="text1"/>
          <w:szCs w:val="21"/>
          <w14:textFill>
            <w14:solidFill>
              <w14:schemeClr w14:val="tx1"/>
            </w14:solidFill>
          </w14:textFill>
        </w:rPr>
        <w:t>，下段桩的位移为</w:t>
      </w:r>
      <w:r>
        <w:rPr>
          <w:rFonts w:hint="eastAsia" w:ascii="Times New Roman" w:hAnsi="Times New Roman" w:cs="Times New Roman"/>
          <w:i/>
          <w:color w:val="000000" w:themeColor="text1"/>
          <w:szCs w:val="21"/>
          <w14:textFill>
            <w14:solidFill>
              <w14:schemeClr w14:val="tx1"/>
            </w14:solidFill>
          </w14:textFill>
        </w:rPr>
        <w:t>s</w:t>
      </w:r>
      <w:r>
        <w:rPr>
          <w:rFonts w:ascii="Times New Roman" w:hAnsi="Times New Roman" w:cs="Times New Roman"/>
          <w:color w:val="000000" w:themeColor="text1"/>
          <w:szCs w:val="21"/>
          <w:vertAlign w:val="subscript"/>
          <w14:textFill>
            <w14:solidFill>
              <w14:schemeClr w14:val="tx1"/>
            </w14:solidFill>
          </w14:textFill>
        </w:rPr>
        <w:t>di</w:t>
      </w:r>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则</w:t>
      </w:r>
      <w:r>
        <w:rPr>
          <w:rFonts w:ascii="Times New Roman" w:hAnsi="Times New Roman" w:cs="Times New Roman"/>
          <w:color w:val="000000" w:themeColor="text1"/>
          <w:szCs w:val="21"/>
          <w14:textFill>
            <w14:solidFill>
              <w14:schemeClr w14:val="tx1"/>
            </w14:solidFill>
          </w14:textFill>
        </w:rPr>
        <w:t>有</w:t>
      </w:r>
      <w:r>
        <w:rPr>
          <w:rFonts w:hint="eastAsia" w:ascii="Times New Roman" w:hAnsi="Times New Roman" w:cs="Times New Roman"/>
          <w:i/>
          <w:color w:val="000000" w:themeColor="text1"/>
          <w:szCs w:val="21"/>
          <w14:textFill>
            <w14:solidFill>
              <w14:schemeClr w14:val="tx1"/>
            </w14:solidFill>
          </w14:textFill>
        </w:rPr>
        <w:t>s</w:t>
      </w:r>
      <w:r>
        <w:rPr>
          <w:rFonts w:ascii="Times New Roman" w:hAnsi="Times New Roman" w:cs="Times New Roman"/>
          <w:color w:val="000000" w:themeColor="text1"/>
          <w:szCs w:val="21"/>
          <w:vertAlign w:val="subscript"/>
          <w14:textFill>
            <w14:solidFill>
              <w14:schemeClr w14:val="tx1"/>
            </w14:solidFill>
          </w14:textFill>
        </w:rPr>
        <w:t>di</w:t>
      </w:r>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i/>
          <w:color w:val="000000" w:themeColor="text1"/>
          <w:szCs w:val="21"/>
          <w14:textFill>
            <w14:solidFill>
              <w14:schemeClr w14:val="tx1"/>
            </w14:solidFill>
          </w14:textFill>
        </w:rPr>
        <w:t>β</w:t>
      </w:r>
      <w:r>
        <w:rPr>
          <w:rFonts w:hint="eastAsia" w:ascii="Times New Roman" w:hAnsi="Times New Roman" w:cs="Times New Roman"/>
          <w:color w:val="000000" w:themeColor="text1"/>
          <w:szCs w:val="21"/>
          <w:vertAlign w:val="subscript"/>
          <w14:textFill>
            <w14:solidFill>
              <w14:schemeClr w14:val="tx1"/>
            </w14:solidFill>
          </w14:textFill>
        </w:rPr>
        <w:t>u</w:t>
      </w:r>
      <w:r>
        <w:rPr>
          <w:rFonts w:hint="eastAsia" w:ascii="Times New Roman" w:hAnsi="Times New Roman" w:cs="Times New Roman"/>
          <w:i/>
          <w:color w:val="000000" w:themeColor="text1"/>
          <w:szCs w:val="21"/>
          <w14:textFill>
            <w14:solidFill>
              <w14:schemeClr w14:val="tx1"/>
            </w14:solidFill>
          </w14:textFill>
        </w:rPr>
        <w:t>s</w:t>
      </w:r>
      <w:r>
        <w:rPr>
          <w:rFonts w:ascii="Times New Roman" w:hAnsi="Times New Roman" w:cs="Times New Roman"/>
          <w:color w:val="000000" w:themeColor="text1"/>
          <w:szCs w:val="21"/>
          <w:vertAlign w:val="subscript"/>
          <w14:textFill>
            <w14:solidFill>
              <w14:schemeClr w14:val="tx1"/>
            </w14:solidFill>
          </w14:textFill>
        </w:rPr>
        <w:t>ui</w:t>
      </w:r>
      <w:r>
        <w:rPr>
          <w:rFonts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fldChar w:fldCharType="begin"/>
      </w:r>
      <w:r>
        <w:rPr>
          <w:rFonts w:ascii="Times New Roman" w:hAnsi="Times New Roman" w:cs="Times New Roman"/>
          <w:color w:val="000000" w:themeColor="text1"/>
          <w:szCs w:val="21"/>
          <w14:textFill>
            <w14:solidFill>
              <w14:schemeClr w14:val="tx1"/>
            </w14:solidFill>
          </w14:textFill>
        </w:rPr>
        <w:instrText xml:space="preserve"> QUOTE </w:instrText>
      </w:r>
      <m:oMath>
        <m:sSub>
          <m:sSubPr>
            <m:ctrlPr>
              <w:rPr>
                <w:rFonts w:ascii="Cambria Math" w:hAnsi="Cambria Math" w:cs="Times New Roman"/>
                <w:i/>
                <w:color w:val="000000" w:themeColor="text1"/>
                <w:szCs w:val="21"/>
                <w14:textFill>
                  <w14:solidFill>
                    <w14:schemeClr w14:val="tx1"/>
                  </w14:solidFill>
                </w14:textFill>
              </w:rPr>
            </m:ctrlPr>
          </m:sSubPr>
          <m:e>
            <m:r>
              <m:rPr>
                <m:sty m:val="p"/>
              </m:rPr>
              <w:rPr>
                <w:rFonts w:ascii="Cambria Math" w:hAnsi="Cambria Math" w:cs="Times New Roman"/>
                <w:color w:val="000000" w:themeColor="text1"/>
                <w:szCs w:val="21"/>
                <w14:textFill>
                  <w14:solidFill>
                    <w14:schemeClr w14:val="tx1"/>
                  </w14:solidFill>
                </w14:textFill>
              </w:rPr>
              <m:t xml:space="preserve">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 xml:space="preserve">di</m:t>
            </m:r>
            <m:ctrlPr>
              <w:rPr>
                <w:rFonts w:ascii="Cambria Math" w:hAnsi="Cambria Math" w:cs="Times New Roman"/>
                <w:i/>
                <w:color w:val="000000" w:themeColor="text1"/>
                <w:szCs w:val="21"/>
                <w14:textFill>
                  <w14:solidFill>
                    <w14:schemeClr w14:val="tx1"/>
                  </w14:solidFill>
                </w14:textFill>
              </w:rPr>
            </m:ctrlPr>
          </m:sub>
        </m:sSub>
        <m:r>
          <m:rPr>
            <m:sty m:val="p"/>
          </m:rPr>
          <w:rPr>
            <w:rFonts w:ascii="Cambria Math" w:hAnsi="Cambria Math" w:cs="Times New Roman"/>
            <w:color w:val="000000" w:themeColor="text1"/>
            <w:szCs w:val="21"/>
            <w14:textFill>
              <w14:solidFill>
                <w14:schemeClr w14:val="tx1"/>
              </w14:solidFill>
            </w14:textFill>
          </w:rPr>
          <m:t xml:space="preserve">=</m:t>
        </m:r>
        <m:sSub>
          <m:sSubPr>
            <m:ctrlPr>
              <w:rPr>
                <w:rFonts w:ascii="Cambria Math" w:hAnsi="Cambria Math" w:cs="Times New Roman"/>
                <w:i/>
                <w:color w:val="000000" w:themeColor="text1"/>
                <w:szCs w:val="21"/>
                <w14:textFill>
                  <w14:solidFill>
                    <w14:schemeClr w14:val="tx1"/>
                  </w14:solidFill>
                </w14:textFill>
              </w:rPr>
            </m:ctrlPr>
          </m:sSubPr>
          <m:e>
            <m:r>
              <m:rPr>
                <m:sty m:val="p"/>
              </m:rPr>
              <w:rPr>
                <w:rFonts w:ascii="Cambria Math" w:hAnsi="Cambria Math" w:cs="Times New Roman"/>
                <w:color w:val="000000" w:themeColor="text1"/>
                <w:szCs w:val="21"/>
                <w14:textFill>
                  <w14:solidFill>
                    <w14:schemeClr w14:val="tx1"/>
                  </w14:solidFill>
                </w14:textFill>
              </w:rPr>
              <m:t xml:space="preserve">β</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 xml:space="preserve">u</m:t>
            </m:r>
            <m:ctrlPr>
              <w:rPr>
                <w:rFonts w:ascii="Cambria Math" w:hAnsi="Cambria Math" w:cs="Times New Roman"/>
                <w:i/>
                <w:color w:val="000000" w:themeColor="text1"/>
                <w:szCs w:val="21"/>
                <w14:textFill>
                  <w14:solidFill>
                    <w14:schemeClr w14:val="tx1"/>
                  </w14:solidFill>
                </w14:textFill>
              </w:rPr>
            </m:ctrlPr>
          </m:sub>
        </m:sSub>
        <m:sSub>
          <m:sSubPr>
            <m:ctrlPr>
              <w:rPr>
                <w:rFonts w:ascii="Cambria Math" w:hAnsi="Cambria Math" w:cs="Times New Roman"/>
                <w:i/>
                <w:color w:val="000000" w:themeColor="text1"/>
                <w:szCs w:val="21"/>
                <w14:textFill>
                  <w14:solidFill>
                    <w14:schemeClr w14:val="tx1"/>
                  </w14:solidFill>
                </w14:textFill>
              </w:rPr>
            </m:ctrlPr>
          </m:sSubPr>
          <m:e>
            <m:r>
              <m:rPr>
                <m:sty m:val="p"/>
              </m:rPr>
              <w:rPr>
                <w:rFonts w:ascii="Cambria Math" w:hAnsi="Cambria Math" w:cs="Times New Roman"/>
                <w:color w:val="000000" w:themeColor="text1"/>
                <w:szCs w:val="21"/>
                <w14:textFill>
                  <w14:solidFill>
                    <w14:schemeClr w14:val="tx1"/>
                  </w14:solidFill>
                </w14:textFill>
              </w:rPr>
              <m:t xml:space="preserve">s</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 xml:space="preserve">ui</m:t>
            </m:r>
            <m:ctrlPr>
              <w:rPr>
                <w:rFonts w:ascii="Cambria Math" w:hAnsi="Cambria Math" w:cs="Times New Roman"/>
                <w:i/>
                <w:color w:val="000000" w:themeColor="text1"/>
                <w:szCs w:val="21"/>
                <w14:textFill>
                  <w14:solidFill>
                    <w14:schemeClr w14:val="tx1"/>
                  </w14:solidFill>
                </w14:textFill>
              </w:rPr>
            </m:ctrlPr>
          </m:sub>
        </m:sSub>
      </m:oMath>
      <w:r>
        <w:rPr>
          <w:rFonts w:ascii="Times New Roman" w:hAnsi="Times New Roman" w:cs="Times New Roman"/>
          <w:color w:val="000000" w:themeColor="text1"/>
          <w:szCs w:val="21"/>
          <w14:textFill>
            <w14:solidFill>
              <w14:schemeClr w14:val="tx1"/>
            </w14:solidFill>
          </w14:textFill>
        </w:rPr>
        <w:instrText xml:space="preserve"> </w:instrText>
      </w:r>
      <w:r>
        <w:rPr>
          <w:rFonts w:ascii="Times New Roman" w:hAnsi="Times New Roman" w:cs="Times New Roman"/>
          <w:color w:val="000000" w:themeColor="text1"/>
          <w:szCs w:val="21"/>
          <w14:textFill>
            <w14:solidFill>
              <w14:schemeClr w14:val="tx1"/>
            </w14:solidFill>
          </w14:textFill>
        </w:rPr>
        <w:fldChar w:fldCharType="end"/>
      </w:r>
      <w:r>
        <w:rPr>
          <w:rFonts w:ascii="Times New Roman" w:hAnsi="Times New Roman" w:cs="Times New Roman"/>
          <w:color w:val="000000" w:themeColor="text1"/>
          <w:szCs w:val="21"/>
          <w14:textFill>
            <w14:solidFill>
              <w14:schemeClr w14:val="tx1"/>
            </w14:solidFill>
          </w14:textFill>
        </w:rPr>
        <w:t>关系</w:t>
      </w:r>
      <w:r>
        <w:rPr>
          <w:rFonts w:hint="eastAsia" w:ascii="Times New Roman" w:hAnsi="Times New Roman" w:cs="Times New Roman"/>
          <w:color w:val="000000" w:themeColor="text1"/>
          <w:szCs w:val="21"/>
          <w14:textFill>
            <w14:solidFill>
              <w14:schemeClr w14:val="tx1"/>
            </w14:solidFill>
          </w14:textFill>
        </w:rPr>
        <w:t>成立</w:t>
      </w:r>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由图D</w:t>
      </w: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得</w:t>
      </w:r>
      <w:bookmarkStart w:id="242" w:name="_Hlk153783171"/>
      <w:r>
        <w:rPr>
          <w:rFonts w:hint="eastAsia" w:ascii="Times New Roman" w:hAnsi="Times New Roman" w:cs="Times New Roman"/>
          <w:i/>
          <w:color w:val="000000" w:themeColor="text1"/>
          <w:szCs w:val="21"/>
          <w14:textFill>
            <w14:solidFill>
              <w14:schemeClr w14:val="tx1"/>
            </w14:solidFill>
          </w14:textFill>
        </w:rPr>
        <w:t>β</w:t>
      </w:r>
      <w:r>
        <w:rPr>
          <w:rFonts w:hint="eastAsia" w:ascii="Times New Roman" w:hAnsi="Times New Roman" w:cs="Times New Roman"/>
          <w:color w:val="000000" w:themeColor="text1"/>
          <w:szCs w:val="21"/>
          <w:vertAlign w:val="subscript"/>
          <w14:textFill>
            <w14:solidFill>
              <w14:schemeClr w14:val="tx1"/>
            </w14:solidFill>
          </w14:textFill>
        </w:rPr>
        <w:t>u</w:t>
      </w:r>
      <w:bookmarkEnd w:id="242"/>
      <w:r>
        <w:rPr>
          <w:rFonts w:ascii="Times New Roman" w:hAnsi="Times New Roman" w:cs="Times New Roman"/>
          <w:color w:val="000000" w:themeColor="text1"/>
          <w:szCs w:val="21"/>
          <w14:textFill>
            <w14:solidFill>
              <w14:schemeClr w14:val="tx1"/>
            </w14:solidFill>
          </w14:textFill>
        </w:rPr>
        <w:t>=1.6</w:t>
      </w:r>
      <w:r>
        <w:rPr>
          <w:rFonts w:hint="eastAsia" w:ascii="Times New Roman" w:hAnsi="Times New Roman" w:cs="Times New Roman"/>
          <w:color w:val="000000" w:themeColor="text1"/>
          <w:szCs w:val="21"/>
          <w14:textFill>
            <w14:solidFill>
              <w14:schemeClr w14:val="tx1"/>
            </w14:solidFill>
          </w14:textFill>
        </w:rPr>
        <w:t>。</w:t>
      </w: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图D</w:t>
      </w: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.1</w:t>
      </w:r>
      <w:r>
        <w:rPr>
          <w:rFonts w:ascii="Times New Roman" w:hAnsi="Times New Roman" w:cs="Times New Roman"/>
          <w:color w:val="000000" w:themeColor="text1"/>
          <w:szCs w:val="21"/>
          <w14:textFill>
            <w14:solidFill>
              <w14:schemeClr w14:val="tx1"/>
            </w14:solidFill>
          </w14:textFill>
        </w:rPr>
        <w:t xml:space="preserve"> 上段抗</w:t>
      </w:r>
      <w:r>
        <w:rPr>
          <w:rFonts w:hint="eastAsia" w:ascii="Times New Roman" w:hAnsi="Times New Roman" w:cs="Times New Roman"/>
          <w:color w:val="000000" w:themeColor="text1"/>
          <w:szCs w:val="21"/>
          <w14:textFill>
            <w14:solidFill>
              <w14:schemeClr w14:val="tx1"/>
            </w14:solidFill>
          </w14:textFill>
        </w:rPr>
        <w:t>拔</w:t>
      </w:r>
      <w:r>
        <w:rPr>
          <w:rFonts w:ascii="Times New Roman" w:hAnsi="Times New Roman" w:cs="Times New Roman"/>
          <w:color w:val="000000" w:themeColor="text1"/>
          <w:szCs w:val="21"/>
          <w14:textFill>
            <w14:solidFill>
              <w14:schemeClr w14:val="tx1"/>
            </w14:solidFill>
          </w14:textFill>
        </w:rPr>
        <w:t>桩、下段抗压桩</w:t>
      </w:r>
      <w:r>
        <w:rPr>
          <w:rFonts w:ascii="Times New Roman" w:hAnsi="Times New Roman" w:cs="Times New Roman"/>
          <w:i/>
          <w:color w:val="000000" w:themeColor="text1"/>
          <w:szCs w:val="21"/>
          <w14:textFill>
            <w14:solidFill>
              <w14:schemeClr w14:val="tx1"/>
            </w14:solidFill>
          </w14:textFill>
        </w:rPr>
        <w:t>Q-s</w:t>
      </w:r>
      <w:r>
        <w:rPr>
          <w:rFonts w:ascii="Times New Roman" w:hAnsi="Times New Roman" w:cs="Times New Roman"/>
          <w:color w:val="000000" w:themeColor="text1"/>
          <w:szCs w:val="21"/>
          <w14:textFill>
            <w14:solidFill>
              <w14:schemeClr w14:val="tx1"/>
            </w14:solidFill>
          </w14:textFill>
        </w:rPr>
        <w:t>曲线</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 xml:space="preserve">.1.2 </w:t>
      </w:r>
      <w:r>
        <w:rPr>
          <w:rFonts w:hint="eastAsia" w:ascii="Times New Roman" w:hAnsi="Times New Roman" w:cs="Times New Roman"/>
          <w:color w:val="000000" w:themeColor="text1"/>
          <w:szCs w:val="21"/>
          <w14:textFill>
            <w14:solidFill>
              <w14:schemeClr w14:val="tx1"/>
            </w14:solidFill>
          </w14:textFill>
        </w:rPr>
        <w:t>上段抗拔桩荷载转换为抗压桩荷载</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因上段桩为</w:t>
      </w:r>
      <w:r>
        <w:rPr>
          <w:rFonts w:hint="eastAsia" w:ascii="Times New Roman" w:hAnsi="Times New Roman" w:cs="Times New Roman"/>
          <w:color w:val="000000" w:themeColor="text1"/>
          <w:szCs w:val="21"/>
          <w14:textFill>
            <w14:solidFill>
              <w14:schemeClr w14:val="tx1"/>
            </w14:solidFill>
          </w14:textFill>
        </w:rPr>
        <w:t>抗拔</w:t>
      </w:r>
      <w:r>
        <w:rPr>
          <w:rFonts w:ascii="Times New Roman" w:hAnsi="Times New Roman" w:cs="Times New Roman"/>
          <w:color w:val="000000" w:themeColor="text1"/>
          <w:szCs w:val="21"/>
          <w14:textFill>
            <w14:solidFill>
              <w14:schemeClr w14:val="tx1"/>
            </w14:solidFill>
          </w14:textFill>
        </w:rPr>
        <w:t>桩，桩侧为负摩阻力，要将其转换为</w:t>
      </w:r>
      <w:r>
        <w:rPr>
          <w:rFonts w:hint="eastAsia" w:ascii="Times New Roman" w:hAnsi="Times New Roman" w:cs="Times New Roman"/>
          <w:color w:val="000000" w:themeColor="text1"/>
          <w:szCs w:val="21"/>
          <w14:textFill>
            <w14:solidFill>
              <w14:schemeClr w14:val="tx1"/>
            </w14:solidFill>
          </w14:textFill>
        </w:rPr>
        <w:t>方向</w:t>
      </w:r>
      <w:r>
        <w:rPr>
          <w:rFonts w:ascii="Times New Roman" w:hAnsi="Times New Roman" w:cs="Times New Roman"/>
          <w:color w:val="000000" w:themeColor="text1"/>
          <w:szCs w:val="21"/>
          <w14:textFill>
            <w14:solidFill>
              <w14:schemeClr w14:val="tx1"/>
            </w14:solidFill>
          </w14:textFill>
        </w:rPr>
        <w:t>向下的正摩阻力，才能获得等效</w:t>
      </w:r>
      <w:r>
        <w:rPr>
          <w:rFonts w:hint="eastAsia" w:ascii="Times New Roman" w:hAnsi="Times New Roman" w:cs="Times New Roman"/>
          <w:color w:val="000000" w:themeColor="text1"/>
          <w:szCs w:val="21"/>
          <w14:textFill>
            <w14:solidFill>
              <w14:schemeClr w14:val="tx1"/>
            </w14:solidFill>
          </w14:textFill>
        </w:rPr>
        <w:t>抗</w:t>
      </w:r>
      <w:r>
        <w:rPr>
          <w:rFonts w:ascii="Times New Roman" w:hAnsi="Times New Roman" w:cs="Times New Roman"/>
          <w:color w:val="000000" w:themeColor="text1"/>
          <w:szCs w:val="21"/>
          <w14:textFill>
            <w14:solidFill>
              <w14:schemeClr w14:val="tx1"/>
            </w14:solidFill>
          </w14:textFill>
        </w:rPr>
        <w:t>压桩的承载力。转换时，上段桩自重要计入抗</w:t>
      </w:r>
      <w:r>
        <w:rPr>
          <w:rFonts w:hint="eastAsia" w:ascii="Times New Roman" w:hAnsi="Times New Roman" w:cs="Times New Roman"/>
          <w:color w:val="000000" w:themeColor="text1"/>
          <w:szCs w:val="21"/>
          <w14:textFill>
            <w14:solidFill>
              <w14:schemeClr w14:val="tx1"/>
            </w14:solidFill>
          </w14:textFill>
        </w:rPr>
        <w:t>拔</w:t>
      </w:r>
      <w:r>
        <w:rPr>
          <w:rFonts w:ascii="Times New Roman" w:hAnsi="Times New Roman" w:cs="Times New Roman"/>
          <w:color w:val="000000" w:themeColor="text1"/>
          <w:szCs w:val="21"/>
          <w14:textFill>
            <w14:solidFill>
              <w14:schemeClr w14:val="tx1"/>
            </w14:solidFill>
          </w14:textFill>
        </w:rPr>
        <w:t>力。上段桩抗</w:t>
      </w:r>
      <w:r>
        <w:rPr>
          <w:rFonts w:hint="eastAsia" w:ascii="Times New Roman" w:hAnsi="Times New Roman" w:cs="Times New Roman"/>
          <w:color w:val="000000" w:themeColor="text1"/>
          <w:szCs w:val="21"/>
          <w14:textFill>
            <w14:solidFill>
              <w14:schemeClr w14:val="tx1"/>
            </w14:solidFill>
          </w14:textFill>
        </w:rPr>
        <w:t>拔荷载</w:t>
      </w:r>
      <w:r>
        <w:rPr>
          <w:rFonts w:ascii="Times New Roman" w:hAnsi="Times New Roman" w:cs="Times New Roman"/>
          <w:color w:val="000000" w:themeColor="text1"/>
          <w:szCs w:val="21"/>
          <w14:textFill>
            <w14:solidFill>
              <w14:schemeClr w14:val="tx1"/>
            </w14:solidFill>
          </w14:textFill>
        </w:rPr>
        <w:t>转换为等效</w:t>
      </w:r>
      <w:r>
        <w:rPr>
          <w:rFonts w:hint="eastAsia" w:ascii="Times New Roman" w:hAnsi="Times New Roman" w:cs="Times New Roman"/>
          <w:color w:val="000000" w:themeColor="text1"/>
          <w:szCs w:val="21"/>
          <w14:textFill>
            <w14:solidFill>
              <w14:schemeClr w14:val="tx1"/>
            </w14:solidFill>
          </w14:textFill>
        </w:rPr>
        <w:t>抗</w:t>
      </w:r>
      <w:r>
        <w:rPr>
          <w:rFonts w:ascii="Times New Roman" w:hAnsi="Times New Roman" w:cs="Times New Roman"/>
          <w:color w:val="000000" w:themeColor="text1"/>
          <w:szCs w:val="21"/>
          <w14:textFill>
            <w14:solidFill>
              <w14:schemeClr w14:val="tx1"/>
            </w14:solidFill>
          </w14:textFill>
        </w:rPr>
        <w:t>压</w:t>
      </w:r>
      <w:r>
        <w:rPr>
          <w:rFonts w:hint="eastAsia" w:ascii="Times New Roman" w:hAnsi="Times New Roman" w:cs="Times New Roman"/>
          <w:color w:val="000000" w:themeColor="text1"/>
          <w:szCs w:val="21"/>
          <w14:textFill>
            <w14:solidFill>
              <w14:schemeClr w14:val="tx1"/>
            </w14:solidFill>
          </w14:textFill>
        </w:rPr>
        <w:t>桩荷载</w:t>
      </w:r>
      <w:r>
        <w:rPr>
          <w:rFonts w:ascii="Times New Roman" w:hAnsi="Times New Roman" w:cs="Times New Roman"/>
          <w:color w:val="000000" w:themeColor="text1"/>
          <w:szCs w:val="21"/>
          <w14:textFill>
            <w14:solidFill>
              <w14:schemeClr w14:val="tx1"/>
            </w14:solidFill>
          </w14:textFill>
        </w:rPr>
        <w:t>按下式计算：</w:t>
      </w:r>
    </w:p>
    <w:p>
      <w:pPr>
        <w:spacing w:line="360" w:lineRule="auto"/>
        <w:jc w:val="center"/>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eqi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G</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p</m:t>
            </m:r>
            <m:ctrlPr>
              <w:rPr>
                <w:rFonts w:ascii="Cambria Math" w:hAnsi="Cambria Math" w:cs="Times New Roman"/>
                <w:i/>
                <w:color w:val="000000" w:themeColor="text1"/>
                <w:szCs w:val="21"/>
                <w14:textFill>
                  <w14:solidFill>
                    <w14:schemeClr w14:val="tx1"/>
                  </w14:solidFill>
                </w14:textFill>
              </w:rPr>
            </m:ctrlPr>
          </m:sub>
        </m:sSub>
        <m:r>
          <m:rPr/>
          <w:rPr>
            <w:rFonts w:ascii="Cambria Math" w:hAnsi="Cambria Math" w:cs="Times New Roman"/>
            <w:color w:val="000000" w:themeColor="text1"/>
            <w:szCs w:val="21"/>
            <w14:textFill>
              <w14:solidFill>
                <w14:schemeClr w14:val="tx1"/>
              </w14:solidFill>
            </w14:textFill>
          </w:rPr>
          <m:t>)</m:t>
        </m:r>
      </m:oMath>
      <w:r>
        <w:rPr>
          <w:rFonts w:hint="eastAsia"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1.2</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式中：</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eqi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——转换后的上段桩第i级等效荷载；</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α</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u</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——负摩阻力转换为正摩阻力的转换系数；</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Q</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i</m:t>
            </m:r>
            <m:ctrlPr>
              <w:rPr>
                <w:rFonts w:ascii="Cambria Math" w:hAnsi="Cambria Math" w:cs="Times New Roman"/>
                <w:i/>
                <w:color w:val="000000" w:themeColor="text1"/>
                <w:szCs w:val="21"/>
                <w14:textFill>
                  <w14:solidFill>
                    <w14:schemeClr w14:val="tx1"/>
                  </w14:solidFill>
                </w14:textFill>
              </w:rPr>
            </m:ctrlPr>
          </m:sub>
        </m:sSub>
      </m:oMath>
      <w:r>
        <w:rPr>
          <w:rFonts w:hint="eastAsia" w:ascii="Times New Roman" w:hAnsi="Times New Roman" w:cs="Times New Roman"/>
          <w:color w:val="000000" w:themeColor="text1"/>
          <w:szCs w:val="21"/>
          <w14:textFill>
            <w14:solidFill>
              <w14:schemeClr w14:val="tx1"/>
            </w14:solidFill>
          </w14:textFill>
        </w:rPr>
        <w:t>——自锚试桩记录的第i级荷载；</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m:oMath>
        <m:sSub>
          <m:sSubPr>
            <m:ctrlPr>
              <w:rPr>
                <w:rFonts w:ascii="Cambria Math" w:hAnsi="Cambria Math" w:cs="Times New Roman"/>
                <w:i/>
                <w:color w:val="000000" w:themeColor="text1"/>
                <w:szCs w:val="21"/>
                <w14:textFill>
                  <w14:solidFill>
                    <w14:schemeClr w14:val="tx1"/>
                  </w14:solidFill>
                </w14:textFill>
              </w:rPr>
            </m:ctrlPr>
          </m:sSubPr>
          <m:e>
            <m:r>
              <m:rPr/>
              <w:rPr>
                <w:rFonts w:ascii="Cambria Math" w:hAnsi="Cambria Math" w:cs="Times New Roman"/>
                <w:color w:val="000000" w:themeColor="text1"/>
                <w:szCs w:val="21"/>
                <w14:textFill>
                  <w14:solidFill>
                    <w14:schemeClr w14:val="tx1"/>
                  </w14:solidFill>
                </w14:textFill>
              </w:rPr>
              <m:t>G</m:t>
            </m:r>
            <m:ctrlPr>
              <w:rPr>
                <w:rFonts w:ascii="Cambria Math" w:hAnsi="Cambria Math" w:cs="Times New Roman"/>
                <w:i/>
                <w:color w:val="000000" w:themeColor="text1"/>
                <w:szCs w:val="21"/>
                <w14:textFill>
                  <w14:solidFill>
                    <w14:schemeClr w14:val="tx1"/>
                  </w14:solidFill>
                </w14:textFill>
              </w:rPr>
            </m:ctrlPr>
          </m:e>
          <m:sub>
            <m:r>
              <m:rPr>
                <m:sty m:val="p"/>
              </m:rPr>
              <w:rPr>
                <w:rFonts w:ascii="Cambria Math" w:hAnsi="Cambria Math" w:cs="Times New Roman"/>
                <w:color w:val="000000" w:themeColor="text1"/>
                <w:szCs w:val="21"/>
                <w14:textFill>
                  <w14:solidFill>
                    <w14:schemeClr w14:val="tx1"/>
                  </w14:solidFill>
                </w14:textFill>
              </w:rPr>
              <m:t>p</m:t>
            </m:r>
            <m:ctrlPr>
              <w:rPr>
                <w:rFonts w:ascii="Cambria Math" w:hAnsi="Cambria Math" w:cs="Times New Roman"/>
                <w:i/>
                <w:color w:val="000000" w:themeColor="text1"/>
                <w:szCs w:val="21"/>
                <w14:textFill>
                  <w14:solidFill>
                    <w14:schemeClr w14:val="tx1"/>
                  </w14:solidFill>
                </w14:textFill>
              </w:rPr>
            </m:ctrlPr>
          </m:sub>
        </m:sSub>
        <m:r>
          <m:rPr/>
          <w:rPr>
            <w:rFonts w:hint="eastAsia" w:ascii="Cambria Math" w:hAnsi="Cambria Math" w:cs="Times New Roman"/>
            <w:color w:val="000000" w:themeColor="text1"/>
            <w:szCs w:val="21"/>
            <w14:textFill>
              <w14:solidFill>
                <w14:schemeClr w14:val="tx1"/>
              </w14:solidFill>
            </w14:textFill>
          </w:rPr>
          <m:t>——</m:t>
        </m:r>
      </m:oMath>
      <w:r>
        <w:rPr>
          <w:rFonts w:hint="eastAsia" w:ascii="Times New Roman" w:hAnsi="Times New Roman" w:cs="Times New Roman"/>
          <w:color w:val="000000" w:themeColor="text1"/>
          <w:szCs w:val="21"/>
          <w14:textFill>
            <w14:solidFill>
              <w14:schemeClr w14:val="tx1"/>
            </w14:solidFill>
          </w14:textFill>
        </w:rPr>
        <w:t>上段桩的自重。</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i/>
          <w:iCs/>
          <w:color w:val="000000" w:themeColor="text1"/>
          <w:szCs w:val="21"/>
          <w14:textFill>
            <w14:solidFill>
              <w14:schemeClr w14:val="tx1"/>
            </w14:solidFill>
          </w14:textFill>
        </w:rPr>
        <w:t>G</w:t>
      </w:r>
      <w:r>
        <w:rPr>
          <w:rFonts w:ascii="Times New Roman" w:hAnsi="Times New Roman" w:cs="Times New Roman"/>
          <w:iCs/>
          <w:color w:val="000000" w:themeColor="text1"/>
          <w:szCs w:val="21"/>
          <w:vertAlign w:val="subscript"/>
          <w14:textFill>
            <w14:solidFill>
              <w14:schemeClr w14:val="tx1"/>
            </w14:solidFill>
          </w14:textFill>
        </w:rPr>
        <w:t>p</w:t>
      </w:r>
      <w:r>
        <w:rPr>
          <w:rFonts w:ascii="Times New Roman" w:hAnsi="Times New Roman" w:cs="Times New Roman"/>
          <w:iCs/>
          <w:color w:val="000000" w:themeColor="text1"/>
          <w:szCs w:val="21"/>
          <w14:textFill>
            <w14:solidFill>
              <w14:schemeClr w14:val="tx1"/>
            </w14:solidFill>
          </w14:textFill>
        </w:rPr>
        <w:t>=60 N，</w:t>
      </w:r>
      <w:r>
        <w:rPr>
          <w:rFonts w:hint="eastAsia" w:ascii="Times New Roman" w:hAnsi="Times New Roman" w:cs="Times New Roman"/>
          <w:i/>
          <w:iCs/>
          <w:color w:val="000000" w:themeColor="text1"/>
          <w:szCs w:val="21"/>
          <w14:textFill>
            <w14:solidFill>
              <w14:schemeClr w14:val="tx1"/>
            </w14:solidFill>
          </w14:textFill>
        </w:rPr>
        <w:t>α</w:t>
      </w:r>
      <w:r>
        <w:rPr>
          <w:rFonts w:ascii="Times New Roman" w:hAnsi="Times New Roman" w:cs="Times New Roman"/>
          <w:color w:val="000000" w:themeColor="text1"/>
          <w:szCs w:val="21"/>
          <w:vertAlign w:val="subscript"/>
          <w14:textFill>
            <w14:solidFill>
              <w14:schemeClr w14:val="tx1"/>
            </w14:solidFill>
          </w14:textFill>
        </w:rPr>
        <w:t>u</w:t>
      </w:r>
      <w:r>
        <w:rPr>
          <w:rFonts w:ascii="Times New Roman" w:hAnsi="Times New Roman" w:cs="Times New Roman"/>
          <w:color w:val="000000" w:themeColor="text1"/>
          <w:szCs w:val="21"/>
          <w14:textFill>
            <w14:solidFill>
              <w14:schemeClr w14:val="tx1"/>
            </w14:solidFill>
          </w14:textFill>
        </w:rPr>
        <w:t>=1.25</w:t>
      </w:r>
      <w:r>
        <w:rPr>
          <w:rFonts w:hint="eastAsia" w:ascii="Times New Roman" w:hAnsi="Times New Roman" w:cs="Times New Roman"/>
          <w:color w:val="000000" w:themeColor="text1"/>
          <w:szCs w:val="21"/>
          <w14:textFill>
            <w14:solidFill>
              <w14:schemeClr w14:val="tx1"/>
            </w14:solidFill>
          </w14:textFill>
        </w:rPr>
        <w:t>，上段抗拔桩转换为抗压桩的荷载见表D.</w:t>
      </w:r>
      <w:r>
        <w:rPr>
          <w:rFonts w:ascii="Times New Roman" w:hAnsi="Times New Roman" w:cs="Times New Roman"/>
          <w:color w:val="000000" w:themeColor="text1"/>
          <w:szCs w:val="21"/>
          <w14:textFill>
            <w14:solidFill>
              <w14:schemeClr w14:val="tx1"/>
            </w14:solidFill>
          </w14:textFill>
        </w:rPr>
        <w:t>1.2-1</w:t>
      </w:r>
      <w:r>
        <w:rPr>
          <w:rFonts w:hint="eastAsia" w:ascii="Times New Roman" w:hAnsi="Times New Roman" w:cs="Times New Roman"/>
          <w:color w:val="000000" w:themeColor="text1"/>
          <w:szCs w:val="21"/>
          <w14:textFill>
            <w14:solidFill>
              <w14:schemeClr w14:val="tx1"/>
            </w14:solidFill>
          </w14:textFill>
        </w:rPr>
        <w:t>。</w:t>
      </w: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表D.</w:t>
      </w:r>
      <w:r>
        <w:rPr>
          <w:rFonts w:ascii="Times New Roman" w:hAnsi="Times New Roman" w:cs="Times New Roman"/>
          <w:color w:val="000000" w:themeColor="text1"/>
          <w:szCs w:val="21"/>
          <w14:textFill>
            <w14:solidFill>
              <w14:schemeClr w14:val="tx1"/>
            </w14:solidFill>
          </w14:textFill>
        </w:rPr>
        <w:t xml:space="preserve">1.2-1 </w:t>
      </w:r>
      <w:r>
        <w:rPr>
          <w:rFonts w:hint="eastAsia" w:ascii="Times New Roman" w:hAnsi="Times New Roman" w:cs="Times New Roman"/>
          <w:color w:val="000000" w:themeColor="text1"/>
          <w:szCs w:val="21"/>
          <w14:textFill>
            <w14:solidFill>
              <w14:schemeClr w14:val="tx1"/>
            </w14:solidFill>
          </w14:textFill>
        </w:rPr>
        <w:t>承载力转换</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850"/>
        <w:gridCol w:w="712"/>
        <w:gridCol w:w="709"/>
        <w:gridCol w:w="992"/>
        <w:gridCol w:w="1134"/>
        <w:gridCol w:w="1026"/>
        <w:gridCol w:w="959"/>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Q</w:t>
            </w:r>
            <w:r>
              <w:rPr>
                <w:rFonts w:hint="eastAsia" w:ascii="Times New Roman" w:hAnsi="Times New Roman" w:cs="Times New Roman"/>
                <w:color w:val="000000" w:themeColor="text1"/>
                <w:szCs w:val="21"/>
                <w:vertAlign w:val="subscript"/>
                <w14:textFill>
                  <w14:solidFill>
                    <w14:schemeClr w14:val="tx1"/>
                  </w14:solidFill>
                </w14:textFill>
              </w:rPr>
              <w:t>i</w:t>
            </w:r>
            <w:r>
              <w:rPr>
                <w:rFonts w:hint="eastAsia" w:ascii="Times New Roman" w:hAnsi="Times New Roman" w:cs="Times New Roman"/>
                <w:color w:val="000000" w:themeColor="text1"/>
                <w:szCs w:val="21"/>
                <w14:textFill>
                  <w14:solidFill>
                    <w14:schemeClr w14:val="tx1"/>
                  </w14:solidFill>
                </w14:textFill>
              </w:rPr>
              <w:t>/N</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G</w:t>
            </w:r>
            <w:r>
              <w:rPr>
                <w:rFonts w:hint="eastAsia" w:ascii="Times New Roman" w:hAnsi="Times New Roman" w:cs="Times New Roman"/>
                <w:color w:val="000000" w:themeColor="text1"/>
                <w:szCs w:val="21"/>
                <w:vertAlign w:val="subscript"/>
                <w14:textFill>
                  <w14:solidFill>
                    <w14:schemeClr w14:val="tx1"/>
                  </w14:solidFill>
                </w14:textFill>
              </w:rPr>
              <w:t>p</w:t>
            </w:r>
            <w:r>
              <w:rPr>
                <w:rFonts w:hint="eastAsia" w:ascii="Times New Roman" w:hAnsi="Times New Roman" w:cs="Times New Roman"/>
                <w:color w:val="000000" w:themeColor="text1"/>
                <w:szCs w:val="21"/>
                <w14:textFill>
                  <w14:solidFill>
                    <w14:schemeClr w14:val="tx1"/>
                  </w14:solidFill>
                </w14:textFill>
              </w:rPr>
              <w:t>/N</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α</w:t>
            </w:r>
            <w:r>
              <w:rPr>
                <w:rFonts w:hint="eastAsia" w:ascii="Times New Roman" w:hAnsi="Times New Roman" w:cs="Times New Roman"/>
                <w:color w:val="000000" w:themeColor="text1"/>
                <w:szCs w:val="21"/>
                <w:vertAlign w:val="subscript"/>
                <w14:textFill>
                  <w14:solidFill>
                    <w14:schemeClr w14:val="tx1"/>
                  </w14:solidFill>
                </w14:textFill>
              </w:rPr>
              <w:t>u</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β</w:t>
            </w:r>
            <w:r>
              <w:rPr>
                <w:rFonts w:hint="eastAsia" w:ascii="Times New Roman" w:hAnsi="Times New Roman" w:cs="Times New Roman"/>
                <w:color w:val="000000" w:themeColor="text1"/>
                <w:szCs w:val="21"/>
                <w:vertAlign w:val="subscript"/>
                <w14:textFill>
                  <w14:solidFill>
                    <w14:schemeClr w14:val="tx1"/>
                  </w14:solidFill>
                </w14:textFill>
              </w:rPr>
              <w:t>u</w:t>
            </w:r>
          </w:p>
        </w:tc>
        <w:tc>
          <w:tcPr>
            <w:tcW w:w="99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Q</w:t>
            </w:r>
            <w:r>
              <w:rPr>
                <w:rFonts w:ascii="Times New Roman" w:hAnsi="Times New Roman" w:cs="Times New Roman"/>
                <w:color w:val="000000" w:themeColor="text1"/>
                <w:szCs w:val="21"/>
                <w:vertAlign w:val="subscript"/>
                <w14:textFill>
                  <w14:solidFill>
                    <w14:schemeClr w14:val="tx1"/>
                  </w14:solidFill>
                </w14:textFill>
              </w:rPr>
              <w:t>eqi</w:t>
            </w:r>
            <w:r>
              <w:rPr>
                <w:rFonts w:hint="eastAsia" w:ascii="Times New Roman" w:hAnsi="Times New Roman" w:cs="Times New Roman"/>
                <w:color w:val="000000" w:themeColor="text1"/>
                <w:szCs w:val="21"/>
                <w14:textFill>
                  <w14:solidFill>
                    <w14:schemeClr w14:val="tx1"/>
                  </w14:solidFill>
                </w14:textFill>
              </w:rPr>
              <w:t>/N</w:t>
            </w:r>
          </w:p>
        </w:tc>
        <w:tc>
          <w:tcPr>
            <w:tcW w:w="1134" w:type="dxa"/>
          </w:tcPr>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s</w:t>
            </w:r>
            <w:r>
              <w:rPr>
                <w:color w:val="000000" w:themeColor="text1"/>
                <w:vertAlign w:val="subscript"/>
                <w14:textFill>
                  <w14:solidFill>
                    <w14:schemeClr w14:val="tx1"/>
                  </w14:solidFill>
                </w14:textFill>
              </w:rPr>
              <w:t>eqi</w:t>
            </w:r>
            <w:r>
              <w:rPr>
                <w:color w:val="000000" w:themeColor="text1"/>
                <w14:textFill>
                  <w14:solidFill>
                    <w14:schemeClr w14:val="tx1"/>
                  </w14:solidFill>
                </w14:textFill>
              </w:rPr>
              <w:t>/mm</w:t>
            </w:r>
          </w:p>
        </w:tc>
        <w:tc>
          <w:tcPr>
            <w:tcW w:w="1026" w:type="dxa"/>
          </w:tcPr>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s</w:t>
            </w:r>
            <w:r>
              <w:rPr>
                <w:color w:val="000000" w:themeColor="text1"/>
                <w:vertAlign w:val="subscript"/>
                <w14:textFill>
                  <w14:solidFill>
                    <w14:schemeClr w14:val="tx1"/>
                  </w14:solidFill>
                </w14:textFill>
              </w:rPr>
              <w:t>di</w:t>
            </w:r>
            <w:r>
              <w:rPr>
                <w:color w:val="000000" w:themeColor="text1"/>
                <w14:textFill>
                  <w14:solidFill>
                    <w14:schemeClr w14:val="tx1"/>
                  </w14:solidFill>
                </w14:textFill>
              </w:rPr>
              <w:t>/mm</w:t>
            </w:r>
          </w:p>
        </w:tc>
        <w:tc>
          <w:tcPr>
            <w:tcW w:w="959" w:type="dxa"/>
          </w:tcPr>
          <w:p>
            <w:pPr>
              <w:spacing w:line="360" w:lineRule="auto"/>
              <w:rPr>
                <w:rFonts w:ascii="Times New Roman" w:hAnsi="Times New Roman" w:cs="Times New Roman"/>
                <w:color w:val="000000" w:themeColor="text1"/>
                <w:szCs w:val="21"/>
                <w14:textFill>
                  <w14:solidFill>
                    <w14:schemeClr w14:val="tx1"/>
                  </w14:solidFill>
                </w14:textFill>
              </w:rPr>
            </w:pPr>
            <w:bookmarkStart w:id="243" w:name="_Hlk153803615"/>
            <w:r>
              <w:rPr>
                <w:color w:val="000000" w:themeColor="text1"/>
                <w14:textFill>
                  <w14:solidFill>
                    <w14:schemeClr w14:val="tx1"/>
                  </w14:solidFill>
                </w14:textFill>
              </w:rPr>
              <w:t>Q</w:t>
            </w:r>
            <w:r>
              <w:rPr>
                <w:color w:val="000000" w:themeColor="text1"/>
                <w:vertAlign w:val="subscript"/>
                <w14:textFill>
                  <w14:solidFill>
                    <w14:schemeClr w14:val="tx1"/>
                  </w14:solidFill>
                </w14:textFill>
              </w:rPr>
              <w:t>whi</w:t>
            </w:r>
            <w:bookmarkEnd w:id="243"/>
            <w:r>
              <w:rPr>
                <w:color w:val="000000" w:themeColor="text1"/>
                <w14:textFill>
                  <w14:solidFill>
                    <w14:schemeClr w14:val="tx1"/>
                  </w14:solidFill>
                </w14:textFill>
              </w:rPr>
              <w:t>/N</w:t>
            </w:r>
          </w:p>
        </w:tc>
        <w:tc>
          <w:tcPr>
            <w:tcW w:w="1071" w:type="dxa"/>
          </w:tcPr>
          <w:p>
            <w:pPr>
              <w:spacing w:line="360" w:lineRule="auto"/>
              <w:rPr>
                <w:color w:val="000000" w:themeColor="text1"/>
                <w14:textFill>
                  <w14:solidFill>
                    <w14:schemeClr w14:val="tx1"/>
                  </w14:solidFill>
                </w14:textFill>
              </w:rPr>
            </w:pPr>
            <w:bookmarkStart w:id="244" w:name="_Hlk153803629"/>
            <w:r>
              <w:rPr>
                <w:color w:val="000000" w:themeColor="text1"/>
                <w14:textFill>
                  <w14:solidFill>
                    <w14:schemeClr w14:val="tx1"/>
                  </w14:solidFill>
                </w14:textFill>
              </w:rPr>
              <w:t>s</w:t>
            </w:r>
            <w:r>
              <w:rPr>
                <w:color w:val="000000" w:themeColor="text1"/>
                <w:vertAlign w:val="subscript"/>
                <w14:textFill>
                  <w14:solidFill>
                    <w14:schemeClr w14:val="tx1"/>
                  </w14:solidFill>
                </w14:textFill>
              </w:rPr>
              <w:t>whi</w:t>
            </w:r>
            <w:bookmarkEnd w:id="244"/>
            <w:r>
              <w:rPr>
                <w:color w:val="000000" w:themeColor="text1"/>
                <w14:textFill>
                  <w14:solidFill>
                    <w14:schemeClr w14:val="tx1"/>
                  </w14:solidFill>
                </w14:textFill>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0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0.00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0.00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175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0.03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0.04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375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300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0.13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0.08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600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425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0.26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0.14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825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0.40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500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550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0.38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0.29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1050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675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0.51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0.44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1275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0.95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700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800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0.67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0.59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1500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800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925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0.83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0.75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1725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1.58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900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1050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1.04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0.92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1950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1.96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1000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1175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1.23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1.12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2175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1100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1300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1.41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1.40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2400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2.81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1425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1.62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1.73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2625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1300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1550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1.82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2.42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2850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4.24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3"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1400</w:t>
            </w:r>
          </w:p>
        </w:tc>
        <w:tc>
          <w:tcPr>
            <w:tcW w:w="850"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712"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1.25</w:t>
            </w:r>
          </w:p>
        </w:tc>
        <w:tc>
          <w:tcPr>
            <w:tcW w:w="709" w:type="dxa"/>
            <w:noWrap/>
          </w:tcPr>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1.6</w:t>
            </w:r>
          </w:p>
        </w:tc>
        <w:tc>
          <w:tcPr>
            <w:tcW w:w="992" w:type="dxa"/>
            <w:noWrap/>
          </w:tcPr>
          <w:p>
            <w:pPr>
              <w:spacing w:line="360" w:lineRule="auto"/>
              <w:jc w:val="center"/>
              <w:rPr>
                <w:rFonts w:ascii="Times New Roman" w:hAnsi="Times New Roman" w:cs="Times New Roman"/>
                <w:color w:val="000000" w:themeColor="text1"/>
                <w:szCs w:val="21"/>
                <w14:textFill>
                  <w14:solidFill>
                    <w14:schemeClr w14:val="tx1"/>
                  </w14:solidFill>
                </w14:textFill>
              </w:rPr>
            </w:pPr>
            <w:r>
              <w:rPr>
                <w:color w:val="000000" w:themeColor="text1"/>
                <w14:textFill>
                  <w14:solidFill>
                    <w14:schemeClr w14:val="tx1"/>
                  </w14:solidFill>
                </w14:textFill>
              </w:rPr>
              <w:t xml:space="preserve">1675 </w:t>
            </w:r>
          </w:p>
        </w:tc>
        <w:tc>
          <w:tcPr>
            <w:tcW w:w="1134"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3.20 </w:t>
            </w:r>
          </w:p>
        </w:tc>
        <w:tc>
          <w:tcPr>
            <w:tcW w:w="1026"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4.13 </w:t>
            </w:r>
          </w:p>
        </w:tc>
        <w:tc>
          <w:tcPr>
            <w:tcW w:w="959"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3075 </w:t>
            </w:r>
          </w:p>
        </w:tc>
        <w:tc>
          <w:tcPr>
            <w:tcW w:w="1071" w:type="dxa"/>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 xml:space="preserve">7.33 </w:t>
            </w:r>
          </w:p>
        </w:tc>
      </w:tr>
    </w:tbl>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 xml:space="preserve">.1.3 </w:t>
      </w:r>
      <w:r>
        <w:rPr>
          <w:rFonts w:hint="eastAsia" w:ascii="Times New Roman" w:hAnsi="Times New Roman" w:cs="Times New Roman"/>
          <w:color w:val="000000" w:themeColor="text1"/>
          <w:szCs w:val="21"/>
          <w14:textFill>
            <w14:solidFill>
              <w14:schemeClr w14:val="tx1"/>
            </w14:solidFill>
          </w14:textFill>
        </w:rPr>
        <w:t>上、下段桩荷载转换为抗压完整桩荷载</w:t>
      </w:r>
    </w:p>
    <w:p>
      <w:pPr>
        <w:spacing w:line="360" w:lineRule="auto"/>
        <w:ind w:firstLine="420" w:firstLineChars="200"/>
        <w:rPr>
          <w:rFonts w:ascii="Times New Roman" w:hAnsi="Times New Roman" w:cs="Times New Roman"/>
          <w:iCs/>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自锚试桩第i级荷载</w:t>
      </w:r>
      <w:r>
        <w:rPr>
          <w:rFonts w:ascii="Times New Roman" w:hAnsi="Times New Roman" w:cs="Times New Roman"/>
          <w:i/>
          <w:color w:val="000000" w:themeColor="text1"/>
          <w:szCs w:val="21"/>
          <w14:textFill>
            <w14:solidFill>
              <w14:schemeClr w14:val="tx1"/>
            </w14:solidFill>
          </w14:textFill>
        </w:rPr>
        <w:t>Q</w:t>
      </w:r>
      <w:r>
        <w:rPr>
          <w:rFonts w:ascii="Times New Roman" w:hAnsi="Times New Roman" w:cs="Times New Roman"/>
          <w:color w:val="000000" w:themeColor="text1"/>
          <w:szCs w:val="21"/>
          <w:vertAlign w:val="subscript"/>
          <w14:textFill>
            <w14:solidFill>
              <w14:schemeClr w14:val="tx1"/>
            </w14:solidFill>
          </w14:textFill>
        </w:rPr>
        <w:t>i</w:t>
      </w:r>
      <w:r>
        <w:rPr>
          <w:rFonts w:ascii="Times New Roman" w:hAnsi="Times New Roman" w:cs="Times New Roman"/>
          <w:iCs/>
          <w:color w:val="000000" w:themeColor="text1"/>
          <w:szCs w:val="21"/>
          <w14:textFill>
            <w14:solidFill>
              <w14:schemeClr w14:val="tx1"/>
            </w14:solidFill>
          </w14:textFill>
        </w:rPr>
        <w:t>同时作用在上段桩的桩顶和下段桩的桩顶，</w:t>
      </w:r>
      <w:r>
        <w:rPr>
          <w:rFonts w:hint="eastAsia" w:ascii="Times New Roman" w:hAnsi="Times New Roman" w:cs="Times New Roman"/>
          <w:iCs/>
          <w:color w:val="000000" w:themeColor="text1"/>
          <w:szCs w:val="21"/>
          <w14:textFill>
            <w14:solidFill>
              <w14:schemeClr w14:val="tx1"/>
            </w14:solidFill>
          </w14:textFill>
        </w:rPr>
        <w:t>完</w:t>
      </w:r>
      <w:r>
        <w:rPr>
          <w:rFonts w:ascii="Times New Roman" w:hAnsi="Times New Roman" w:cs="Times New Roman"/>
          <w:iCs/>
          <w:color w:val="000000" w:themeColor="text1"/>
          <w:szCs w:val="21"/>
          <w14:textFill>
            <w14:solidFill>
              <w14:schemeClr w14:val="tx1"/>
            </w14:solidFill>
          </w14:textFill>
        </w:rPr>
        <w:t>整桩</w:t>
      </w:r>
      <w:r>
        <w:rPr>
          <w:rFonts w:hint="eastAsia" w:ascii="Times New Roman" w:hAnsi="Times New Roman" w:cs="Times New Roman"/>
          <w:iCs/>
          <w:color w:val="000000" w:themeColor="text1"/>
          <w:szCs w:val="21"/>
          <w14:textFill>
            <w14:solidFill>
              <w14:schemeClr w14:val="tx1"/>
            </w14:solidFill>
          </w14:textFill>
        </w:rPr>
        <w:t>则</w:t>
      </w:r>
      <w:r>
        <w:rPr>
          <w:rFonts w:ascii="Times New Roman" w:hAnsi="Times New Roman" w:cs="Times New Roman"/>
          <w:iCs/>
          <w:color w:val="000000" w:themeColor="text1"/>
          <w:szCs w:val="21"/>
          <w14:textFill>
            <w14:solidFill>
              <w14:schemeClr w14:val="tx1"/>
            </w14:solidFill>
          </w14:textFill>
        </w:rPr>
        <w:t>由上段桩与下段桩构成，因此完整桩荷载亦由上</w:t>
      </w:r>
      <w:r>
        <w:rPr>
          <w:rFonts w:hint="eastAsia" w:ascii="Times New Roman" w:hAnsi="Times New Roman" w:cs="Times New Roman"/>
          <w:iCs/>
          <w:color w:val="000000" w:themeColor="text1"/>
          <w:szCs w:val="21"/>
          <w14:textFill>
            <w14:solidFill>
              <w14:schemeClr w14:val="tx1"/>
            </w14:solidFill>
          </w14:textFill>
        </w:rPr>
        <w:t>段桩</w:t>
      </w:r>
      <w:r>
        <w:rPr>
          <w:rFonts w:ascii="Times New Roman" w:hAnsi="Times New Roman" w:cs="Times New Roman"/>
          <w:iCs/>
          <w:color w:val="000000" w:themeColor="text1"/>
          <w:szCs w:val="21"/>
          <w14:textFill>
            <w14:solidFill>
              <w14:schemeClr w14:val="tx1"/>
            </w14:solidFill>
          </w14:textFill>
        </w:rPr>
        <w:t>、下段桩的荷载构成。由于自锚试桩的下段桩为</w:t>
      </w:r>
      <w:r>
        <w:rPr>
          <w:rFonts w:hint="eastAsia" w:ascii="Times New Roman" w:hAnsi="Times New Roman" w:cs="Times New Roman"/>
          <w:iCs/>
          <w:color w:val="000000" w:themeColor="text1"/>
          <w:szCs w:val="21"/>
          <w14:textFill>
            <w14:solidFill>
              <w14:schemeClr w14:val="tx1"/>
            </w14:solidFill>
          </w14:textFill>
        </w:rPr>
        <w:t>抗压</w:t>
      </w:r>
      <w:r>
        <w:rPr>
          <w:rFonts w:ascii="Times New Roman" w:hAnsi="Times New Roman" w:cs="Times New Roman"/>
          <w:iCs/>
          <w:color w:val="000000" w:themeColor="text1"/>
          <w:szCs w:val="21"/>
          <w14:textFill>
            <w14:solidFill>
              <w14:schemeClr w14:val="tx1"/>
            </w14:solidFill>
          </w14:textFill>
        </w:rPr>
        <w:t>桩，下段桩不需要进行荷载转换，这样，</w:t>
      </w:r>
      <w:bookmarkStart w:id="245" w:name="_Hlk65596451"/>
      <w:r>
        <w:rPr>
          <w:rFonts w:ascii="Times New Roman" w:hAnsi="Times New Roman" w:cs="Times New Roman"/>
          <w:iCs/>
          <w:color w:val="000000" w:themeColor="text1"/>
          <w:szCs w:val="21"/>
          <w14:textFill>
            <w14:solidFill>
              <w14:schemeClr w14:val="tx1"/>
            </w14:solidFill>
          </w14:textFill>
        </w:rPr>
        <w:t>自锚试桩转换为</w:t>
      </w:r>
      <w:r>
        <w:rPr>
          <w:rFonts w:hint="eastAsia" w:ascii="Times New Roman" w:hAnsi="Times New Roman" w:cs="Times New Roman"/>
          <w:iCs/>
          <w:color w:val="000000" w:themeColor="text1"/>
          <w:szCs w:val="21"/>
          <w14:textFill>
            <w14:solidFill>
              <w14:schemeClr w14:val="tx1"/>
            </w14:solidFill>
          </w14:textFill>
        </w:rPr>
        <w:t>抗</w:t>
      </w:r>
      <w:r>
        <w:rPr>
          <w:rFonts w:ascii="Times New Roman" w:hAnsi="Times New Roman" w:cs="Times New Roman"/>
          <w:iCs/>
          <w:color w:val="000000" w:themeColor="text1"/>
          <w:szCs w:val="21"/>
          <w14:textFill>
            <w14:solidFill>
              <w14:schemeClr w14:val="tx1"/>
            </w14:solidFill>
          </w14:textFill>
        </w:rPr>
        <w:t>压完整桩荷载</w:t>
      </w:r>
      <w:r>
        <w:rPr>
          <w:rFonts w:ascii="Times New Roman" w:hAnsi="Times New Roman" w:cs="Times New Roman"/>
          <w:i/>
          <w:color w:val="000000" w:themeColor="text1"/>
          <w:szCs w:val="21"/>
          <w14:textFill>
            <w14:solidFill>
              <w14:schemeClr w14:val="tx1"/>
            </w14:solidFill>
          </w14:textFill>
        </w:rPr>
        <w:t>Q</w:t>
      </w:r>
      <w:r>
        <w:rPr>
          <w:rFonts w:ascii="Times New Roman" w:hAnsi="Times New Roman" w:cs="Times New Roman"/>
          <w:color w:val="000000" w:themeColor="text1"/>
          <w:szCs w:val="21"/>
          <w:vertAlign w:val="subscript"/>
          <w14:textFill>
            <w14:solidFill>
              <w14:schemeClr w14:val="tx1"/>
            </w14:solidFill>
          </w14:textFill>
        </w:rPr>
        <w:t>whi</w:t>
      </w:r>
      <w:r>
        <w:rPr>
          <w:rFonts w:ascii="Times New Roman" w:hAnsi="Times New Roman" w:cs="Times New Roman"/>
          <w:iCs/>
          <w:color w:val="000000" w:themeColor="text1"/>
          <w:szCs w:val="21"/>
          <w14:textFill>
            <w14:solidFill>
              <w14:schemeClr w14:val="tx1"/>
            </w14:solidFill>
          </w14:textFill>
        </w:rPr>
        <w:t>按下式计算</w:t>
      </w:r>
      <w:bookmarkEnd w:id="245"/>
      <w:r>
        <w:rPr>
          <w:rFonts w:ascii="Times New Roman" w:hAnsi="Times New Roman" w:cs="Times New Roman"/>
          <w:iCs/>
          <w:color w:val="000000" w:themeColor="text1"/>
          <w:szCs w:val="21"/>
          <w14:textFill>
            <w14:solidFill>
              <w14:schemeClr w14:val="tx1"/>
            </w14:solidFill>
          </w14:textFill>
        </w:rPr>
        <w:t>：</w:t>
      </w:r>
    </w:p>
    <w:p>
      <w:pPr>
        <w:spacing w:line="360" w:lineRule="auto"/>
        <w:jc w:val="center"/>
        <w:rPr>
          <w:rFonts w:ascii="Times New Roman" w:hAnsi="Times New Roman" w:cs="Times New Roman"/>
          <w:color w:val="000000" w:themeColor="text1"/>
          <w:szCs w:val="21"/>
          <w14:textFill>
            <w14:solidFill>
              <w14:schemeClr w14:val="tx1"/>
            </w14:solidFill>
          </w14:textFill>
        </w:rPr>
      </w:pPr>
      <m:oMathPara>
        <m:oMath>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iCs/>
                  <w:color w:val="000000" w:themeColor="text1"/>
                  <w:szCs w:val="21"/>
                  <w14:textFill>
                    <w14:solidFill>
                      <w14:schemeClr w14:val="tx1"/>
                    </w14:solidFill>
                  </w14:textFill>
                </w:rPr>
              </m:ctrlPr>
            </m:e>
            <m:sub>
              <m:r>
                <m:rPr>
                  <m:nor/>
                  <m:sty m:val="p"/>
                </m:rPr>
                <w:rPr>
                  <w:rFonts w:ascii="Cambria Math" w:hAnsi="Times New Roman" w:cs="Times New Roman"/>
                  <w:b w:val="0"/>
                  <w:i w:val="0"/>
                  <w:iCs/>
                  <w:color w:val="000000" w:themeColor="text1"/>
                  <w:szCs w:val="21"/>
                  <w14:textFill>
                    <w14:solidFill>
                      <w14:schemeClr w14:val="tx1"/>
                    </w14:solidFill>
                  </w14:textFill>
                </w:rPr>
                <m:t>whi</m:t>
              </m:r>
              <m:ctrlPr>
                <w:rPr>
                  <w:rFonts w:ascii="Cambria Math" w:hAnsi="Times New Roman" w:cs="Times New Roman"/>
                  <w:iCs/>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iCs/>
                  <w:color w:val="000000" w:themeColor="text1"/>
                  <w:szCs w:val="21"/>
                  <w14:textFill>
                    <w14:solidFill>
                      <w14:schemeClr w14:val="tx1"/>
                    </w14:solidFill>
                  </w14:textFill>
                </w:rPr>
              </m:ctrlPr>
            </m:e>
            <m:sub>
              <m:r>
                <m:rPr>
                  <m:nor/>
                  <m:sty m:val="p"/>
                </m:rPr>
                <w:rPr>
                  <w:rFonts w:ascii="Cambria Math" w:hAnsi="Times New Roman" w:cs="Times New Roman"/>
                  <w:b w:val="0"/>
                  <w:i w:val="0"/>
                  <w:iCs/>
                  <w:color w:val="000000" w:themeColor="text1"/>
                  <w:szCs w:val="21"/>
                  <w14:textFill>
                    <w14:solidFill>
                      <w14:schemeClr w14:val="tx1"/>
                    </w14:solidFill>
                  </w14:textFill>
                </w:rPr>
                <m:t>eqi</m:t>
              </m:r>
              <m:ctrlPr>
                <w:rPr>
                  <w:rFonts w:ascii="Cambria Math" w:hAnsi="Times New Roman" w:cs="Times New Roman"/>
                  <w:iCs/>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iCs/>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i</m:t>
              </m:r>
              <m:ctrlPr>
                <w:rPr>
                  <w:rFonts w:ascii="Cambria Math" w:hAnsi="Times New Roman" w:cs="Times New Roman"/>
                  <w:i/>
                  <w:iCs/>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α</m:t>
              </m:r>
              <m:ctrlPr>
                <w:rPr>
                  <w:rFonts w:ascii="Cambria Math" w:hAnsi="Times New Roman" w:cs="Times New Roman"/>
                  <w:i/>
                  <w:iCs/>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iCs/>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iCs/>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i</m:t>
              </m:r>
              <m:ctrlPr>
                <w:rPr>
                  <w:rFonts w:ascii="Cambria Math" w:hAnsi="Times New Roman" w:cs="Times New Roman"/>
                  <w:i/>
                  <w:iCs/>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G</m:t>
              </m:r>
              <m:ctrlPr>
                <w:rPr>
                  <w:rFonts w:ascii="Cambria Math" w:hAnsi="Times New Roman" w:cs="Times New Roman"/>
                  <w:i/>
                  <w:iCs/>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p</m:t>
              </m:r>
              <m:ctrlPr>
                <w:rPr>
                  <w:rFonts w:ascii="Cambria Math" w:hAnsi="Times New Roman" w:cs="Times New Roman"/>
                  <w:i/>
                  <w:iCs/>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iCs/>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i</m:t>
              </m:r>
              <m:ctrlPr>
                <w:rPr>
                  <w:rFonts w:ascii="Cambria Math" w:hAnsi="Times New Roman" w:cs="Times New Roman"/>
                  <w:i/>
                  <w:iCs/>
                  <w:color w:val="000000" w:themeColor="text1"/>
                  <w:szCs w:val="21"/>
                  <w14:textFill>
                    <w14:solidFill>
                      <w14:schemeClr w14:val="tx1"/>
                    </w14:solidFill>
                  </w14:textFill>
                </w:rPr>
              </m:ctrlPr>
            </m:sub>
          </m:sSub>
          <m:r>
            <m:rPr>
              <m:sty m:val="p"/>
            </m:rPr>
            <w:rPr>
              <w:rFonts w:ascii="Cambria Math" w:hAnsi="Times New Roman" w:cs="Times New Roman"/>
              <w:color w:val="000000" w:themeColor="text1"/>
              <w:szCs w:val="21"/>
              <w14:textFill>
                <w14:solidFill>
                  <w14:schemeClr w14:val="tx1"/>
                </w14:solidFill>
              </w14:textFill>
            </w:rPr>
            <w:br w:type="textWrapping"/>
          </m:r>
        </m:oMath>
      </m:oMathPara>
      <m:oMath>
        <m:r>
          <m:rPr>
            <m:nor/>
            <m:sty m:val="p"/>
          </m:rPr>
          <w:rPr>
            <w:rFonts w:ascii="Cambria Math" w:hAnsi="Times New Roman" w:cs="Times New Roman"/>
            <w:b w:val="0"/>
            <w:i w:val="0"/>
            <w:iCs/>
            <w:color w:val="000000" w:themeColor="text1"/>
            <w:szCs w:val="21"/>
            <w14:textFill>
              <w14:solidFill>
                <w14:schemeClr w14:val="tx1"/>
              </w14:solidFill>
            </w14:textFill>
          </w:rPr>
          <m:t xml:space="preserve">      =</m:t>
        </m:r>
        <m:r>
          <m:rPr>
            <m:sty m:val="p"/>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α</m:t>
            </m:r>
            <m:ctrlPr>
              <w:rPr>
                <w:rFonts w:ascii="Cambria Math" w:hAnsi="Times New Roman" w:cs="Times New Roman"/>
                <w:iCs/>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iCs/>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+1)</m:t>
        </m:r>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Q</m:t>
            </m:r>
            <m:ctrlPr>
              <w:rPr>
                <w:rFonts w:ascii="Cambria Math" w:hAnsi="Times New Roman" w:cs="Times New Roman"/>
                <w:i/>
                <w:iCs/>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i</m:t>
            </m:r>
            <m:ctrlPr>
              <w:rPr>
                <w:rFonts w:ascii="Cambria Math" w:hAnsi="Times New Roman" w:cs="Times New Roman"/>
                <w:i/>
                <w:iCs/>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α</m:t>
            </m:r>
            <m:ctrlPr>
              <w:rPr>
                <w:rFonts w:ascii="Cambria Math" w:hAnsi="Times New Roman" w:cs="Times New Roman"/>
                <w:i/>
                <w:iCs/>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iCs/>
                <w:color w:val="000000" w:themeColor="text1"/>
                <w:szCs w:val="21"/>
                <w14:textFill>
                  <w14:solidFill>
                    <w14:schemeClr w14:val="tx1"/>
                  </w14:solidFill>
                </w14:textFill>
              </w:rPr>
            </m:ctrlPr>
          </m:sub>
        </m:sSub>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G</m:t>
            </m:r>
            <m:ctrlPr>
              <w:rPr>
                <w:rFonts w:ascii="Cambria Math" w:hAnsi="Times New Roman" w:cs="Times New Roman"/>
                <w:i/>
                <w:iCs/>
                <w:color w:val="000000" w:themeColor="text1"/>
                <w:szCs w:val="21"/>
                <w14:textFill>
                  <w14:solidFill>
                    <w14:schemeClr w14:val="tx1"/>
                  </w14:solidFill>
                </w14:textFill>
              </w:rPr>
            </m:ctrlPr>
          </m:e>
          <m:sub>
            <m:r>
              <m:rPr>
                <m:sty m:val="p"/>
              </m:rPr>
              <w:rPr>
                <w:rFonts w:ascii="Cambria Math" w:hAnsi="Times New Roman" w:cs="Times New Roman"/>
                <w:color w:val="000000" w:themeColor="text1"/>
                <w:szCs w:val="21"/>
                <w14:textFill>
                  <w14:solidFill>
                    <w14:schemeClr w14:val="tx1"/>
                  </w14:solidFill>
                </w14:textFill>
              </w:rPr>
              <m:t>p</m:t>
            </m:r>
            <m:ctrlPr>
              <w:rPr>
                <w:rFonts w:ascii="Cambria Math" w:hAnsi="Times New Roman" w:cs="Times New Roman"/>
                <w:i/>
                <w:iCs/>
                <w:color w:val="000000" w:themeColor="text1"/>
                <w:szCs w:val="21"/>
                <w14:textFill>
                  <w14:solidFill>
                    <w14:schemeClr w14:val="tx1"/>
                  </w14:solidFill>
                </w14:textFill>
              </w:rPr>
            </m:ctrlPr>
          </m:sub>
        </m:sSub>
      </m:oMath>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1.3-1</w:t>
      </w:r>
      <w:r>
        <w:rPr>
          <w:rFonts w:hint="eastAsia" w:ascii="Times New Roman" w:hAnsi="Times New Roman" w:cs="Times New Roman"/>
          <w:color w:val="000000" w:themeColor="text1"/>
          <w:szCs w:val="21"/>
          <w14:textFill>
            <w14:solidFill>
              <w14:schemeClr w14:val="tx1"/>
            </w14:solidFill>
          </w14:textFill>
        </w:rPr>
        <w:t>）</w:t>
      </w:r>
    </w:p>
    <w:p>
      <w:pPr>
        <w:spacing w:line="360" w:lineRule="auto"/>
        <w:ind w:firstLine="43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转换后的完整桩每级荷载</w:t>
      </w:r>
      <w:r>
        <w:rPr>
          <w:color w:val="000000" w:themeColor="text1"/>
          <w14:textFill>
            <w14:solidFill>
              <w14:schemeClr w14:val="tx1"/>
            </w14:solidFill>
          </w14:textFill>
        </w:rPr>
        <w:t>Q</w:t>
      </w:r>
      <w:r>
        <w:rPr>
          <w:color w:val="000000" w:themeColor="text1"/>
          <w:vertAlign w:val="subscript"/>
          <w14:textFill>
            <w14:solidFill>
              <w14:schemeClr w14:val="tx1"/>
            </w14:solidFill>
          </w14:textFill>
        </w:rPr>
        <w:t>whi</w:t>
      </w:r>
      <w:r>
        <w:rPr>
          <w:rFonts w:hint="eastAsia" w:ascii="Times New Roman" w:hAnsi="Times New Roman" w:cs="Times New Roman"/>
          <w:color w:val="000000" w:themeColor="text1"/>
          <w:szCs w:val="21"/>
          <w14:textFill>
            <w14:solidFill>
              <w14:schemeClr w14:val="tx1"/>
            </w14:solidFill>
          </w14:textFill>
        </w:rPr>
        <w:t>列于表D.</w:t>
      </w:r>
      <w:r>
        <w:rPr>
          <w:rFonts w:ascii="Times New Roman" w:hAnsi="Times New Roman" w:cs="Times New Roman"/>
          <w:color w:val="000000" w:themeColor="text1"/>
          <w:szCs w:val="21"/>
          <w14:textFill>
            <w14:solidFill>
              <w14:schemeClr w14:val="tx1"/>
            </w14:solidFill>
          </w14:textFill>
        </w:rPr>
        <w:t>1.2-1</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 xml:space="preserve">.1.4 </w:t>
      </w:r>
      <w:r>
        <w:rPr>
          <w:rFonts w:ascii="Times New Roman" w:hAnsi="Times New Roman" w:cs="Times New Roman"/>
          <w:iCs/>
          <w:color w:val="000000" w:themeColor="text1"/>
          <w:szCs w:val="21"/>
          <w14:textFill>
            <w14:solidFill>
              <w14:schemeClr w14:val="tx1"/>
            </w14:solidFill>
          </w14:textFill>
        </w:rPr>
        <w:t>上段桩</w:t>
      </w:r>
      <w:r>
        <w:rPr>
          <w:rFonts w:hint="eastAsia" w:ascii="Times New Roman" w:hAnsi="Times New Roman" w:cs="Times New Roman"/>
          <w:color w:val="000000" w:themeColor="text1"/>
          <w:szCs w:val="21"/>
          <w14:textFill>
            <w14:solidFill>
              <w14:schemeClr w14:val="tx1"/>
            </w14:solidFill>
          </w14:textFill>
        </w:rPr>
        <w:t>位移转换</w:t>
      </w:r>
    </w:p>
    <w:p>
      <w:pPr>
        <w:spacing w:line="360" w:lineRule="auto"/>
        <w:ind w:firstLine="420" w:firstLineChars="200"/>
        <w:rPr>
          <w:rFonts w:ascii="Times New Roman" w:hAnsi="Times New Roman" w:cs="Times New Roman"/>
          <w:iCs/>
          <w:color w:val="000000" w:themeColor="text1"/>
          <w:szCs w:val="21"/>
          <w14:textFill>
            <w14:solidFill>
              <w14:schemeClr w14:val="tx1"/>
            </w14:solidFill>
          </w14:textFill>
        </w:rPr>
      </w:pPr>
      <w:r>
        <w:rPr>
          <w:rFonts w:ascii="Times New Roman" w:hAnsi="Times New Roman" w:cs="Times New Roman"/>
          <w:iCs/>
          <w:color w:val="000000" w:themeColor="text1"/>
          <w:szCs w:val="21"/>
          <w14:textFill>
            <w14:solidFill>
              <w14:schemeClr w14:val="tx1"/>
            </w14:solidFill>
          </w14:textFill>
        </w:rPr>
        <w:t>自锚试桩上段桩为</w:t>
      </w:r>
      <w:r>
        <w:rPr>
          <w:rFonts w:hint="eastAsia" w:ascii="Times New Roman" w:hAnsi="Times New Roman" w:cs="Times New Roman"/>
          <w:iCs/>
          <w:color w:val="000000" w:themeColor="text1"/>
          <w:szCs w:val="21"/>
          <w14:textFill>
            <w14:solidFill>
              <w14:schemeClr w14:val="tx1"/>
            </w14:solidFill>
          </w14:textFill>
        </w:rPr>
        <w:t>抗拔</w:t>
      </w:r>
      <w:r>
        <w:rPr>
          <w:rFonts w:ascii="Times New Roman" w:hAnsi="Times New Roman" w:cs="Times New Roman"/>
          <w:iCs/>
          <w:color w:val="000000" w:themeColor="text1"/>
          <w:szCs w:val="21"/>
          <w14:textFill>
            <w14:solidFill>
              <w14:schemeClr w14:val="tx1"/>
            </w14:solidFill>
          </w14:textFill>
        </w:rPr>
        <w:t>桩，此处要将自锚</w:t>
      </w:r>
      <w:r>
        <w:rPr>
          <w:rFonts w:hint="eastAsia" w:ascii="Times New Roman" w:hAnsi="Times New Roman" w:cs="Times New Roman"/>
          <w:iCs/>
          <w:color w:val="000000" w:themeColor="text1"/>
          <w:szCs w:val="21"/>
          <w14:textFill>
            <w14:solidFill>
              <w14:schemeClr w14:val="tx1"/>
            </w14:solidFill>
          </w14:textFill>
        </w:rPr>
        <w:t>试桩</w:t>
      </w:r>
      <w:r>
        <w:rPr>
          <w:rFonts w:ascii="Times New Roman" w:hAnsi="Times New Roman" w:cs="Times New Roman"/>
          <w:iCs/>
          <w:color w:val="000000" w:themeColor="text1"/>
          <w:szCs w:val="21"/>
          <w14:textFill>
            <w14:solidFill>
              <w14:schemeClr w14:val="tx1"/>
            </w14:solidFill>
          </w14:textFill>
        </w:rPr>
        <w:t>上段桩的位移转换为</w:t>
      </w:r>
      <w:r>
        <w:rPr>
          <w:rFonts w:hint="eastAsia" w:ascii="Times New Roman" w:hAnsi="Times New Roman" w:cs="Times New Roman"/>
          <w:iCs/>
          <w:color w:val="000000" w:themeColor="text1"/>
          <w:szCs w:val="21"/>
          <w14:textFill>
            <w14:solidFill>
              <w14:schemeClr w14:val="tx1"/>
            </w14:solidFill>
          </w14:textFill>
        </w:rPr>
        <w:t>抗压</w:t>
      </w:r>
      <w:r>
        <w:rPr>
          <w:rFonts w:ascii="Times New Roman" w:hAnsi="Times New Roman" w:cs="Times New Roman"/>
          <w:iCs/>
          <w:color w:val="000000" w:themeColor="text1"/>
          <w:szCs w:val="21"/>
          <w14:textFill>
            <w14:solidFill>
              <w14:schemeClr w14:val="tx1"/>
            </w14:solidFill>
          </w14:textFill>
        </w:rPr>
        <w:t>桩位移，转换后的等效位移按下式计算：</w:t>
      </w:r>
    </w:p>
    <w:p>
      <w:pPr>
        <w:spacing w:line="360" w:lineRule="auto"/>
        <w:jc w:val="center"/>
        <w:rPr>
          <w:rFonts w:ascii="Times New Roman" w:hAnsi="Times New Roman" w:cs="Times New Roman"/>
          <w:iCs/>
          <w:color w:val="000000" w:themeColor="text1"/>
          <w:szCs w:val="21"/>
          <w14:textFill>
            <w14:solidFill>
              <w14:schemeClr w14:val="tx1"/>
            </w14:solidFill>
          </w14:textFill>
        </w:rPr>
      </w:pPr>
      <m:oMath>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
                <w:iCs/>
                <w:color w:val="000000" w:themeColor="text1"/>
                <w:szCs w:val="21"/>
                <w14:textFill>
                  <w14:solidFill>
                    <w14:schemeClr w14:val="tx1"/>
                  </w14:solidFill>
                </w14:textFill>
              </w:rPr>
            </m:ctrlPr>
          </m:e>
          <m:sub>
            <m:r>
              <m:rPr>
                <m:nor/>
                <m:sty m:val="p"/>
              </m:rPr>
              <w:rPr>
                <w:rFonts w:ascii="Cambria Math" w:hAnsi="Times New Roman" w:cs="Times New Roman"/>
                <w:b w:val="0"/>
                <w:i w:val="0"/>
                <w:iCs/>
                <w:color w:val="000000" w:themeColor="text1"/>
                <w:szCs w:val="21"/>
                <w14:textFill>
                  <w14:solidFill>
                    <w14:schemeClr w14:val="tx1"/>
                  </w14:solidFill>
                </w14:textFill>
              </w:rPr>
              <m:t>eqi</m:t>
            </m:r>
            <m:ctrlPr>
              <w:rPr>
                <w:rFonts w:ascii="Cambria Math" w:hAnsi="Times New Roman" w:cs="Times New Roman"/>
                <w:iCs/>
                <w:color w:val="000000" w:themeColor="text1"/>
                <w:szCs w:val="21"/>
                <w14:textFill>
                  <w14:solidFill>
                    <w14:schemeClr w14:val="tx1"/>
                  </w14:solidFill>
                </w14:textFill>
              </w:rPr>
            </m:ctrlPr>
          </m:sub>
        </m:sSub>
        <m:r>
          <m:rPr/>
          <w:rPr>
            <w:rFonts w:ascii="Cambria Math" w:hAnsi="Times New Roman" w:cs="Times New Roman"/>
            <w:color w:val="000000" w:themeColor="text1"/>
            <w:szCs w:val="21"/>
            <w14:textFill>
              <w14:solidFill>
                <w14:schemeClr w14:val="tx1"/>
              </w14:solidFill>
            </w14:textFill>
          </w:rPr>
          <m:t>=</m:t>
        </m:r>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β</m:t>
            </m:r>
            <m:ctrlPr>
              <w:rPr>
                <w:rFonts w:ascii="Cambria Math" w:hAnsi="Times New Roman" w:cs="Times New Roman"/>
                <w:i/>
                <w:iCs/>
                <w:color w:val="000000" w:themeColor="text1"/>
                <w:szCs w:val="21"/>
                <w14:textFill>
                  <w14:solidFill>
                    <w14:schemeClr w14:val="tx1"/>
                  </w14:solidFill>
                </w14:textFill>
              </w:rPr>
            </m:ctrlPr>
          </m:e>
          <m:sub>
            <m:r>
              <m:rPr/>
              <w:rPr>
                <w:rFonts w:ascii="Cambria Math" w:hAnsi="Times New Roman" w:cs="Times New Roman"/>
                <w:color w:val="000000" w:themeColor="text1"/>
                <w:szCs w:val="21"/>
                <w14:textFill>
                  <w14:solidFill>
                    <w14:schemeClr w14:val="tx1"/>
                  </w14:solidFill>
                </w14:textFill>
              </w:rPr>
              <m:t>u</m:t>
            </m:r>
            <m:ctrlPr>
              <w:rPr>
                <w:rFonts w:ascii="Cambria Math" w:hAnsi="Times New Roman" w:cs="Times New Roman"/>
                <w:i/>
                <w:iCs/>
                <w:color w:val="000000" w:themeColor="text1"/>
                <w:szCs w:val="21"/>
                <w14:textFill>
                  <w14:solidFill>
                    <w14:schemeClr w14:val="tx1"/>
                  </w14:solidFill>
                </w14:textFill>
              </w:rPr>
            </m:ctrlPr>
          </m:sub>
        </m:sSub>
        <m:sSub>
          <m:sSubPr>
            <m:ctrlPr>
              <w:rPr>
                <w:rFonts w:ascii="Cambria Math" w:hAnsi="Times New Roman" w:cs="Times New Roman"/>
                <w:i/>
                <w:iCs/>
                <w:color w:val="000000" w:themeColor="text1"/>
                <w:szCs w:val="21"/>
                <w14:textFill>
                  <w14:solidFill>
                    <w14:schemeClr w14:val="tx1"/>
                  </w14:solidFill>
                </w14:textFill>
              </w:rPr>
            </m:ctrlPr>
          </m:sSubPr>
          <m:e>
            <m:r>
              <m:rPr/>
              <w:rPr>
                <w:rFonts w:ascii="Cambria Math" w:hAnsi="Times New Roman" w:cs="Times New Roman"/>
                <w:color w:val="000000" w:themeColor="text1"/>
                <w:szCs w:val="21"/>
                <w14:textFill>
                  <w14:solidFill>
                    <w14:schemeClr w14:val="tx1"/>
                  </w14:solidFill>
                </w14:textFill>
              </w:rPr>
              <m:t>s</m:t>
            </m:r>
            <m:ctrlPr>
              <w:rPr>
                <w:rFonts w:ascii="Cambria Math" w:hAnsi="Times New Roman" w:cs="Times New Roman"/>
                <w:i/>
                <w:iCs/>
                <w:color w:val="000000" w:themeColor="text1"/>
                <w:szCs w:val="21"/>
                <w14:textFill>
                  <w14:solidFill>
                    <w14:schemeClr w14:val="tx1"/>
                  </w14:solidFill>
                </w14:textFill>
              </w:rPr>
            </m:ctrlPr>
          </m:e>
          <m:sub>
            <m:r>
              <m:rPr>
                <m:nor/>
                <m:sty m:val="p"/>
              </m:rPr>
              <w:rPr>
                <w:rFonts w:ascii="Cambria Math" w:hAnsi="Times New Roman" w:cs="Times New Roman"/>
                <w:b w:val="0"/>
                <w:i w:val="0"/>
                <w:iCs/>
                <w:color w:val="000000" w:themeColor="text1"/>
                <w:szCs w:val="21"/>
                <w14:textFill>
                  <w14:solidFill>
                    <w14:schemeClr w14:val="tx1"/>
                  </w14:solidFill>
                </w14:textFill>
              </w:rPr>
              <m:t>ui</m:t>
            </m:r>
            <m:ctrlPr>
              <w:rPr>
                <w:rFonts w:ascii="Cambria Math" w:hAnsi="Times New Roman" w:cs="Times New Roman"/>
                <w:iCs/>
                <w:color w:val="000000" w:themeColor="text1"/>
                <w:szCs w:val="21"/>
                <w14:textFill>
                  <w14:solidFill>
                    <w14:schemeClr w14:val="tx1"/>
                  </w14:solidFill>
                </w14:textFill>
              </w:rPr>
            </m:ctrlPr>
          </m:sub>
        </m:sSub>
      </m:oMath>
      <w:r>
        <w:rPr>
          <w:rFonts w:ascii="Times New Roman" w:hAnsi="Times New Roman" w:cs="Times New Roman"/>
          <w:iCs/>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1.4</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iCs/>
          <w:color w:val="000000" w:themeColor="text1"/>
          <w:szCs w:val="21"/>
          <w14:textFill>
            <w14:solidFill>
              <w14:schemeClr w14:val="tx1"/>
            </w14:solidFill>
          </w14:textFill>
        </w:rPr>
      </w:pPr>
      <w:r>
        <w:rPr>
          <w:rFonts w:ascii="Times New Roman" w:hAnsi="Times New Roman" w:cs="Times New Roman"/>
          <w:iCs/>
          <w:color w:val="000000" w:themeColor="text1"/>
          <w:szCs w:val="21"/>
          <w14:textFill>
            <w14:solidFill>
              <w14:schemeClr w14:val="tx1"/>
            </w14:solidFill>
          </w14:textFill>
        </w:rPr>
        <w:t>式中：</w:t>
      </w:r>
    </w:p>
    <w:p>
      <w:pPr>
        <w:spacing w:line="360" w:lineRule="auto"/>
        <w:rPr>
          <w:rFonts w:ascii="Times New Roman" w:hAnsi="Times New Roman" w:cs="Times New Roman"/>
          <w:iCs/>
          <w:color w:val="000000" w:themeColor="text1"/>
          <w:szCs w:val="21"/>
          <w14:textFill>
            <w14:solidFill>
              <w14:schemeClr w14:val="tx1"/>
            </w14:solidFill>
          </w14:textFill>
        </w:rPr>
      </w:pPr>
      <w:r>
        <w:rPr>
          <w:rFonts w:hint="eastAsia" w:ascii="Times New Roman" w:hAnsi="Times New Roman" w:cs="Times New Roman"/>
          <w:i/>
          <w:iCs/>
          <w:color w:val="000000" w:themeColor="text1"/>
          <w:szCs w:val="21"/>
          <w14:textFill>
            <w14:solidFill>
              <w14:schemeClr w14:val="tx1"/>
            </w14:solidFill>
          </w14:textFill>
        </w:rPr>
        <w:t>s</w:t>
      </w:r>
      <w:r>
        <w:rPr>
          <w:rFonts w:ascii="Times New Roman" w:hAnsi="Times New Roman" w:cs="Times New Roman"/>
          <w:iCs/>
          <w:color w:val="000000" w:themeColor="text1"/>
          <w:szCs w:val="21"/>
          <w:vertAlign w:val="subscript"/>
          <w14:textFill>
            <w14:solidFill>
              <w14:schemeClr w14:val="tx1"/>
            </w14:solidFill>
          </w14:textFill>
        </w:rPr>
        <w:t>eqi</w:t>
      </w:r>
      <w:r>
        <w:rPr>
          <w:rFonts w:ascii="Times New Roman" w:hAnsi="Times New Roman" w:cs="Times New Roman"/>
          <w:iCs/>
          <w:color w:val="000000" w:themeColor="text1"/>
          <w:szCs w:val="21"/>
          <w14:textFill>
            <w14:solidFill>
              <w14:schemeClr w14:val="tx1"/>
            </w14:solidFill>
          </w14:textFill>
        </w:rPr>
        <w:t>：自锚试桩上段桩第i级荷载时的位移转换为</w:t>
      </w:r>
      <w:r>
        <w:rPr>
          <w:rFonts w:hint="eastAsia" w:ascii="Times New Roman" w:hAnsi="Times New Roman" w:cs="Times New Roman"/>
          <w:iCs/>
          <w:color w:val="000000" w:themeColor="text1"/>
          <w:szCs w:val="21"/>
          <w14:textFill>
            <w14:solidFill>
              <w14:schemeClr w14:val="tx1"/>
            </w14:solidFill>
          </w14:textFill>
        </w:rPr>
        <w:t>抗</w:t>
      </w:r>
      <w:r>
        <w:rPr>
          <w:rFonts w:ascii="Times New Roman" w:hAnsi="Times New Roman" w:cs="Times New Roman"/>
          <w:iCs/>
          <w:color w:val="000000" w:themeColor="text1"/>
          <w:szCs w:val="21"/>
          <w14:textFill>
            <w14:solidFill>
              <w14:schemeClr w14:val="tx1"/>
            </w14:solidFill>
          </w14:textFill>
        </w:rPr>
        <w:t>压桩的第i级等效位移</w:t>
      </w:r>
      <w:r>
        <w:rPr>
          <w:rFonts w:hint="eastAsia" w:ascii="Times New Roman" w:hAnsi="Times New Roman" w:cs="Times New Roman"/>
          <w:iCs/>
          <w:color w:val="000000" w:themeColor="text1"/>
          <w:szCs w:val="21"/>
          <w14:textFill>
            <w14:solidFill>
              <w14:schemeClr w14:val="tx1"/>
            </w14:solidFill>
          </w14:textFill>
        </w:rPr>
        <w:t>，</w:t>
      </w:r>
      <w:r>
        <w:rPr>
          <w:rFonts w:ascii="Times New Roman" w:hAnsi="Times New Roman" w:cs="Times New Roman"/>
          <w:iCs/>
          <w:color w:val="000000" w:themeColor="text1"/>
          <w:szCs w:val="21"/>
          <w14:textFill>
            <w14:solidFill>
              <w14:schemeClr w14:val="tx1"/>
            </w14:solidFill>
          </w14:textFill>
        </w:rPr>
        <w:t>mm；</w:t>
      </w:r>
    </w:p>
    <w:p>
      <w:pPr>
        <w:spacing w:line="360" w:lineRule="auto"/>
        <w:rPr>
          <w:rFonts w:ascii="Times New Roman" w:hAnsi="Times New Roman" w:cs="Times New Roman"/>
          <w:iCs/>
          <w:color w:val="000000" w:themeColor="text1"/>
          <w:szCs w:val="21"/>
          <w14:textFill>
            <w14:solidFill>
              <w14:schemeClr w14:val="tx1"/>
            </w14:solidFill>
          </w14:textFill>
        </w:rPr>
      </w:pPr>
      <w:r>
        <w:rPr>
          <w:rFonts w:hint="eastAsia" w:ascii="Times New Roman" w:hAnsi="Times New Roman" w:cs="Times New Roman"/>
          <w:i/>
          <w:iCs/>
          <w:color w:val="000000" w:themeColor="text1"/>
          <w:szCs w:val="21"/>
          <w14:textFill>
            <w14:solidFill>
              <w14:schemeClr w14:val="tx1"/>
            </w14:solidFill>
          </w14:textFill>
        </w:rPr>
        <w:t>s</w:t>
      </w:r>
      <w:r>
        <w:rPr>
          <w:rFonts w:ascii="Times New Roman" w:hAnsi="Times New Roman" w:cs="Times New Roman"/>
          <w:iCs/>
          <w:color w:val="000000" w:themeColor="text1"/>
          <w:szCs w:val="21"/>
          <w:vertAlign w:val="subscript"/>
          <w14:textFill>
            <w14:solidFill>
              <w14:schemeClr w14:val="tx1"/>
            </w14:solidFill>
          </w14:textFill>
        </w:rPr>
        <w:t>ui</w:t>
      </w:r>
      <w:r>
        <w:rPr>
          <w:rFonts w:ascii="Times New Roman" w:hAnsi="Times New Roman" w:cs="Times New Roman"/>
          <w:iCs/>
          <w:color w:val="000000" w:themeColor="text1"/>
          <w:szCs w:val="21"/>
          <w14:textFill>
            <w14:solidFill>
              <w14:schemeClr w14:val="tx1"/>
            </w14:solidFill>
          </w14:textFill>
        </w:rPr>
        <w:t>：自锚试桩第i级荷载时上段桩的位移</w:t>
      </w:r>
      <w:r>
        <w:rPr>
          <w:rFonts w:hint="eastAsia" w:ascii="Times New Roman" w:hAnsi="Times New Roman" w:cs="Times New Roman"/>
          <w:iCs/>
          <w:color w:val="000000" w:themeColor="text1"/>
          <w:szCs w:val="21"/>
          <w14:textFill>
            <w14:solidFill>
              <w14:schemeClr w14:val="tx1"/>
            </w14:solidFill>
          </w14:textFill>
        </w:rPr>
        <w:t>，</w:t>
      </w:r>
      <w:r>
        <w:rPr>
          <w:rFonts w:ascii="Times New Roman" w:hAnsi="Times New Roman" w:cs="Times New Roman"/>
          <w:iCs/>
          <w:color w:val="000000" w:themeColor="text1"/>
          <w:szCs w:val="21"/>
          <w14:textFill>
            <w14:solidFill>
              <w14:schemeClr w14:val="tx1"/>
            </w14:solidFill>
          </w14:textFill>
        </w:rPr>
        <w:t>mm；</w:t>
      </w:r>
    </w:p>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i/>
          <w:iCs/>
          <w:color w:val="000000" w:themeColor="text1"/>
          <w:szCs w:val="21"/>
          <w14:textFill>
            <w14:solidFill>
              <w14:schemeClr w14:val="tx1"/>
            </w14:solidFill>
          </w14:textFill>
        </w:rPr>
        <w:t>β</w:t>
      </w:r>
      <w:r>
        <w:rPr>
          <w:rFonts w:hint="eastAsia" w:ascii="Times New Roman" w:hAnsi="Times New Roman" w:cs="Times New Roman"/>
          <w:iCs/>
          <w:color w:val="000000" w:themeColor="text1"/>
          <w:szCs w:val="21"/>
          <w:vertAlign w:val="subscript"/>
          <w14:textFill>
            <w14:solidFill>
              <w14:schemeClr w14:val="tx1"/>
            </w14:solidFill>
          </w14:textFill>
        </w:rPr>
        <w:t>u</w:t>
      </w:r>
      <w:r>
        <w:rPr>
          <w:rFonts w:ascii="Times New Roman" w:hAnsi="Times New Roman" w:cs="Times New Roman"/>
          <w:iCs/>
          <w:color w:val="000000" w:themeColor="text1"/>
          <w:szCs w:val="21"/>
          <w14:textFill>
            <w14:solidFill>
              <w14:schemeClr w14:val="tx1"/>
            </w14:solidFill>
          </w14:textFill>
        </w:rPr>
        <w:t>：上段桩位移转换为</w:t>
      </w:r>
      <w:r>
        <w:rPr>
          <w:rFonts w:hint="eastAsia" w:ascii="Times New Roman" w:hAnsi="Times New Roman" w:cs="Times New Roman"/>
          <w:iCs/>
          <w:color w:val="000000" w:themeColor="text1"/>
          <w:szCs w:val="21"/>
          <w14:textFill>
            <w14:solidFill>
              <w14:schemeClr w14:val="tx1"/>
            </w14:solidFill>
          </w14:textFill>
        </w:rPr>
        <w:t>抗压桩</w:t>
      </w:r>
      <w:r>
        <w:rPr>
          <w:rFonts w:ascii="Times New Roman" w:hAnsi="Times New Roman" w:cs="Times New Roman"/>
          <w:iCs/>
          <w:color w:val="000000" w:themeColor="text1"/>
          <w:szCs w:val="21"/>
          <w14:textFill>
            <w14:solidFill>
              <w14:schemeClr w14:val="tx1"/>
            </w14:solidFill>
          </w14:textFill>
        </w:rPr>
        <w:t>位移的转换系数，可简称位移转换系数</w:t>
      </w:r>
      <w:r>
        <w:rPr>
          <w:rFonts w:hint="eastAsia" w:ascii="Times New Roman" w:hAnsi="Times New Roman" w:cs="Times New Roman"/>
          <w:iCs/>
          <w:color w:val="000000" w:themeColor="text1"/>
          <w:szCs w:val="21"/>
          <w14:textFill>
            <w14:solidFill>
              <w14:schemeClr w14:val="tx1"/>
            </w14:solidFill>
          </w14:textFill>
        </w:rPr>
        <w:t>，</w:t>
      </w:r>
      <w:r>
        <w:rPr>
          <w:rFonts w:ascii="Times New Roman" w:hAnsi="Times New Roman" w:cs="Times New Roman"/>
          <w:iCs/>
          <w:color w:val="000000" w:themeColor="text1"/>
          <w:szCs w:val="21"/>
          <w14:textFill>
            <w14:solidFill>
              <w14:schemeClr w14:val="tx1"/>
            </w14:solidFill>
          </w14:textFill>
        </w:rPr>
        <w:t>由自锚试桩</w:t>
      </w:r>
      <w:r>
        <w:rPr>
          <w:rFonts w:hint="eastAsia" w:ascii="Times New Roman" w:hAnsi="Times New Roman" w:cs="Times New Roman"/>
          <w:iCs/>
          <w:color w:val="000000" w:themeColor="text1"/>
          <w:szCs w:val="21"/>
          <w14:textFill>
            <w14:solidFill>
              <w14:schemeClr w14:val="tx1"/>
            </w14:solidFill>
          </w14:textFill>
        </w:rPr>
        <w:t>上段桩</w:t>
      </w:r>
      <w:r>
        <w:rPr>
          <w:rFonts w:ascii="Times New Roman" w:hAnsi="Times New Roman" w:cs="Times New Roman"/>
          <w:i/>
          <w:iCs/>
          <w:color w:val="000000" w:themeColor="text1"/>
          <w:szCs w:val="21"/>
          <w14:textFill>
            <w14:solidFill>
              <w14:schemeClr w14:val="tx1"/>
            </w14:solidFill>
          </w14:textFill>
        </w:rPr>
        <w:t>Q-s</w:t>
      </w:r>
      <w:r>
        <w:rPr>
          <w:rFonts w:ascii="Times New Roman" w:hAnsi="Times New Roman" w:cs="Times New Roman"/>
          <w:iCs/>
          <w:color w:val="000000" w:themeColor="text1"/>
          <w:szCs w:val="21"/>
          <w14:textFill>
            <w14:solidFill>
              <w14:schemeClr w14:val="tx1"/>
            </w14:solidFill>
          </w14:textFill>
        </w:rPr>
        <w:t>曲线</w:t>
      </w:r>
      <w:r>
        <w:rPr>
          <w:rFonts w:hint="eastAsia" w:ascii="Times New Roman" w:hAnsi="Times New Roman" w:cs="Times New Roman"/>
          <w:iCs/>
          <w:color w:val="000000" w:themeColor="text1"/>
          <w:szCs w:val="21"/>
          <w14:textFill>
            <w14:solidFill>
              <w14:schemeClr w14:val="tx1"/>
            </w14:solidFill>
          </w14:textFill>
        </w:rPr>
        <w:t>、</w:t>
      </w:r>
      <w:r>
        <w:rPr>
          <w:rFonts w:ascii="Times New Roman" w:hAnsi="Times New Roman" w:cs="Times New Roman"/>
          <w:iCs/>
          <w:color w:val="000000" w:themeColor="text1"/>
          <w:szCs w:val="21"/>
          <w14:textFill>
            <w14:solidFill>
              <w14:schemeClr w14:val="tx1"/>
            </w14:solidFill>
          </w14:textFill>
        </w:rPr>
        <w:t>下段桩</w:t>
      </w:r>
      <w:r>
        <w:rPr>
          <w:rFonts w:ascii="Times New Roman" w:hAnsi="Times New Roman" w:cs="Times New Roman"/>
          <w:i/>
          <w:iCs/>
          <w:color w:val="000000" w:themeColor="text1"/>
          <w:szCs w:val="21"/>
          <w14:textFill>
            <w14:solidFill>
              <w14:schemeClr w14:val="tx1"/>
            </w14:solidFill>
          </w14:textFill>
        </w:rPr>
        <w:t>Q-s</w:t>
      </w:r>
      <w:r>
        <w:rPr>
          <w:rFonts w:ascii="Times New Roman" w:hAnsi="Times New Roman" w:cs="Times New Roman"/>
          <w:iCs/>
          <w:color w:val="000000" w:themeColor="text1"/>
          <w:szCs w:val="21"/>
          <w14:textFill>
            <w14:solidFill>
              <w14:schemeClr w14:val="tx1"/>
            </w14:solidFill>
          </w14:textFill>
        </w:rPr>
        <w:t>曲线</w:t>
      </w:r>
      <w:r>
        <w:rPr>
          <w:rFonts w:hint="eastAsia" w:ascii="Times New Roman" w:hAnsi="Times New Roman" w:cs="Times New Roman"/>
          <w:iCs/>
          <w:color w:val="000000" w:themeColor="text1"/>
          <w:szCs w:val="21"/>
          <w14:textFill>
            <w14:solidFill>
              <w14:schemeClr w14:val="tx1"/>
            </w14:solidFill>
          </w14:textFill>
        </w:rPr>
        <w:t>线性段的</w:t>
      </w:r>
      <w:r>
        <w:rPr>
          <w:rFonts w:ascii="Times New Roman" w:hAnsi="Times New Roman" w:cs="Times New Roman"/>
          <w:iCs/>
          <w:color w:val="000000" w:themeColor="text1"/>
          <w:szCs w:val="21"/>
          <w14:textFill>
            <w14:solidFill>
              <w14:schemeClr w14:val="tx1"/>
            </w14:solidFill>
          </w14:textFill>
        </w:rPr>
        <w:t>斜率</w:t>
      </w:r>
      <w:r>
        <w:rPr>
          <w:rFonts w:hint="eastAsia" w:ascii="Times New Roman" w:hAnsi="Times New Roman" w:cs="Times New Roman"/>
          <w:iCs/>
          <w:color w:val="000000" w:themeColor="text1"/>
          <w:szCs w:val="21"/>
          <w14:textFill>
            <w14:solidFill>
              <w14:schemeClr w14:val="tx1"/>
            </w14:solidFill>
          </w14:textFill>
        </w:rPr>
        <w:t>确定</w:t>
      </w:r>
      <w:r>
        <w:rPr>
          <w:rFonts w:ascii="Times New Roman" w:hAnsi="Times New Roman" w:cs="Times New Roman"/>
          <w:iCs/>
          <w:color w:val="000000" w:themeColor="text1"/>
          <w:szCs w:val="21"/>
          <w14:textFill>
            <w14:solidFill>
              <w14:schemeClr w14:val="tx1"/>
            </w14:solidFill>
          </w14:textFill>
        </w:rPr>
        <w:t>。</w:t>
      </w:r>
      <w:r>
        <w:rPr>
          <w:rFonts w:hint="eastAsia" w:ascii="Times New Roman" w:hAnsi="Times New Roman" w:cs="Times New Roman"/>
          <w:iCs/>
          <w:color w:val="000000" w:themeColor="text1"/>
          <w:szCs w:val="21"/>
          <w14:textFill>
            <w14:solidFill>
              <w14:schemeClr w14:val="tx1"/>
            </w14:solidFill>
          </w14:textFill>
        </w:rPr>
        <w:t>由</w:t>
      </w: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.1.1</w:t>
      </w:r>
      <w:r>
        <w:rPr>
          <w:rFonts w:hint="eastAsia" w:ascii="Times New Roman" w:hAnsi="Times New Roman" w:cs="Times New Roman"/>
          <w:color w:val="000000" w:themeColor="text1"/>
          <w:szCs w:val="21"/>
          <w14:textFill>
            <w14:solidFill>
              <w14:schemeClr w14:val="tx1"/>
            </w14:solidFill>
          </w14:textFill>
        </w:rPr>
        <w:t>确定</w:t>
      </w:r>
      <w:r>
        <w:rPr>
          <w:rFonts w:hint="eastAsia" w:ascii="Times New Roman" w:hAnsi="Times New Roman" w:cs="Times New Roman"/>
          <w:i/>
          <w:color w:val="000000" w:themeColor="text1"/>
          <w:szCs w:val="21"/>
          <w14:textFill>
            <w14:solidFill>
              <w14:schemeClr w14:val="tx1"/>
            </w14:solidFill>
          </w14:textFill>
        </w:rPr>
        <w:t>β</w:t>
      </w:r>
      <w:r>
        <w:rPr>
          <w:rFonts w:hint="eastAsia" w:ascii="Times New Roman" w:hAnsi="Times New Roman" w:cs="Times New Roman"/>
          <w:color w:val="000000" w:themeColor="text1"/>
          <w:szCs w:val="21"/>
          <w:vertAlign w:val="subscript"/>
          <w14:textFill>
            <w14:solidFill>
              <w14:schemeClr w14:val="tx1"/>
            </w14:solidFill>
          </w14:textFill>
        </w:rPr>
        <w:t>u</w:t>
      </w:r>
      <w:r>
        <w:rPr>
          <w:rFonts w:ascii="Times New Roman" w:hAnsi="Times New Roman" w:cs="Times New Roman"/>
          <w:color w:val="000000" w:themeColor="text1"/>
          <w:szCs w:val="21"/>
          <w14:textFill>
            <w14:solidFill>
              <w14:schemeClr w14:val="tx1"/>
            </w14:solidFill>
          </w14:textFill>
        </w:rPr>
        <w:t>=1.6</w:t>
      </w:r>
      <w:r>
        <w:rPr>
          <w:rFonts w:hint="eastAsia" w:ascii="Times New Roman" w:hAnsi="Times New Roman" w:cs="Times New Roman"/>
          <w:color w:val="000000" w:themeColor="text1"/>
          <w:szCs w:val="21"/>
          <w14:textFill>
            <w14:solidFill>
              <w14:schemeClr w14:val="tx1"/>
            </w14:solidFill>
          </w14:textFill>
        </w:rPr>
        <w:t>。</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转换后的上段桩位移</w:t>
      </w:r>
      <w:r>
        <w:rPr>
          <w:rFonts w:hint="eastAsia" w:ascii="Times New Roman" w:hAnsi="Times New Roman" w:cs="Times New Roman"/>
          <w:i/>
          <w:iCs/>
          <w:color w:val="000000" w:themeColor="text1"/>
          <w:szCs w:val="21"/>
          <w14:textFill>
            <w14:solidFill>
              <w14:schemeClr w14:val="tx1"/>
            </w14:solidFill>
          </w14:textFill>
        </w:rPr>
        <w:t>s</w:t>
      </w:r>
      <w:r>
        <w:rPr>
          <w:rFonts w:ascii="Times New Roman" w:hAnsi="Times New Roman" w:cs="Times New Roman"/>
          <w:iCs/>
          <w:color w:val="000000" w:themeColor="text1"/>
          <w:szCs w:val="21"/>
          <w:vertAlign w:val="subscript"/>
          <w14:textFill>
            <w14:solidFill>
              <w14:schemeClr w14:val="tx1"/>
            </w14:solidFill>
          </w14:textFill>
        </w:rPr>
        <w:t>eqi</w:t>
      </w:r>
      <w:r>
        <w:rPr>
          <w:rFonts w:hint="eastAsia" w:ascii="Times New Roman" w:hAnsi="Times New Roman" w:cs="Times New Roman"/>
          <w:color w:val="000000" w:themeColor="text1"/>
          <w:szCs w:val="21"/>
          <w14:textFill>
            <w14:solidFill>
              <w14:schemeClr w14:val="tx1"/>
            </w14:solidFill>
          </w14:textFill>
        </w:rPr>
        <w:t>列于表D.</w:t>
      </w:r>
      <w:r>
        <w:rPr>
          <w:rFonts w:ascii="Times New Roman" w:hAnsi="Times New Roman" w:cs="Times New Roman"/>
          <w:color w:val="000000" w:themeColor="text1"/>
          <w:szCs w:val="21"/>
          <w14:textFill>
            <w14:solidFill>
              <w14:schemeClr w14:val="tx1"/>
            </w14:solidFill>
          </w14:textFill>
        </w:rPr>
        <w:t>1.2</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iCs/>
          <w:color w:val="000000" w:themeColor="text1"/>
          <w:szCs w:val="21"/>
          <w14:textFill>
            <w14:solidFill>
              <w14:schemeClr w14:val="tx1"/>
            </w14:solidFill>
          </w14:textFill>
        </w:rPr>
      </w:pPr>
      <w:r>
        <w:rPr>
          <w:rFonts w:hint="eastAsia" w:ascii="Times New Roman" w:hAnsi="Times New Roman" w:cs="Times New Roman"/>
          <w:iCs/>
          <w:color w:val="000000" w:themeColor="text1"/>
          <w:szCs w:val="21"/>
          <w14:textFill>
            <w14:solidFill>
              <w14:schemeClr w14:val="tx1"/>
            </w14:solidFill>
          </w14:textFill>
        </w:rPr>
        <w:t>D</w:t>
      </w:r>
      <w:r>
        <w:rPr>
          <w:rFonts w:ascii="Times New Roman" w:hAnsi="Times New Roman" w:cs="Times New Roman"/>
          <w:iCs/>
          <w:color w:val="000000" w:themeColor="text1"/>
          <w:szCs w:val="21"/>
          <w14:textFill>
            <w14:solidFill>
              <w14:schemeClr w14:val="tx1"/>
            </w14:solidFill>
          </w14:textFill>
        </w:rPr>
        <w:t>.1.5自锚试桩位移转换为完整桩位移</w:t>
      </w:r>
    </w:p>
    <w:p>
      <w:pPr>
        <w:spacing w:line="360" w:lineRule="auto"/>
        <w:jc w:val="center"/>
        <w:rPr>
          <w:rFonts w:ascii="Times New Roman" w:hAnsi="Times New Roman" w:cs="Times New Roman"/>
          <w:iCs/>
          <w:color w:val="000000" w:themeColor="text1"/>
          <w:szCs w:val="21"/>
          <w14:textFill>
            <w14:solidFill>
              <w14:schemeClr w14:val="tx1"/>
            </w14:solidFill>
          </w14:textFill>
        </w:rPr>
      </w:pPr>
      <m:oMath>
        <m:sSub>
          <m:sSubPr>
            <m:ctrlPr>
              <w:rPr>
                <w:rFonts w:ascii="Cambria Math" w:hAnsi="Cambria Math"/>
                <w:i/>
                <w:iCs/>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s</m:t>
            </m:r>
            <m:ctrlPr>
              <w:rPr>
                <w:rFonts w:ascii="Cambria Math" w:hAnsi="Cambria Math"/>
                <w:i/>
                <w:iCs/>
                <w:color w:val="000000" w:themeColor="text1"/>
                <w:szCs w:val="21"/>
                <w14:textFill>
                  <w14:solidFill>
                    <w14:schemeClr w14:val="tx1"/>
                  </w14:solidFill>
                </w14:textFill>
              </w:rPr>
            </m:ctrlPr>
          </m:e>
          <m:sub>
            <m:r>
              <m:rPr>
                <m:nor/>
                <m:sty m:val="p"/>
              </m:rPr>
              <w:rPr>
                <w:rFonts w:ascii="Cambria Math"/>
                <w:b w:val="0"/>
                <w:i w:val="0"/>
                <w:iCs/>
                <w:color w:val="000000" w:themeColor="text1"/>
                <w:szCs w:val="21"/>
                <w14:textFill>
                  <w14:solidFill>
                    <w14:schemeClr w14:val="tx1"/>
                  </w14:solidFill>
                </w14:textFill>
              </w:rPr>
              <m:t>whi</m:t>
            </m:r>
            <m:ctrlPr>
              <w:rPr>
                <w:rFonts w:ascii="Cambria Math" w:hAnsi="Cambria Math"/>
                <w:iCs/>
                <w:color w:val="000000" w:themeColor="text1"/>
                <w:szCs w:val="21"/>
                <w14:textFill>
                  <w14:solidFill>
                    <w14:schemeClr w14:val="tx1"/>
                  </w14:solidFill>
                </w14:textFill>
              </w:rPr>
            </m:ctrlPr>
          </m:sub>
        </m:sSub>
        <m:r>
          <m:rPr/>
          <w:rPr>
            <w:rFonts w:ascii="Cambria Math"/>
            <w:color w:val="000000" w:themeColor="text1"/>
            <w:szCs w:val="21"/>
            <w14:textFill>
              <w14:solidFill>
                <w14:schemeClr w14:val="tx1"/>
              </w14:solidFill>
            </w14:textFill>
          </w:rPr>
          <m:t>=</m:t>
        </m:r>
        <m:sSub>
          <m:sSubPr>
            <m:ctrlPr>
              <w:rPr>
                <w:rFonts w:ascii="Cambria Math" w:hAnsi="Cambria Math"/>
                <w:i/>
                <w:iCs/>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s</m:t>
            </m:r>
            <m:ctrlPr>
              <w:rPr>
                <w:rFonts w:ascii="Cambria Math" w:hAnsi="Cambria Math"/>
                <w:i/>
                <w:iCs/>
                <w:color w:val="000000" w:themeColor="text1"/>
                <w:szCs w:val="21"/>
                <w14:textFill>
                  <w14:solidFill>
                    <w14:schemeClr w14:val="tx1"/>
                  </w14:solidFill>
                </w14:textFill>
              </w:rPr>
            </m:ctrlPr>
          </m:e>
          <m:sub>
            <m:r>
              <m:rPr>
                <m:nor/>
                <m:sty m:val="p"/>
              </m:rPr>
              <w:rPr>
                <w:rFonts w:ascii="Cambria Math"/>
                <w:b w:val="0"/>
                <w:i w:val="0"/>
                <w:iCs/>
                <w:color w:val="000000" w:themeColor="text1"/>
                <w:szCs w:val="21"/>
                <w14:textFill>
                  <w14:solidFill>
                    <w14:schemeClr w14:val="tx1"/>
                  </w14:solidFill>
                </w14:textFill>
              </w:rPr>
              <m:t>eqi</m:t>
            </m:r>
            <m:ctrlPr>
              <w:rPr>
                <w:rFonts w:ascii="Cambria Math" w:hAnsi="Cambria Math"/>
                <w:iCs/>
                <w:color w:val="000000" w:themeColor="text1"/>
                <w:szCs w:val="21"/>
                <w14:textFill>
                  <w14:solidFill>
                    <w14:schemeClr w14:val="tx1"/>
                  </w14:solidFill>
                </w14:textFill>
              </w:rPr>
            </m:ctrlPr>
          </m:sub>
        </m:sSub>
        <m:r>
          <m:rPr/>
          <w:rPr>
            <w:rFonts w:ascii="Cambria Math"/>
            <w:color w:val="000000" w:themeColor="text1"/>
            <w:szCs w:val="21"/>
            <w14:textFill>
              <w14:solidFill>
                <w14:schemeClr w14:val="tx1"/>
              </w14:solidFill>
            </w14:textFill>
          </w:rPr>
          <m:t>+</m:t>
        </m:r>
        <m:sSub>
          <m:sSubPr>
            <m:ctrlPr>
              <w:rPr>
                <w:rFonts w:ascii="Cambria Math" w:hAnsi="Cambria Math"/>
                <w:i/>
                <w:iCs/>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s</m:t>
            </m:r>
            <m:ctrlPr>
              <w:rPr>
                <w:rFonts w:ascii="Cambria Math" w:hAnsi="Cambria Math"/>
                <w:i/>
                <w:iCs/>
                <w:color w:val="000000" w:themeColor="text1"/>
                <w:szCs w:val="21"/>
                <w14:textFill>
                  <w14:solidFill>
                    <w14:schemeClr w14:val="tx1"/>
                  </w14:solidFill>
                </w14:textFill>
              </w:rPr>
            </m:ctrlPr>
          </m:e>
          <m:sub>
            <m:r>
              <m:rPr>
                <m:nor/>
                <m:sty m:val="p"/>
              </m:rPr>
              <w:rPr>
                <w:rFonts w:ascii="Cambria Math"/>
                <w:b w:val="0"/>
                <w:i w:val="0"/>
                <w:iCs/>
                <w:color w:val="000000" w:themeColor="text1"/>
                <w:szCs w:val="21"/>
                <w14:textFill>
                  <w14:solidFill>
                    <w14:schemeClr w14:val="tx1"/>
                  </w14:solidFill>
                </w14:textFill>
              </w:rPr>
              <m:t>di</m:t>
            </m:r>
            <m:ctrlPr>
              <w:rPr>
                <w:rFonts w:ascii="Cambria Math" w:hAnsi="Cambria Math"/>
                <w:iCs/>
                <w:color w:val="000000" w:themeColor="text1"/>
                <w:szCs w:val="21"/>
                <w14:textFill>
                  <w14:solidFill>
                    <w14:schemeClr w14:val="tx1"/>
                  </w14:solidFill>
                </w14:textFill>
              </w:rPr>
            </m:ctrlPr>
          </m:sub>
        </m:sSub>
        <m:r>
          <m:rPr/>
          <w:rPr>
            <w:rFonts w:ascii="Cambria Math"/>
            <w:color w:val="000000" w:themeColor="text1"/>
            <w:szCs w:val="21"/>
            <w14:textFill>
              <w14:solidFill>
                <w14:schemeClr w14:val="tx1"/>
              </w14:solidFill>
            </w14:textFill>
          </w:rPr>
          <m:t>=</m:t>
        </m:r>
        <m:sSub>
          <m:sSubPr>
            <m:ctrlPr>
              <w:rPr>
                <w:rFonts w:ascii="Cambria Math" w:hAnsi="Cambria Math"/>
                <w:i/>
                <w:iCs/>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β</m:t>
            </m:r>
            <m:ctrlPr>
              <w:rPr>
                <w:rFonts w:ascii="Cambria Math" w:hAnsi="Cambria Math"/>
                <w:i/>
                <w:iCs/>
                <w:color w:val="000000" w:themeColor="text1"/>
                <w:szCs w:val="21"/>
                <w14:textFill>
                  <w14:solidFill>
                    <w14:schemeClr w14:val="tx1"/>
                  </w14:solidFill>
                </w14:textFill>
              </w:rPr>
            </m:ctrlPr>
          </m:e>
          <m:sub>
            <m:r>
              <m:rPr/>
              <w:rPr>
                <w:rFonts w:ascii="Cambria Math"/>
                <w:color w:val="000000" w:themeColor="text1"/>
                <w:szCs w:val="21"/>
                <w14:textFill>
                  <w14:solidFill>
                    <w14:schemeClr w14:val="tx1"/>
                  </w14:solidFill>
                </w14:textFill>
              </w:rPr>
              <m:t>u</m:t>
            </m:r>
            <m:ctrlPr>
              <w:rPr>
                <w:rFonts w:ascii="Cambria Math" w:hAnsi="Cambria Math"/>
                <w:i/>
                <w:iCs/>
                <w:color w:val="000000" w:themeColor="text1"/>
                <w:szCs w:val="21"/>
                <w14:textFill>
                  <w14:solidFill>
                    <w14:schemeClr w14:val="tx1"/>
                  </w14:solidFill>
                </w14:textFill>
              </w:rPr>
            </m:ctrlPr>
          </m:sub>
        </m:sSub>
        <m:sSub>
          <m:sSubPr>
            <m:ctrlPr>
              <w:rPr>
                <w:rFonts w:ascii="Cambria Math" w:hAnsi="Cambria Math"/>
                <w:i/>
                <w:iCs/>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s</m:t>
            </m:r>
            <m:ctrlPr>
              <w:rPr>
                <w:rFonts w:ascii="Cambria Math" w:hAnsi="Cambria Math"/>
                <w:i/>
                <w:iCs/>
                <w:color w:val="000000" w:themeColor="text1"/>
                <w:szCs w:val="21"/>
                <w14:textFill>
                  <w14:solidFill>
                    <w14:schemeClr w14:val="tx1"/>
                  </w14:solidFill>
                </w14:textFill>
              </w:rPr>
            </m:ctrlPr>
          </m:e>
          <m:sub>
            <m:r>
              <m:rPr>
                <m:nor/>
                <m:sty m:val="p"/>
              </m:rPr>
              <w:rPr>
                <w:rFonts w:ascii="Cambria Math"/>
                <w:b w:val="0"/>
                <w:i w:val="0"/>
                <w:iCs/>
                <w:color w:val="000000" w:themeColor="text1"/>
                <w:szCs w:val="21"/>
                <w14:textFill>
                  <w14:solidFill>
                    <w14:schemeClr w14:val="tx1"/>
                  </w14:solidFill>
                </w14:textFill>
              </w:rPr>
              <m:t>ui</m:t>
            </m:r>
            <m:ctrlPr>
              <w:rPr>
                <w:rFonts w:ascii="Cambria Math" w:hAnsi="Cambria Math"/>
                <w:iCs/>
                <w:color w:val="000000" w:themeColor="text1"/>
                <w:szCs w:val="21"/>
                <w14:textFill>
                  <w14:solidFill>
                    <w14:schemeClr w14:val="tx1"/>
                  </w14:solidFill>
                </w14:textFill>
              </w:rPr>
            </m:ctrlPr>
          </m:sub>
        </m:sSub>
        <m:r>
          <m:rPr/>
          <w:rPr>
            <w:rFonts w:ascii="Cambria Math"/>
            <w:color w:val="000000" w:themeColor="text1"/>
            <w:szCs w:val="21"/>
            <w14:textFill>
              <w14:solidFill>
                <w14:schemeClr w14:val="tx1"/>
              </w14:solidFill>
            </w14:textFill>
          </w:rPr>
          <m:t>+</m:t>
        </m:r>
        <m:sSub>
          <m:sSubPr>
            <m:ctrlPr>
              <w:rPr>
                <w:rFonts w:ascii="Cambria Math" w:hAnsi="Cambria Math"/>
                <w:i/>
                <w:iCs/>
                <w:color w:val="000000" w:themeColor="text1"/>
                <w:szCs w:val="21"/>
                <w14:textFill>
                  <w14:solidFill>
                    <w14:schemeClr w14:val="tx1"/>
                  </w14:solidFill>
                </w14:textFill>
              </w:rPr>
            </m:ctrlPr>
          </m:sSubPr>
          <m:e>
            <m:r>
              <m:rPr/>
              <w:rPr>
                <w:rFonts w:ascii="Cambria Math"/>
                <w:color w:val="000000" w:themeColor="text1"/>
                <w:szCs w:val="21"/>
                <w14:textFill>
                  <w14:solidFill>
                    <w14:schemeClr w14:val="tx1"/>
                  </w14:solidFill>
                </w14:textFill>
              </w:rPr>
              <m:t>s</m:t>
            </m:r>
            <m:ctrlPr>
              <w:rPr>
                <w:rFonts w:ascii="Cambria Math" w:hAnsi="Cambria Math"/>
                <w:i/>
                <w:iCs/>
                <w:color w:val="000000" w:themeColor="text1"/>
                <w:szCs w:val="21"/>
                <w14:textFill>
                  <w14:solidFill>
                    <w14:schemeClr w14:val="tx1"/>
                  </w14:solidFill>
                </w14:textFill>
              </w:rPr>
            </m:ctrlPr>
          </m:e>
          <m:sub>
            <m:r>
              <m:rPr>
                <m:nor/>
                <m:sty m:val="p"/>
              </m:rPr>
              <w:rPr>
                <w:rFonts w:ascii="Cambria Math"/>
                <w:b w:val="0"/>
                <w:i w:val="0"/>
                <w:iCs/>
                <w:color w:val="000000" w:themeColor="text1"/>
                <w:szCs w:val="21"/>
                <w14:textFill>
                  <w14:solidFill>
                    <w14:schemeClr w14:val="tx1"/>
                  </w14:solidFill>
                </w14:textFill>
              </w:rPr>
              <m:t>di</m:t>
            </m:r>
            <m:ctrlPr>
              <w:rPr>
                <w:rFonts w:ascii="Cambria Math" w:hAnsi="Cambria Math"/>
                <w:iCs/>
                <w:color w:val="000000" w:themeColor="text1"/>
                <w:szCs w:val="21"/>
                <w14:textFill>
                  <w14:solidFill>
                    <w14:schemeClr w14:val="tx1"/>
                  </w14:solidFill>
                </w14:textFill>
              </w:rPr>
            </m:ctrlPr>
          </m:sub>
        </m:sSub>
      </m:oMath>
      <w:r>
        <w:rPr>
          <w:rFonts w:hint="eastAsia" w:ascii="Times New Roman" w:hAnsi="Times New Roman" w:cs="Times New Roman"/>
          <w:iCs/>
          <w:color w:val="000000" w:themeColor="text1"/>
          <w:szCs w:val="21"/>
          <w14:textFill>
            <w14:solidFill>
              <w14:schemeClr w14:val="tx1"/>
            </w14:solidFill>
          </w14:textFill>
        </w:rPr>
        <w:t xml:space="preserve"> </w:t>
      </w:r>
      <w:r>
        <w:rPr>
          <w:rFonts w:ascii="Times New Roman" w:hAnsi="Times New Roman" w:cs="Times New Roman"/>
          <w:iCs/>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1.5</w:t>
      </w:r>
      <w:r>
        <w:rPr>
          <w:rFonts w:hint="eastAsia" w:ascii="Times New Roman" w:hAnsi="Times New Roman" w:cs="Times New Roman"/>
          <w:color w:val="000000" w:themeColor="text1"/>
          <w:szCs w:val="21"/>
          <w14:textFill>
            <w14:solidFill>
              <w14:schemeClr w14:val="tx1"/>
            </w14:solidFill>
          </w14:textFill>
        </w:rPr>
        <w:t>）</w:t>
      </w:r>
    </w:p>
    <w:p>
      <w:pPr>
        <w:spacing w:line="360" w:lineRule="auto"/>
        <w:rPr>
          <w:rFonts w:ascii="Times New Roman" w:hAnsi="Times New Roman" w:cs="Times New Roman"/>
          <w:iCs/>
          <w:color w:val="000000" w:themeColor="text1"/>
          <w:szCs w:val="21"/>
          <w14:textFill>
            <w14:solidFill>
              <w14:schemeClr w14:val="tx1"/>
            </w14:solidFill>
          </w14:textFill>
        </w:rPr>
      </w:pPr>
      <w:r>
        <w:rPr>
          <w:rFonts w:ascii="Times New Roman" w:hAnsi="Times New Roman" w:cs="Times New Roman"/>
          <w:iCs/>
          <w:color w:val="000000" w:themeColor="text1"/>
          <w:szCs w:val="21"/>
          <w14:textFill>
            <w14:solidFill>
              <w14:schemeClr w14:val="tx1"/>
            </w14:solidFill>
          </w14:textFill>
        </w:rPr>
        <w:t>式中：</w:t>
      </w:r>
    </w:p>
    <w:p>
      <w:pPr>
        <w:spacing w:line="360" w:lineRule="auto"/>
        <w:rPr>
          <w:rFonts w:ascii="Times New Roman" w:hAnsi="Times New Roman" w:cs="Times New Roman"/>
          <w:iCs/>
          <w:color w:val="000000" w:themeColor="text1"/>
          <w:szCs w:val="21"/>
          <w14:textFill>
            <w14:solidFill>
              <w14:schemeClr w14:val="tx1"/>
            </w14:solidFill>
          </w14:textFill>
        </w:rPr>
      </w:pPr>
      <w:r>
        <w:rPr>
          <w:rFonts w:hint="eastAsia" w:ascii="Times New Roman" w:hAnsi="Times New Roman" w:cs="Times New Roman"/>
          <w:i/>
          <w:iCs/>
          <w:color w:val="000000" w:themeColor="text1"/>
          <w:szCs w:val="21"/>
          <w14:textFill>
            <w14:solidFill>
              <w14:schemeClr w14:val="tx1"/>
            </w14:solidFill>
          </w14:textFill>
        </w:rPr>
        <w:t>s</w:t>
      </w:r>
      <w:r>
        <w:rPr>
          <w:rFonts w:ascii="Times New Roman" w:hAnsi="Times New Roman" w:cs="Times New Roman"/>
          <w:iCs/>
          <w:color w:val="000000" w:themeColor="text1"/>
          <w:szCs w:val="21"/>
          <w:vertAlign w:val="subscript"/>
          <w14:textFill>
            <w14:solidFill>
              <w14:schemeClr w14:val="tx1"/>
            </w14:solidFill>
          </w14:textFill>
        </w:rPr>
        <w:t>di</w:t>
      </w:r>
      <w:r>
        <w:rPr>
          <w:rFonts w:ascii="Times New Roman" w:hAnsi="Times New Roman" w:cs="Times New Roman"/>
          <w:iCs/>
          <w:color w:val="000000" w:themeColor="text1"/>
          <w:szCs w:val="21"/>
          <w14:textFill>
            <w14:solidFill>
              <w14:schemeClr w14:val="tx1"/>
            </w14:solidFill>
          </w14:textFill>
        </w:rPr>
        <w:t>：自锚试桩第i级荷载时</w:t>
      </w:r>
      <w:r>
        <w:rPr>
          <w:rFonts w:hint="eastAsia" w:ascii="Times New Roman" w:hAnsi="Times New Roman" w:cs="Times New Roman"/>
          <w:iCs/>
          <w:color w:val="000000" w:themeColor="text1"/>
          <w:szCs w:val="21"/>
          <w14:textFill>
            <w14:solidFill>
              <w14:schemeClr w14:val="tx1"/>
            </w14:solidFill>
          </w14:textFill>
        </w:rPr>
        <w:t>下</w:t>
      </w:r>
      <w:r>
        <w:rPr>
          <w:rFonts w:ascii="Times New Roman" w:hAnsi="Times New Roman" w:cs="Times New Roman"/>
          <w:iCs/>
          <w:color w:val="000000" w:themeColor="text1"/>
          <w:szCs w:val="21"/>
          <w14:textFill>
            <w14:solidFill>
              <w14:schemeClr w14:val="tx1"/>
            </w14:solidFill>
          </w14:textFill>
        </w:rPr>
        <w:t>段桩的位移</w:t>
      </w:r>
      <w:r>
        <w:rPr>
          <w:rFonts w:hint="eastAsia" w:ascii="Times New Roman" w:hAnsi="Times New Roman" w:cs="Times New Roman"/>
          <w:iCs/>
          <w:color w:val="000000" w:themeColor="text1"/>
          <w:szCs w:val="21"/>
          <w14:textFill>
            <w14:solidFill>
              <w14:schemeClr w14:val="tx1"/>
            </w14:solidFill>
          </w14:textFill>
        </w:rPr>
        <w:t>。</w:t>
      </w:r>
    </w:p>
    <w:p>
      <w:pPr>
        <w:spacing w:line="360" w:lineRule="auto"/>
        <w:ind w:firstLine="420" w:firstLineChars="2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转换后的整桩位移</w:t>
      </w:r>
      <w:r>
        <w:rPr>
          <w:rFonts w:hint="eastAsia" w:ascii="Times New Roman" w:hAnsi="Times New Roman" w:cs="Times New Roman"/>
          <w:i/>
          <w:iCs/>
          <w:color w:val="000000" w:themeColor="text1"/>
          <w:szCs w:val="21"/>
          <w14:textFill>
            <w14:solidFill>
              <w14:schemeClr w14:val="tx1"/>
            </w14:solidFill>
          </w14:textFill>
        </w:rPr>
        <w:t>s</w:t>
      </w:r>
      <w:r>
        <w:rPr>
          <w:rFonts w:ascii="Times New Roman" w:hAnsi="Times New Roman" w:cs="Times New Roman"/>
          <w:iCs/>
          <w:color w:val="000000" w:themeColor="text1"/>
          <w:szCs w:val="21"/>
          <w:vertAlign w:val="subscript"/>
          <w14:textFill>
            <w14:solidFill>
              <w14:schemeClr w14:val="tx1"/>
            </w14:solidFill>
          </w14:textFill>
        </w:rPr>
        <w:t>whi</w:t>
      </w:r>
      <w:r>
        <w:rPr>
          <w:rFonts w:hint="eastAsia" w:ascii="Times New Roman" w:hAnsi="Times New Roman" w:cs="Times New Roman"/>
          <w:color w:val="000000" w:themeColor="text1"/>
          <w:szCs w:val="21"/>
          <w14:textFill>
            <w14:solidFill>
              <w14:schemeClr w14:val="tx1"/>
            </w14:solidFill>
          </w14:textFill>
        </w:rPr>
        <w:t>列于表D.</w:t>
      </w:r>
      <w:r>
        <w:rPr>
          <w:rFonts w:ascii="Times New Roman" w:hAnsi="Times New Roman" w:cs="Times New Roman"/>
          <w:color w:val="000000" w:themeColor="text1"/>
          <w:szCs w:val="21"/>
          <w14:textFill>
            <w14:solidFill>
              <w14:schemeClr w14:val="tx1"/>
            </w14:solidFill>
          </w14:textFill>
        </w:rPr>
        <w:t>1.2</w:t>
      </w:r>
      <w:r>
        <w:rPr>
          <w:rFonts w:hint="eastAsia" w:ascii="Times New Roman" w:hAnsi="Times New Roman" w:cs="Times New Roman"/>
          <w:color w:val="000000" w:themeColor="text1"/>
          <w:szCs w:val="21"/>
          <w14:textFill>
            <w14:solidFill>
              <w14:schemeClr w14:val="tx1"/>
            </w14:solidFill>
          </w14:textFill>
        </w:rPr>
        <w:t>。根据转换后的荷载（</w:t>
      </w:r>
      <w:r>
        <w:rPr>
          <w:rFonts w:ascii="Times New Roman" w:hAnsi="Times New Roman" w:cs="Times New Roman"/>
          <w:color w:val="000000" w:themeColor="text1"/>
          <w:szCs w:val="21"/>
          <w14:textFill>
            <w14:solidFill>
              <w14:schemeClr w14:val="tx1"/>
            </w14:solidFill>
          </w14:textFill>
        </w:rPr>
        <w:t>Q</w:t>
      </w:r>
      <w:r>
        <w:rPr>
          <w:rFonts w:ascii="Times New Roman" w:hAnsi="Times New Roman" w:cs="Times New Roman"/>
          <w:color w:val="000000" w:themeColor="text1"/>
          <w:szCs w:val="21"/>
          <w:vertAlign w:val="subscript"/>
          <w14:textFill>
            <w14:solidFill>
              <w14:schemeClr w14:val="tx1"/>
            </w14:solidFill>
          </w14:textFill>
        </w:rPr>
        <w:t>whi</w:t>
      </w:r>
      <w:r>
        <w:rPr>
          <w:rFonts w:hint="eastAsia" w:ascii="Times New Roman" w:hAnsi="Times New Roman" w:cs="Times New Roman"/>
          <w:color w:val="000000" w:themeColor="text1"/>
          <w:szCs w:val="21"/>
          <w14:textFill>
            <w14:solidFill>
              <w14:schemeClr w14:val="tx1"/>
            </w14:solidFill>
          </w14:textFill>
        </w:rPr>
        <w:t>）、位移（</w:t>
      </w:r>
      <w:r>
        <w:rPr>
          <w:rFonts w:ascii="Times New Roman" w:hAnsi="Times New Roman" w:cs="Times New Roman"/>
          <w:color w:val="000000" w:themeColor="text1"/>
          <w:szCs w:val="21"/>
          <w14:textFill>
            <w14:solidFill>
              <w14:schemeClr w14:val="tx1"/>
            </w14:solidFill>
          </w14:textFill>
        </w:rPr>
        <w:t>s</w:t>
      </w:r>
      <w:r>
        <w:rPr>
          <w:rFonts w:ascii="Times New Roman" w:hAnsi="Times New Roman" w:cs="Times New Roman"/>
          <w:color w:val="000000" w:themeColor="text1"/>
          <w:szCs w:val="21"/>
          <w:vertAlign w:val="subscript"/>
          <w14:textFill>
            <w14:solidFill>
              <w14:schemeClr w14:val="tx1"/>
            </w14:solidFill>
          </w14:textFill>
        </w:rPr>
        <w:t>whi</w:t>
      </w:r>
      <w:r>
        <w:rPr>
          <w:rFonts w:hint="eastAsia" w:ascii="Times New Roman" w:hAnsi="Times New Roman" w:cs="Times New Roman"/>
          <w:color w:val="000000" w:themeColor="text1"/>
          <w:szCs w:val="21"/>
          <w14:textFill>
            <w14:solidFill>
              <w14:schemeClr w14:val="tx1"/>
            </w14:solidFill>
          </w14:textFill>
        </w:rPr>
        <w:t>）绘出单桩（完整桩）</w:t>
      </w:r>
      <w:r>
        <w:rPr>
          <w:rFonts w:ascii="Times New Roman" w:hAnsi="Times New Roman" w:cs="Times New Roman"/>
          <w:i/>
          <w:iCs/>
          <w:color w:val="000000" w:themeColor="text1"/>
          <w:szCs w:val="21"/>
          <w14:textFill>
            <w14:solidFill>
              <w14:schemeClr w14:val="tx1"/>
            </w14:solidFill>
          </w14:textFill>
        </w:rPr>
        <w:t>Q-s</w:t>
      </w:r>
      <w:r>
        <w:rPr>
          <w:rFonts w:ascii="Times New Roman" w:hAnsi="Times New Roman" w:cs="Times New Roman"/>
          <w:iCs/>
          <w:color w:val="000000" w:themeColor="text1"/>
          <w:szCs w:val="21"/>
          <w14:textFill>
            <w14:solidFill>
              <w14:schemeClr w14:val="tx1"/>
            </w14:solidFill>
          </w14:textFill>
        </w:rPr>
        <w:t>曲线</w:t>
      </w:r>
      <w:r>
        <w:rPr>
          <w:rFonts w:hint="eastAsia" w:ascii="Times New Roman" w:hAnsi="Times New Roman" w:cs="Times New Roman"/>
          <w:iCs/>
          <w:color w:val="000000" w:themeColor="text1"/>
          <w:szCs w:val="21"/>
          <w14:textFill>
            <w14:solidFill>
              <w14:schemeClr w14:val="tx1"/>
            </w14:solidFill>
          </w14:textFill>
        </w:rPr>
        <w:t>，见图</w:t>
      </w: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.1.5</w:t>
      </w:r>
      <w:r>
        <w:rPr>
          <w:rFonts w:hint="eastAsia" w:ascii="Times New Roman" w:hAnsi="Times New Roman" w:cs="Times New Roman"/>
          <w:color w:val="000000" w:themeColor="text1"/>
          <w:szCs w:val="21"/>
          <w14:textFill>
            <w14:solidFill>
              <w14:schemeClr w14:val="tx1"/>
            </w14:solidFill>
          </w14:textFill>
        </w:rPr>
        <w:t>单桩</w:t>
      </w:r>
      <w:r>
        <w:rPr>
          <w:rFonts w:ascii="Times New Roman" w:hAnsi="Times New Roman" w:cs="Times New Roman"/>
          <w:i/>
          <w:color w:val="000000" w:themeColor="text1"/>
          <w:szCs w:val="21"/>
          <w14:textFill>
            <w14:solidFill>
              <w14:schemeClr w14:val="tx1"/>
            </w14:solidFill>
          </w14:textFill>
        </w:rPr>
        <w:t>Q-s</w:t>
      </w:r>
      <w:r>
        <w:rPr>
          <w:rFonts w:ascii="Times New Roman" w:hAnsi="Times New Roman" w:cs="Times New Roman"/>
          <w:color w:val="000000" w:themeColor="text1"/>
          <w:szCs w:val="21"/>
          <w14:textFill>
            <w14:solidFill>
              <w14:schemeClr w14:val="tx1"/>
            </w14:solidFill>
          </w14:textFill>
        </w:rPr>
        <w:t>曲线</w:t>
      </w:r>
      <w:r>
        <w:rPr>
          <w:rFonts w:hint="eastAsia" w:ascii="Times New Roman" w:hAnsi="Times New Roman" w:cs="Times New Roman"/>
          <w:color w:val="000000" w:themeColor="text1"/>
          <w:szCs w:val="21"/>
          <w14:textFill>
            <w14:solidFill>
              <w14:schemeClr w14:val="tx1"/>
            </w14:solidFill>
          </w14:textFill>
        </w:rPr>
        <w:t>。</w:t>
      </w:r>
    </w:p>
    <w:p>
      <w:pPr>
        <w:spacing w:line="360" w:lineRule="auto"/>
        <w:jc w:val="center"/>
        <w:rPr>
          <w:rFonts w:ascii="Times New Roman" w:hAnsi="Times New Roman" w:cs="Times New Roman"/>
          <w:iCs/>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drawing>
          <wp:inline distT="0" distB="0" distL="0" distR="0">
            <wp:extent cx="2903855" cy="2030730"/>
            <wp:effectExtent l="0" t="0" r="0" b="7620"/>
            <wp:docPr id="19311550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155048"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919155" cy="2041291"/>
                    </a:xfrm>
                    <a:prstGeom prst="rect">
                      <a:avLst/>
                    </a:prstGeom>
                    <a:noFill/>
                  </pic:spPr>
                </pic:pic>
              </a:graphicData>
            </a:graphic>
          </wp:inline>
        </w:drawing>
      </w: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iCs/>
          <w:color w:val="000000" w:themeColor="text1"/>
          <w:szCs w:val="21"/>
          <w14:textFill>
            <w14:solidFill>
              <w14:schemeClr w14:val="tx1"/>
            </w14:solidFill>
          </w14:textFill>
        </w:rPr>
        <w:t>图</w:t>
      </w: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.1.5</w:t>
      </w:r>
      <w:r>
        <w:rPr>
          <w:rFonts w:hint="eastAsia" w:ascii="Times New Roman" w:hAnsi="Times New Roman" w:cs="Times New Roman"/>
          <w:color w:val="000000" w:themeColor="text1"/>
          <w:szCs w:val="21"/>
          <w14:textFill>
            <w14:solidFill>
              <w14:schemeClr w14:val="tx1"/>
            </w14:solidFill>
          </w14:textFill>
        </w:rPr>
        <w:t>单桩</w:t>
      </w:r>
      <w:r>
        <w:rPr>
          <w:rFonts w:ascii="Times New Roman" w:hAnsi="Times New Roman" w:cs="Times New Roman"/>
          <w:i/>
          <w:color w:val="000000" w:themeColor="text1"/>
          <w:szCs w:val="21"/>
          <w14:textFill>
            <w14:solidFill>
              <w14:schemeClr w14:val="tx1"/>
            </w14:solidFill>
          </w14:textFill>
        </w:rPr>
        <w:t>Q-s</w:t>
      </w:r>
      <w:r>
        <w:rPr>
          <w:rFonts w:ascii="Times New Roman" w:hAnsi="Times New Roman" w:cs="Times New Roman"/>
          <w:color w:val="000000" w:themeColor="text1"/>
          <w:szCs w:val="21"/>
          <w14:textFill>
            <w14:solidFill>
              <w14:schemeClr w14:val="tx1"/>
            </w14:solidFill>
          </w14:textFill>
        </w:rPr>
        <w:t>曲线</w:t>
      </w: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MS Gothic">
    <w:panose1 w:val="020B0609070205080204"/>
    <w:charset w:val="80"/>
    <w:family w:val="modern"/>
    <w:pitch w:val="default"/>
    <w:sig w:usb0="E00002FF" w:usb1="6AC7FDFB" w:usb2="08000012" w:usb3="00000000" w:csb0="4002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4"/>
      </w:rPr>
    </w:pPr>
    <w:r>
      <w:fldChar w:fldCharType="begin"/>
    </w:r>
    <w:r>
      <w:rPr>
        <w:rStyle w:val="24"/>
      </w:rPr>
      <w:instrText xml:space="preserve">PAGE  </w:instrTex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35"/>
        <w:tab w:val="right" w:pos="9070"/>
        <w:tab w:val="clear" w:pos="4153"/>
        <w:tab w:val="clear" w:pos="8306"/>
      </w:tabs>
    </w:pPr>
    <w:r>
      <w:tab/>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9964092"/>
    </w:sdtPr>
    <w:sdtContent>
      <w:p>
        <w:pPr>
          <w:pStyle w:val="13"/>
          <w:jc w:val="center"/>
        </w:pPr>
        <w:r>
          <w:fldChar w:fldCharType="begin"/>
        </w:r>
        <w:r>
          <w:instrText xml:space="preserve">PAGE   \* MERGEFORMAT</w:instrText>
        </w:r>
        <w:r>
          <w:fldChar w:fldCharType="separate"/>
        </w:r>
        <w:r>
          <w:rPr>
            <w:lang w:val="zh-CN"/>
          </w:rPr>
          <w:t>11</w:t>
        </w:r>
        <w:r>
          <w:fldChar w:fldCharType="end"/>
        </w:r>
      </w:p>
    </w:sdtContent>
  </w:sdt>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RhOTdjMmI2OGJkNjIwZTVkODhhODU3ODhmZDg5ZmIifQ=="/>
  </w:docVars>
  <w:rsids>
    <w:rsidRoot w:val="00727EAC"/>
    <w:rsid w:val="00001726"/>
    <w:rsid w:val="00004EFB"/>
    <w:rsid w:val="0000799E"/>
    <w:rsid w:val="00013F44"/>
    <w:rsid w:val="000336C2"/>
    <w:rsid w:val="00034391"/>
    <w:rsid w:val="00046E86"/>
    <w:rsid w:val="00051F0D"/>
    <w:rsid w:val="00054ABE"/>
    <w:rsid w:val="0006041B"/>
    <w:rsid w:val="00061DEA"/>
    <w:rsid w:val="0007753F"/>
    <w:rsid w:val="00081564"/>
    <w:rsid w:val="00087EB7"/>
    <w:rsid w:val="00092C3C"/>
    <w:rsid w:val="00092E61"/>
    <w:rsid w:val="000942C6"/>
    <w:rsid w:val="00094786"/>
    <w:rsid w:val="00096CD4"/>
    <w:rsid w:val="000A033A"/>
    <w:rsid w:val="000A2C23"/>
    <w:rsid w:val="000A66BD"/>
    <w:rsid w:val="000A7070"/>
    <w:rsid w:val="000B1900"/>
    <w:rsid w:val="000C43D9"/>
    <w:rsid w:val="000D6C33"/>
    <w:rsid w:val="000E5631"/>
    <w:rsid w:val="000E6CCC"/>
    <w:rsid w:val="000F67DA"/>
    <w:rsid w:val="00101311"/>
    <w:rsid w:val="0010284A"/>
    <w:rsid w:val="001035CE"/>
    <w:rsid w:val="0010703F"/>
    <w:rsid w:val="00110CAC"/>
    <w:rsid w:val="0012356C"/>
    <w:rsid w:val="00126963"/>
    <w:rsid w:val="001336DA"/>
    <w:rsid w:val="00133D37"/>
    <w:rsid w:val="001573D2"/>
    <w:rsid w:val="00157E6A"/>
    <w:rsid w:val="0016317A"/>
    <w:rsid w:val="00165A28"/>
    <w:rsid w:val="001717C6"/>
    <w:rsid w:val="0017542E"/>
    <w:rsid w:val="00190638"/>
    <w:rsid w:val="001A0B22"/>
    <w:rsid w:val="001A63E1"/>
    <w:rsid w:val="001C015C"/>
    <w:rsid w:val="001C0207"/>
    <w:rsid w:val="001D4A9F"/>
    <w:rsid w:val="001E4571"/>
    <w:rsid w:val="00206C75"/>
    <w:rsid w:val="00207C86"/>
    <w:rsid w:val="002226B3"/>
    <w:rsid w:val="0022341D"/>
    <w:rsid w:val="00223DAB"/>
    <w:rsid w:val="00224E0B"/>
    <w:rsid w:val="00224E60"/>
    <w:rsid w:val="00226D8D"/>
    <w:rsid w:val="002302ED"/>
    <w:rsid w:val="0023749E"/>
    <w:rsid w:val="0023781A"/>
    <w:rsid w:val="0024358E"/>
    <w:rsid w:val="00245752"/>
    <w:rsid w:val="00260E33"/>
    <w:rsid w:val="0026283F"/>
    <w:rsid w:val="00264DF2"/>
    <w:rsid w:val="00282380"/>
    <w:rsid w:val="00295502"/>
    <w:rsid w:val="00295D4C"/>
    <w:rsid w:val="00297DD6"/>
    <w:rsid w:val="002A7D37"/>
    <w:rsid w:val="002B049C"/>
    <w:rsid w:val="002C003E"/>
    <w:rsid w:val="002C2364"/>
    <w:rsid w:val="002C691A"/>
    <w:rsid w:val="002D454C"/>
    <w:rsid w:val="002E0662"/>
    <w:rsid w:val="002E069A"/>
    <w:rsid w:val="002E21D2"/>
    <w:rsid w:val="002E5C5F"/>
    <w:rsid w:val="002E7E00"/>
    <w:rsid w:val="002F07D2"/>
    <w:rsid w:val="003022D5"/>
    <w:rsid w:val="00311438"/>
    <w:rsid w:val="003133D6"/>
    <w:rsid w:val="00314AD7"/>
    <w:rsid w:val="0034106E"/>
    <w:rsid w:val="003538C8"/>
    <w:rsid w:val="003554E2"/>
    <w:rsid w:val="00361277"/>
    <w:rsid w:val="0036399D"/>
    <w:rsid w:val="0037250B"/>
    <w:rsid w:val="003751D9"/>
    <w:rsid w:val="00377126"/>
    <w:rsid w:val="003A3109"/>
    <w:rsid w:val="003A4063"/>
    <w:rsid w:val="003B32A2"/>
    <w:rsid w:val="003B7E19"/>
    <w:rsid w:val="003E050F"/>
    <w:rsid w:val="003E254B"/>
    <w:rsid w:val="003E6DC3"/>
    <w:rsid w:val="003F00A3"/>
    <w:rsid w:val="003F5003"/>
    <w:rsid w:val="004400C8"/>
    <w:rsid w:val="00445DF5"/>
    <w:rsid w:val="00463990"/>
    <w:rsid w:val="004672AC"/>
    <w:rsid w:val="00476F87"/>
    <w:rsid w:val="0048555E"/>
    <w:rsid w:val="00492F48"/>
    <w:rsid w:val="004B6600"/>
    <w:rsid w:val="004B6D2D"/>
    <w:rsid w:val="004C00CF"/>
    <w:rsid w:val="004C0F25"/>
    <w:rsid w:val="004D46C1"/>
    <w:rsid w:val="004E1B21"/>
    <w:rsid w:val="005041DC"/>
    <w:rsid w:val="005229A4"/>
    <w:rsid w:val="00527F89"/>
    <w:rsid w:val="0053098B"/>
    <w:rsid w:val="00541FB9"/>
    <w:rsid w:val="00545934"/>
    <w:rsid w:val="00557A5F"/>
    <w:rsid w:val="00560045"/>
    <w:rsid w:val="00560071"/>
    <w:rsid w:val="00567931"/>
    <w:rsid w:val="0057024D"/>
    <w:rsid w:val="00571146"/>
    <w:rsid w:val="00577BFC"/>
    <w:rsid w:val="00582197"/>
    <w:rsid w:val="00597499"/>
    <w:rsid w:val="005A15B3"/>
    <w:rsid w:val="005A384C"/>
    <w:rsid w:val="005A744C"/>
    <w:rsid w:val="005B444E"/>
    <w:rsid w:val="005C1BBD"/>
    <w:rsid w:val="005D7EB7"/>
    <w:rsid w:val="005F1EB6"/>
    <w:rsid w:val="005F2C94"/>
    <w:rsid w:val="005F5871"/>
    <w:rsid w:val="006023D6"/>
    <w:rsid w:val="00604756"/>
    <w:rsid w:val="0062344A"/>
    <w:rsid w:val="0063155F"/>
    <w:rsid w:val="00633F2F"/>
    <w:rsid w:val="006358C6"/>
    <w:rsid w:val="00635A45"/>
    <w:rsid w:val="00636F20"/>
    <w:rsid w:val="00660F98"/>
    <w:rsid w:val="00674A4B"/>
    <w:rsid w:val="00682687"/>
    <w:rsid w:val="00683174"/>
    <w:rsid w:val="006870DA"/>
    <w:rsid w:val="00691E20"/>
    <w:rsid w:val="00692E6C"/>
    <w:rsid w:val="006A083F"/>
    <w:rsid w:val="006A0A5B"/>
    <w:rsid w:val="006A5664"/>
    <w:rsid w:val="006B342C"/>
    <w:rsid w:val="006B7F41"/>
    <w:rsid w:val="006B7FA6"/>
    <w:rsid w:val="006C1F97"/>
    <w:rsid w:val="006C3AA6"/>
    <w:rsid w:val="006C3D52"/>
    <w:rsid w:val="006C6A92"/>
    <w:rsid w:val="006D72CB"/>
    <w:rsid w:val="006D7C2F"/>
    <w:rsid w:val="006E105E"/>
    <w:rsid w:val="006E2369"/>
    <w:rsid w:val="006E238F"/>
    <w:rsid w:val="006E247F"/>
    <w:rsid w:val="006E3343"/>
    <w:rsid w:val="006E39F6"/>
    <w:rsid w:val="006F6AC5"/>
    <w:rsid w:val="00701C72"/>
    <w:rsid w:val="007025A1"/>
    <w:rsid w:val="00707447"/>
    <w:rsid w:val="00711FF9"/>
    <w:rsid w:val="00712882"/>
    <w:rsid w:val="00716F77"/>
    <w:rsid w:val="007248FF"/>
    <w:rsid w:val="00727EAC"/>
    <w:rsid w:val="00735278"/>
    <w:rsid w:val="00744204"/>
    <w:rsid w:val="00752070"/>
    <w:rsid w:val="007618E1"/>
    <w:rsid w:val="00780830"/>
    <w:rsid w:val="00780DFF"/>
    <w:rsid w:val="0078590F"/>
    <w:rsid w:val="007928C9"/>
    <w:rsid w:val="007B4395"/>
    <w:rsid w:val="007C1ECC"/>
    <w:rsid w:val="007E11E8"/>
    <w:rsid w:val="007F2BE8"/>
    <w:rsid w:val="007F4D0B"/>
    <w:rsid w:val="008024BD"/>
    <w:rsid w:val="00805B66"/>
    <w:rsid w:val="008124CE"/>
    <w:rsid w:val="0081766F"/>
    <w:rsid w:val="008343D2"/>
    <w:rsid w:val="00834CBA"/>
    <w:rsid w:val="00844AE5"/>
    <w:rsid w:val="00845E87"/>
    <w:rsid w:val="00846D6E"/>
    <w:rsid w:val="008474AC"/>
    <w:rsid w:val="00860E6B"/>
    <w:rsid w:val="00866869"/>
    <w:rsid w:val="00880599"/>
    <w:rsid w:val="0089782A"/>
    <w:rsid w:val="008A5A72"/>
    <w:rsid w:val="008B17A1"/>
    <w:rsid w:val="008B36D0"/>
    <w:rsid w:val="008C55A7"/>
    <w:rsid w:val="008D3095"/>
    <w:rsid w:val="008E3417"/>
    <w:rsid w:val="008E3CC3"/>
    <w:rsid w:val="008E7BD2"/>
    <w:rsid w:val="008F12FC"/>
    <w:rsid w:val="008F2FE5"/>
    <w:rsid w:val="00903976"/>
    <w:rsid w:val="0091208C"/>
    <w:rsid w:val="00925424"/>
    <w:rsid w:val="0093133F"/>
    <w:rsid w:val="00932EAD"/>
    <w:rsid w:val="0093584D"/>
    <w:rsid w:val="00941FAA"/>
    <w:rsid w:val="00952277"/>
    <w:rsid w:val="00955D28"/>
    <w:rsid w:val="0095630A"/>
    <w:rsid w:val="00967AD1"/>
    <w:rsid w:val="00971111"/>
    <w:rsid w:val="00972AD8"/>
    <w:rsid w:val="00977753"/>
    <w:rsid w:val="00981092"/>
    <w:rsid w:val="009861D6"/>
    <w:rsid w:val="00994FD1"/>
    <w:rsid w:val="009A2EE8"/>
    <w:rsid w:val="009B03B6"/>
    <w:rsid w:val="009B5595"/>
    <w:rsid w:val="009B744F"/>
    <w:rsid w:val="009D6FD8"/>
    <w:rsid w:val="009E1333"/>
    <w:rsid w:val="009E7FA2"/>
    <w:rsid w:val="009F31CE"/>
    <w:rsid w:val="009F7D4D"/>
    <w:rsid w:val="00A045AC"/>
    <w:rsid w:val="00A0629C"/>
    <w:rsid w:val="00A07FCB"/>
    <w:rsid w:val="00A110EA"/>
    <w:rsid w:val="00A115EC"/>
    <w:rsid w:val="00A15A8D"/>
    <w:rsid w:val="00A25973"/>
    <w:rsid w:val="00A26EB7"/>
    <w:rsid w:val="00A30FB0"/>
    <w:rsid w:val="00A31A4E"/>
    <w:rsid w:val="00A56F60"/>
    <w:rsid w:val="00A64F8B"/>
    <w:rsid w:val="00A71F24"/>
    <w:rsid w:val="00A728BE"/>
    <w:rsid w:val="00A77012"/>
    <w:rsid w:val="00A91DC0"/>
    <w:rsid w:val="00A926E1"/>
    <w:rsid w:val="00A95A35"/>
    <w:rsid w:val="00AA0885"/>
    <w:rsid w:val="00AA5FF4"/>
    <w:rsid w:val="00AB1125"/>
    <w:rsid w:val="00AC7757"/>
    <w:rsid w:val="00AD41F6"/>
    <w:rsid w:val="00AD62E5"/>
    <w:rsid w:val="00AE0B9F"/>
    <w:rsid w:val="00AE3FC7"/>
    <w:rsid w:val="00AE62A9"/>
    <w:rsid w:val="00AE747B"/>
    <w:rsid w:val="00AE7A83"/>
    <w:rsid w:val="00AF0481"/>
    <w:rsid w:val="00AF0AB9"/>
    <w:rsid w:val="00AF2114"/>
    <w:rsid w:val="00AF5689"/>
    <w:rsid w:val="00B000D3"/>
    <w:rsid w:val="00B06C70"/>
    <w:rsid w:val="00B121BC"/>
    <w:rsid w:val="00B167A9"/>
    <w:rsid w:val="00B215CF"/>
    <w:rsid w:val="00B216CA"/>
    <w:rsid w:val="00B2292F"/>
    <w:rsid w:val="00B256C0"/>
    <w:rsid w:val="00B32340"/>
    <w:rsid w:val="00B32372"/>
    <w:rsid w:val="00B365BE"/>
    <w:rsid w:val="00B36A0D"/>
    <w:rsid w:val="00B45486"/>
    <w:rsid w:val="00B557FB"/>
    <w:rsid w:val="00B6122B"/>
    <w:rsid w:val="00B6499A"/>
    <w:rsid w:val="00B6708A"/>
    <w:rsid w:val="00B7111C"/>
    <w:rsid w:val="00B83660"/>
    <w:rsid w:val="00B837F8"/>
    <w:rsid w:val="00B847C5"/>
    <w:rsid w:val="00B903CC"/>
    <w:rsid w:val="00B95F6D"/>
    <w:rsid w:val="00BC2165"/>
    <w:rsid w:val="00BC3B29"/>
    <w:rsid w:val="00BC5255"/>
    <w:rsid w:val="00BC6909"/>
    <w:rsid w:val="00BD0C26"/>
    <w:rsid w:val="00BD1D09"/>
    <w:rsid w:val="00BD24F2"/>
    <w:rsid w:val="00BD3572"/>
    <w:rsid w:val="00BE01CD"/>
    <w:rsid w:val="00BF6764"/>
    <w:rsid w:val="00C0134F"/>
    <w:rsid w:val="00C019C3"/>
    <w:rsid w:val="00C05A1F"/>
    <w:rsid w:val="00C224C4"/>
    <w:rsid w:val="00C238BA"/>
    <w:rsid w:val="00C23EA0"/>
    <w:rsid w:val="00C24875"/>
    <w:rsid w:val="00C24BA3"/>
    <w:rsid w:val="00C27C08"/>
    <w:rsid w:val="00C36FFF"/>
    <w:rsid w:val="00C4287E"/>
    <w:rsid w:val="00C53BD3"/>
    <w:rsid w:val="00C57747"/>
    <w:rsid w:val="00C57B37"/>
    <w:rsid w:val="00C627BB"/>
    <w:rsid w:val="00C6545F"/>
    <w:rsid w:val="00C7088F"/>
    <w:rsid w:val="00C72413"/>
    <w:rsid w:val="00C74D80"/>
    <w:rsid w:val="00C95FB8"/>
    <w:rsid w:val="00CA2006"/>
    <w:rsid w:val="00CB01C0"/>
    <w:rsid w:val="00CC07D8"/>
    <w:rsid w:val="00CC5FC6"/>
    <w:rsid w:val="00CD1AAB"/>
    <w:rsid w:val="00CD3C4C"/>
    <w:rsid w:val="00CD4F4B"/>
    <w:rsid w:val="00CD5AB1"/>
    <w:rsid w:val="00CE111B"/>
    <w:rsid w:val="00CE34A4"/>
    <w:rsid w:val="00CE40A2"/>
    <w:rsid w:val="00CF1379"/>
    <w:rsid w:val="00CF52EC"/>
    <w:rsid w:val="00CF7728"/>
    <w:rsid w:val="00D03331"/>
    <w:rsid w:val="00D05853"/>
    <w:rsid w:val="00D06D79"/>
    <w:rsid w:val="00D15FD8"/>
    <w:rsid w:val="00D23000"/>
    <w:rsid w:val="00D26F94"/>
    <w:rsid w:val="00D30814"/>
    <w:rsid w:val="00D30FE7"/>
    <w:rsid w:val="00D4165E"/>
    <w:rsid w:val="00D41C30"/>
    <w:rsid w:val="00D5758C"/>
    <w:rsid w:val="00D575A5"/>
    <w:rsid w:val="00D62743"/>
    <w:rsid w:val="00D6339E"/>
    <w:rsid w:val="00D633A6"/>
    <w:rsid w:val="00D6449F"/>
    <w:rsid w:val="00D6535B"/>
    <w:rsid w:val="00D71133"/>
    <w:rsid w:val="00D83E51"/>
    <w:rsid w:val="00D922E2"/>
    <w:rsid w:val="00DA050A"/>
    <w:rsid w:val="00DA7711"/>
    <w:rsid w:val="00DA7B59"/>
    <w:rsid w:val="00DB71FE"/>
    <w:rsid w:val="00DB7430"/>
    <w:rsid w:val="00DC0D00"/>
    <w:rsid w:val="00DC3491"/>
    <w:rsid w:val="00DC6E02"/>
    <w:rsid w:val="00DD34C5"/>
    <w:rsid w:val="00DE263C"/>
    <w:rsid w:val="00DE2E9B"/>
    <w:rsid w:val="00DE6B3C"/>
    <w:rsid w:val="00DE71DC"/>
    <w:rsid w:val="00DF19C4"/>
    <w:rsid w:val="00E0406B"/>
    <w:rsid w:val="00E04DFD"/>
    <w:rsid w:val="00E0675F"/>
    <w:rsid w:val="00E13C5E"/>
    <w:rsid w:val="00E35F56"/>
    <w:rsid w:val="00E570E2"/>
    <w:rsid w:val="00E60FE9"/>
    <w:rsid w:val="00E62A01"/>
    <w:rsid w:val="00E6329D"/>
    <w:rsid w:val="00E67AEB"/>
    <w:rsid w:val="00E721A0"/>
    <w:rsid w:val="00E76643"/>
    <w:rsid w:val="00E80691"/>
    <w:rsid w:val="00E8416A"/>
    <w:rsid w:val="00E93CF1"/>
    <w:rsid w:val="00E94006"/>
    <w:rsid w:val="00EA0A73"/>
    <w:rsid w:val="00EA0E4A"/>
    <w:rsid w:val="00EA3B40"/>
    <w:rsid w:val="00EB672F"/>
    <w:rsid w:val="00EC1FF4"/>
    <w:rsid w:val="00ED4416"/>
    <w:rsid w:val="00EE6F1C"/>
    <w:rsid w:val="00F017B0"/>
    <w:rsid w:val="00F02BA9"/>
    <w:rsid w:val="00F04D90"/>
    <w:rsid w:val="00F06185"/>
    <w:rsid w:val="00F11D8F"/>
    <w:rsid w:val="00F24CA2"/>
    <w:rsid w:val="00F3395A"/>
    <w:rsid w:val="00F36731"/>
    <w:rsid w:val="00F37D24"/>
    <w:rsid w:val="00F37D8B"/>
    <w:rsid w:val="00F50049"/>
    <w:rsid w:val="00F51712"/>
    <w:rsid w:val="00F55DE8"/>
    <w:rsid w:val="00F62FC0"/>
    <w:rsid w:val="00F639D1"/>
    <w:rsid w:val="00F77EC3"/>
    <w:rsid w:val="00F8129E"/>
    <w:rsid w:val="00F81CF8"/>
    <w:rsid w:val="00F8515D"/>
    <w:rsid w:val="00F855CA"/>
    <w:rsid w:val="00F8790F"/>
    <w:rsid w:val="00F90C48"/>
    <w:rsid w:val="00F91D8C"/>
    <w:rsid w:val="00FA5849"/>
    <w:rsid w:val="00FA7159"/>
    <w:rsid w:val="00FA7C94"/>
    <w:rsid w:val="00FB11D6"/>
    <w:rsid w:val="00FC15B6"/>
    <w:rsid w:val="00FC3310"/>
    <w:rsid w:val="00FC3624"/>
    <w:rsid w:val="00FC7A47"/>
    <w:rsid w:val="00FE7AE1"/>
    <w:rsid w:val="09DD2811"/>
    <w:rsid w:val="159A70DD"/>
    <w:rsid w:val="3A5531D9"/>
    <w:rsid w:val="456A6B72"/>
    <w:rsid w:val="4FBD5C5E"/>
    <w:rsid w:val="4FE87414"/>
    <w:rsid w:val="520B67D6"/>
    <w:rsid w:val="5D6435A1"/>
    <w:rsid w:val="682A1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2"/>
    <w:semiHidden/>
    <w:unhideWhenUsed/>
    <w:qFormat/>
    <w:uiPriority w:val="9"/>
    <w:pPr>
      <w:keepNext/>
      <w:keepLines/>
      <w:spacing w:before="260" w:after="260" w:line="416" w:lineRule="auto"/>
      <w:outlineLvl w:val="2"/>
    </w:pPr>
    <w:rPr>
      <w:b/>
      <w:bCs/>
      <w:sz w:val="32"/>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cstheme="minorHAnsi"/>
      <w:sz w:val="18"/>
      <w:szCs w:val="18"/>
    </w:rPr>
  </w:style>
  <w:style w:type="paragraph" w:styleId="6">
    <w:name w:val="Normal Indent"/>
    <w:basedOn w:val="1"/>
    <w:qFormat/>
    <w:uiPriority w:val="0"/>
    <w:pPr>
      <w:spacing w:after="50" w:afterLines="50" w:line="360" w:lineRule="auto"/>
      <w:ind w:firstLine="420" w:firstLineChars="200"/>
    </w:pPr>
    <w:rPr>
      <w:rFonts w:ascii="Times New Roman" w:hAnsi="Times New Roman" w:eastAsia="宋体" w:cs="Times New Roman"/>
      <w:szCs w:val="20"/>
    </w:rPr>
  </w:style>
  <w:style w:type="paragraph" w:styleId="7">
    <w:name w:val="annotation text"/>
    <w:basedOn w:val="1"/>
    <w:link w:val="36"/>
    <w:semiHidden/>
    <w:unhideWhenUsed/>
    <w:qFormat/>
    <w:uiPriority w:val="99"/>
    <w:pPr>
      <w:jc w:val="left"/>
    </w:pPr>
  </w:style>
  <w:style w:type="paragraph" w:styleId="8">
    <w:name w:val="toc 5"/>
    <w:basedOn w:val="1"/>
    <w:next w:val="1"/>
    <w:unhideWhenUsed/>
    <w:qFormat/>
    <w:uiPriority w:val="39"/>
    <w:pPr>
      <w:ind w:left="840"/>
      <w:jc w:val="left"/>
    </w:pPr>
    <w:rPr>
      <w:rFonts w:cstheme="minorHAnsi"/>
      <w:sz w:val="18"/>
      <w:szCs w:val="18"/>
    </w:rPr>
  </w:style>
  <w:style w:type="paragraph" w:styleId="9">
    <w:name w:val="toc 3"/>
    <w:basedOn w:val="1"/>
    <w:next w:val="1"/>
    <w:unhideWhenUsed/>
    <w:qFormat/>
    <w:uiPriority w:val="39"/>
    <w:pPr>
      <w:ind w:left="420"/>
      <w:jc w:val="left"/>
    </w:pPr>
    <w:rPr>
      <w:rFonts w:cstheme="minorHAnsi"/>
      <w:i/>
      <w:iCs/>
      <w:sz w:val="20"/>
      <w:szCs w:val="20"/>
    </w:rPr>
  </w:style>
  <w:style w:type="paragraph" w:styleId="10">
    <w:name w:val="toc 8"/>
    <w:basedOn w:val="1"/>
    <w:next w:val="1"/>
    <w:unhideWhenUsed/>
    <w:qFormat/>
    <w:uiPriority w:val="39"/>
    <w:pPr>
      <w:ind w:left="1470"/>
      <w:jc w:val="left"/>
    </w:pPr>
    <w:rPr>
      <w:rFonts w:cstheme="minorHAnsi"/>
      <w:sz w:val="18"/>
      <w:szCs w:val="18"/>
    </w:rPr>
  </w:style>
  <w:style w:type="paragraph" w:styleId="11">
    <w:name w:val="Date"/>
    <w:basedOn w:val="1"/>
    <w:next w:val="1"/>
    <w:link w:val="30"/>
    <w:semiHidden/>
    <w:unhideWhenUsed/>
    <w:qFormat/>
    <w:uiPriority w:val="99"/>
    <w:pPr>
      <w:ind w:left="100" w:leftChars="2500"/>
    </w:pPr>
  </w:style>
  <w:style w:type="paragraph" w:styleId="12">
    <w:name w:val="Balloon Text"/>
    <w:basedOn w:val="1"/>
    <w:link w:val="29"/>
    <w:semiHidden/>
    <w:unhideWhenUsed/>
    <w:qFormat/>
    <w:uiPriority w:val="99"/>
    <w:rPr>
      <w:sz w:val="18"/>
      <w:szCs w:val="18"/>
    </w:rPr>
  </w:style>
  <w:style w:type="paragraph" w:styleId="13">
    <w:name w:val="footer"/>
    <w:basedOn w:val="1"/>
    <w:link w:val="32"/>
    <w:unhideWhenUsed/>
    <w:qFormat/>
    <w:uiPriority w:val="99"/>
    <w:pPr>
      <w:tabs>
        <w:tab w:val="center" w:pos="4153"/>
        <w:tab w:val="right" w:pos="8306"/>
      </w:tabs>
      <w:snapToGrid w:val="0"/>
      <w:jc w:val="left"/>
    </w:pPr>
    <w:rPr>
      <w:sz w:val="18"/>
      <w:szCs w:val="18"/>
    </w:rPr>
  </w:style>
  <w:style w:type="paragraph" w:styleId="14">
    <w:name w:val="header"/>
    <w:basedOn w:val="1"/>
    <w:link w:val="31"/>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spacing w:before="120" w:after="120"/>
      <w:jc w:val="left"/>
    </w:pPr>
    <w:rPr>
      <w:rFonts w:cstheme="minorHAnsi"/>
      <w:b/>
      <w:bCs/>
      <w:caps/>
      <w:sz w:val="20"/>
      <w:szCs w:val="20"/>
    </w:rPr>
  </w:style>
  <w:style w:type="paragraph" w:styleId="16">
    <w:name w:val="toc 4"/>
    <w:basedOn w:val="1"/>
    <w:next w:val="1"/>
    <w:unhideWhenUsed/>
    <w:qFormat/>
    <w:uiPriority w:val="39"/>
    <w:pPr>
      <w:ind w:left="630"/>
      <w:jc w:val="left"/>
    </w:pPr>
    <w:rPr>
      <w:rFonts w:cstheme="minorHAnsi"/>
      <w:sz w:val="18"/>
      <w:szCs w:val="18"/>
    </w:rPr>
  </w:style>
  <w:style w:type="paragraph" w:styleId="17">
    <w:name w:val="toc 6"/>
    <w:basedOn w:val="1"/>
    <w:next w:val="1"/>
    <w:unhideWhenUsed/>
    <w:qFormat/>
    <w:uiPriority w:val="39"/>
    <w:pPr>
      <w:ind w:left="1050"/>
      <w:jc w:val="left"/>
    </w:pPr>
    <w:rPr>
      <w:rFonts w:cstheme="minorHAnsi"/>
      <w:sz w:val="18"/>
      <w:szCs w:val="18"/>
    </w:rPr>
  </w:style>
  <w:style w:type="paragraph" w:styleId="18">
    <w:name w:val="toc 2"/>
    <w:basedOn w:val="1"/>
    <w:next w:val="1"/>
    <w:unhideWhenUsed/>
    <w:qFormat/>
    <w:uiPriority w:val="39"/>
    <w:pPr>
      <w:ind w:left="210"/>
      <w:jc w:val="left"/>
    </w:pPr>
    <w:rPr>
      <w:rFonts w:cstheme="minorHAnsi"/>
      <w:smallCaps/>
      <w:sz w:val="20"/>
      <w:szCs w:val="20"/>
    </w:rPr>
  </w:style>
  <w:style w:type="paragraph" w:styleId="19">
    <w:name w:val="toc 9"/>
    <w:basedOn w:val="1"/>
    <w:next w:val="1"/>
    <w:unhideWhenUsed/>
    <w:qFormat/>
    <w:uiPriority w:val="39"/>
    <w:pPr>
      <w:ind w:left="1680"/>
      <w:jc w:val="left"/>
    </w:pPr>
    <w:rPr>
      <w:rFonts w:cstheme="minorHAnsi"/>
      <w:sz w:val="18"/>
      <w:szCs w:val="18"/>
    </w:rPr>
  </w:style>
  <w:style w:type="paragraph" w:styleId="20">
    <w:name w:val="annotation subject"/>
    <w:basedOn w:val="7"/>
    <w:next w:val="7"/>
    <w:link w:val="37"/>
    <w:semiHidden/>
    <w:unhideWhenUsed/>
    <w:qFormat/>
    <w:uiPriority w:val="99"/>
    <w:rPr>
      <w:b/>
      <w:bCs/>
    </w:rPr>
  </w:style>
  <w:style w:type="table" w:styleId="22">
    <w:name w:val="Table Grid"/>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unhideWhenUsed/>
    <w:qFormat/>
    <w:uiPriority w:val="99"/>
    <w:rPr>
      <w:color w:val="0000FF"/>
      <w:u w:val="single"/>
    </w:rPr>
  </w:style>
  <w:style w:type="character" w:styleId="26">
    <w:name w:val="annotation reference"/>
    <w:basedOn w:val="23"/>
    <w:semiHidden/>
    <w:unhideWhenUsed/>
    <w:qFormat/>
    <w:uiPriority w:val="99"/>
    <w:rPr>
      <w:sz w:val="21"/>
      <w:szCs w:val="21"/>
    </w:rPr>
  </w:style>
  <w:style w:type="character" w:customStyle="1" w:styleId="27">
    <w:name w:val="标题 1 字符"/>
    <w:basedOn w:val="23"/>
    <w:link w:val="2"/>
    <w:qFormat/>
    <w:uiPriority w:val="9"/>
    <w:rPr>
      <w:b/>
      <w:bCs/>
      <w:kern w:val="44"/>
      <w:sz w:val="44"/>
      <w:szCs w:val="44"/>
    </w:rPr>
  </w:style>
  <w:style w:type="paragraph" w:customStyle="1" w:styleId="2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字符"/>
    <w:basedOn w:val="23"/>
    <w:link w:val="12"/>
    <w:semiHidden/>
    <w:qFormat/>
    <w:uiPriority w:val="99"/>
    <w:rPr>
      <w:sz w:val="18"/>
      <w:szCs w:val="18"/>
    </w:rPr>
  </w:style>
  <w:style w:type="character" w:customStyle="1" w:styleId="30">
    <w:name w:val="日期 字符"/>
    <w:basedOn w:val="23"/>
    <w:link w:val="11"/>
    <w:semiHidden/>
    <w:qFormat/>
    <w:uiPriority w:val="99"/>
  </w:style>
  <w:style w:type="character" w:customStyle="1" w:styleId="31">
    <w:name w:val="页眉 字符"/>
    <w:basedOn w:val="23"/>
    <w:link w:val="14"/>
    <w:qFormat/>
    <w:uiPriority w:val="99"/>
    <w:rPr>
      <w:sz w:val="18"/>
      <w:szCs w:val="18"/>
    </w:rPr>
  </w:style>
  <w:style w:type="character" w:customStyle="1" w:styleId="32">
    <w:name w:val="页脚 字符"/>
    <w:basedOn w:val="23"/>
    <w:link w:val="13"/>
    <w:qFormat/>
    <w:uiPriority w:val="99"/>
    <w:rPr>
      <w:sz w:val="18"/>
      <w:szCs w:val="18"/>
    </w:rPr>
  </w:style>
  <w:style w:type="character" w:styleId="33">
    <w:name w:val="Placeholder Text"/>
    <w:basedOn w:val="23"/>
    <w:semiHidden/>
    <w:qFormat/>
    <w:uiPriority w:val="99"/>
    <w:rPr>
      <w:color w:val="666666"/>
    </w:rPr>
  </w:style>
  <w:style w:type="character" w:customStyle="1" w:styleId="34">
    <w:name w:val="页脚 Char"/>
    <w:qFormat/>
    <w:uiPriority w:val="99"/>
    <w:rPr>
      <w:kern w:val="2"/>
      <w:sz w:val="18"/>
      <w:szCs w:val="18"/>
    </w:rPr>
  </w:style>
  <w:style w:type="character" w:customStyle="1" w:styleId="35">
    <w:name w:val="标题 1 Char"/>
    <w:qFormat/>
    <w:uiPriority w:val="0"/>
    <w:rPr>
      <w:rFonts w:eastAsia="黑体"/>
      <w:b/>
      <w:kern w:val="2"/>
      <w:sz w:val="32"/>
      <w:szCs w:val="32"/>
    </w:rPr>
  </w:style>
  <w:style w:type="character" w:customStyle="1" w:styleId="36">
    <w:name w:val="批注文字 字符"/>
    <w:basedOn w:val="23"/>
    <w:link w:val="7"/>
    <w:semiHidden/>
    <w:qFormat/>
    <w:uiPriority w:val="99"/>
  </w:style>
  <w:style w:type="character" w:customStyle="1" w:styleId="37">
    <w:name w:val="批注主题 字符"/>
    <w:basedOn w:val="36"/>
    <w:link w:val="20"/>
    <w:semiHidden/>
    <w:qFormat/>
    <w:uiPriority w:val="99"/>
    <w:rPr>
      <w:b/>
      <w:bCs/>
    </w:rPr>
  </w:style>
  <w:style w:type="paragraph" w:styleId="38">
    <w:name w:val="List Paragraph"/>
    <w:basedOn w:val="1"/>
    <w:qFormat/>
    <w:uiPriority w:val="34"/>
    <w:pPr>
      <w:ind w:firstLine="420" w:firstLineChars="200"/>
    </w:pPr>
  </w:style>
  <w:style w:type="character" w:customStyle="1" w:styleId="39">
    <w:name w:val="标题 2 字符"/>
    <w:basedOn w:val="23"/>
    <w:link w:val="3"/>
    <w:qFormat/>
    <w:uiPriority w:val="9"/>
    <w:rPr>
      <w:rFonts w:asciiTheme="majorHAnsi" w:hAnsiTheme="majorHAnsi" w:eastAsiaTheme="majorEastAsia" w:cstheme="majorBidi"/>
      <w:b/>
      <w:bCs/>
      <w:sz w:val="32"/>
      <w:szCs w:val="32"/>
    </w:rPr>
  </w:style>
  <w:style w:type="paragraph" w:styleId="40">
    <w:name w:val="Quote"/>
    <w:basedOn w:val="1"/>
    <w:next w:val="1"/>
    <w:link w:val="41"/>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1">
    <w:name w:val="引用 字符"/>
    <w:basedOn w:val="23"/>
    <w:link w:val="40"/>
    <w:qFormat/>
    <w:uiPriority w:val="29"/>
    <w:rPr>
      <w:i/>
      <w:iCs/>
      <w:color w:val="404040" w:themeColor="text1" w:themeTint="BF"/>
      <w14:textFill>
        <w14:solidFill>
          <w14:schemeClr w14:val="tx1">
            <w14:lumMod w14:val="75000"/>
            <w14:lumOff w14:val="25000"/>
          </w14:schemeClr>
        </w14:solidFill>
      </w14:textFill>
    </w:rPr>
  </w:style>
  <w:style w:type="character" w:customStyle="1" w:styleId="42">
    <w:name w:val="标题 3 字符"/>
    <w:basedOn w:val="23"/>
    <w:link w:val="4"/>
    <w:semiHidden/>
    <w:qFormat/>
    <w:uiPriority w:val="9"/>
    <w:rPr>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emf"/><Relationship Id="rId13" Type="http://schemas.openxmlformats.org/officeDocument/2006/relationships/image" Target="media/image5.emf"/><Relationship Id="rId12" Type="http://schemas.openxmlformats.org/officeDocument/2006/relationships/image" Target="media/image4.emf"/><Relationship Id="rId11" Type="http://schemas.openxmlformats.org/officeDocument/2006/relationships/image" Target="media/image3.jpe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603F82-7D25-455A-A255-AA9DC3FF6D99}">
  <ds:schemaRefs/>
</ds:datastoreItem>
</file>

<file path=docProps/app.xml><?xml version="1.0" encoding="utf-8"?>
<Properties xmlns="http://schemas.openxmlformats.org/officeDocument/2006/extended-properties" xmlns:vt="http://schemas.openxmlformats.org/officeDocument/2006/docPropsVTypes">
  <Template>Normal.dotm</Template>
  <Company>杭州市规划局</Company>
  <Pages>1</Pages>
  <Words>3423</Words>
  <Characters>19517</Characters>
  <Lines>162</Lines>
  <Paragraphs>45</Paragraphs>
  <TotalTime>10</TotalTime>
  <ScaleCrop>false</ScaleCrop>
  <LinksUpToDate>false</LinksUpToDate>
  <CharactersWithSpaces>22895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2024-04-30T10:27:00Z</dcterms:created>
  <dc:creator>ybl</dc:creator>
  <cp:lastModifiedBy>lzq</cp:lastModifiedBy>
  <cp:lastPrinted>2024-04-30T10:27:00Z</cp:lastPrinted>
  <dcterms:modified xsi:type="dcterms:W3CDTF">2024-05-05T10:07:40Z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1A2B6026BC684C83A50F3C671D3B69B6</vt:lpwstr>
  </property>
</Properties>
</file>