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13951" w:type="dxa"/>
        <w:tblCellSpacing w:w="0" w:type="dxa"/>
        <w:tblInd w:w="7" w:type="dxa"/>
        <w:shd w:val="clear" w:color="auto" w:fill="F7FDFF"/>
        <w:tblLayout w:type="fixed"/>
        <w:tblCellMar>
          <w:top w:w="0" w:type="dxa"/>
          <w:left w:w="0" w:type="dxa"/>
          <w:bottom w:w="0" w:type="dxa"/>
          <w:right w:w="0" w:type="dxa"/>
        </w:tblCellMar>
      </w:tblPr>
      <w:tblGrid>
        <w:gridCol w:w="13951"/>
      </w:tblGrid>
      <w:tr>
        <w:tblPrEx>
          <w:shd w:val="clear" w:color="auto" w:fill="F7FDFF"/>
          <w:tblLayout w:type="fixed"/>
          <w:tblCellMar>
            <w:top w:w="0" w:type="dxa"/>
            <w:left w:w="0" w:type="dxa"/>
            <w:bottom w:w="0" w:type="dxa"/>
            <w:right w:w="0" w:type="dxa"/>
          </w:tblCellMar>
        </w:tblPrEx>
        <w:trPr>
          <w:tblCellSpacing w:w="0" w:type="dxa"/>
        </w:trPr>
        <w:tc>
          <w:tcPr>
            <w:tcW w:w="13951" w:type="dxa"/>
            <w:shd w:val="clear" w:color="auto" w:fill="F7FD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center"/>
              <w:rPr>
                <w:sz w:val="36"/>
                <w:szCs w:val="36"/>
              </w:rPr>
            </w:pPr>
            <w:r>
              <w:rPr>
                <w:rFonts w:hint="eastAsia"/>
                <w:lang w:val="en-US" w:eastAsia="zh-CN"/>
              </w:rPr>
              <w:t xml:space="preserve"> </w:t>
            </w:r>
            <w:r>
              <w:rPr>
                <w:i w:val="0"/>
                <w:caps w:val="0"/>
                <w:color w:val="333333"/>
                <w:spacing w:val="0"/>
                <w:sz w:val="36"/>
                <w:szCs w:val="36"/>
              </w:rPr>
              <w:t>2项化工工程建设行业标准获批  </w:t>
            </w:r>
          </w:p>
        </w:tc>
      </w:tr>
      <w:tr>
        <w:tblPrEx>
          <w:shd w:val="clear" w:color="auto" w:fill="F7FDFF"/>
          <w:tblLayout w:type="fixed"/>
          <w:tblCellMar>
            <w:top w:w="0" w:type="dxa"/>
            <w:left w:w="0" w:type="dxa"/>
            <w:bottom w:w="0" w:type="dxa"/>
            <w:right w:w="0" w:type="dxa"/>
          </w:tblCellMar>
        </w:tblPrEx>
        <w:trPr>
          <w:tblCellSpacing w:w="0" w:type="dxa"/>
        </w:trPr>
        <w:tc>
          <w:tcPr>
            <w:tcW w:w="13951" w:type="dxa"/>
            <w:tcBorders>
              <w:bottom w:val="dashed" w:color="CCCCCC" w:sz="6" w:space="0"/>
            </w:tcBorders>
            <w:shd w:val="clear" w:color="auto" w:fill="F7FDFF"/>
            <w:tcMar>
              <w:bottom w:w="90" w:type="dxa"/>
            </w:tcMar>
            <w:vAlign w:val="center"/>
          </w:tcPr>
          <w:p>
            <w:pPr>
              <w:keepNext w:val="0"/>
              <w:keepLines w:val="0"/>
              <w:widowControl/>
              <w:suppressLineNumbers w:val="0"/>
              <w:spacing w:line="30" w:lineRule="atLeast"/>
              <w:ind w:left="0" w:firstLine="0"/>
              <w:jc w:val="center"/>
              <w:rPr>
                <w:rFonts w:hint="eastAsia" w:ascii="Verdana" w:hAnsi="Verdana" w:cs="Verdana"/>
                <w:b w:val="0"/>
                <w:i w:val="0"/>
                <w:caps w:val="0"/>
                <w:color w:val="666666"/>
                <w:spacing w:val="0"/>
                <w:sz w:val="18"/>
                <w:szCs w:val="18"/>
              </w:rPr>
            </w:pPr>
            <w:r>
              <w:rPr>
                <w:rFonts w:hint="eastAsia" w:ascii="Verdana" w:hAnsi="Verdana" w:eastAsia="宋体" w:cs="Verdana"/>
                <w:b w:val="0"/>
                <w:i w:val="0"/>
                <w:caps w:val="0"/>
                <w:color w:val="666666"/>
                <w:spacing w:val="0"/>
                <w:kern w:val="0"/>
                <w:sz w:val="18"/>
                <w:szCs w:val="18"/>
                <w:lang w:val="en-US" w:eastAsia="zh-CN" w:bidi="ar"/>
              </w:rPr>
              <w:t xml:space="preserve"> </w:t>
            </w:r>
          </w:p>
        </w:tc>
      </w:tr>
    </w:tbl>
    <w:p>
      <w:pPr>
        <w:rPr>
          <w:vanish/>
          <w:sz w:val="24"/>
          <w:szCs w:val="24"/>
        </w:rPr>
      </w:pPr>
    </w:p>
    <w:tbl>
      <w:tblPr>
        <w:tblStyle w:val="7"/>
        <w:tblW w:w="13958" w:type="dxa"/>
        <w:tblCellSpacing w:w="0" w:type="dxa"/>
        <w:tblInd w:w="0" w:type="dxa"/>
        <w:shd w:val="clear" w:color="auto" w:fill="F7FDFF"/>
        <w:tblLayout w:type="fixed"/>
        <w:tblCellMar>
          <w:top w:w="0" w:type="dxa"/>
          <w:left w:w="0" w:type="dxa"/>
          <w:bottom w:w="0" w:type="dxa"/>
          <w:right w:w="0" w:type="dxa"/>
        </w:tblCellMar>
      </w:tblPr>
      <w:tblGrid>
        <w:gridCol w:w="13958"/>
      </w:tblGrid>
      <w:tr>
        <w:tblPrEx>
          <w:tblLayout w:type="fixed"/>
          <w:tblCellMar>
            <w:top w:w="0" w:type="dxa"/>
            <w:left w:w="0" w:type="dxa"/>
            <w:bottom w:w="0" w:type="dxa"/>
            <w:right w:w="0" w:type="dxa"/>
          </w:tblCellMar>
        </w:tblPrEx>
        <w:trPr>
          <w:tblCellSpacing w:w="0" w:type="dxa"/>
        </w:trPr>
        <w:tc>
          <w:tcPr>
            <w:tcW w:w="13958" w:type="dxa"/>
            <w:shd w:val="clear" w:color="auto" w:fill="F7FD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7" w:lineRule="atLeast"/>
              <w:ind w:left="0" w:right="0"/>
              <w:jc w:val="left"/>
            </w:pPr>
            <w:r>
              <w:rPr>
                <w:rFonts w:hint="default" w:ascii="Verdana" w:hAnsi="Verdana" w:cs="Verdana"/>
                <w:b w:val="0"/>
                <w:i w:val="0"/>
                <w:caps w:val="0"/>
                <w:color w:val="333333"/>
                <w:spacing w:val="0"/>
                <w:sz w:val="21"/>
                <w:szCs w:val="21"/>
              </w:rPr>
              <w:t>　　201</w:t>
            </w:r>
            <w:r>
              <w:rPr>
                <w:rFonts w:hint="eastAsia" w:ascii="Verdana" w:hAnsi="Verdana" w:cs="Verdana"/>
                <w:b w:val="0"/>
                <w:i w:val="0"/>
                <w:caps w:val="0"/>
                <w:color w:val="333333"/>
                <w:spacing w:val="0"/>
                <w:sz w:val="21"/>
                <w:szCs w:val="21"/>
                <w:lang w:val="en-US" w:eastAsia="zh-CN"/>
              </w:rPr>
              <w:t>9</w:t>
            </w:r>
            <w:r>
              <w:rPr>
                <w:rFonts w:hint="default" w:ascii="Verdana" w:hAnsi="Verdana" w:cs="Verdana"/>
                <w:b w:val="0"/>
                <w:i w:val="0"/>
                <w:caps w:val="0"/>
                <w:color w:val="333333"/>
                <w:spacing w:val="0"/>
                <w:sz w:val="21"/>
                <w:szCs w:val="21"/>
              </w:rPr>
              <w:t>年</w:t>
            </w:r>
            <w:r>
              <w:rPr>
                <w:rFonts w:hint="eastAsia" w:ascii="Verdana" w:hAnsi="Verdana" w:cs="Verdana"/>
                <w:b w:val="0"/>
                <w:i w:val="0"/>
                <w:caps w:val="0"/>
                <w:color w:val="333333"/>
                <w:spacing w:val="0"/>
                <w:sz w:val="21"/>
                <w:szCs w:val="21"/>
                <w:lang w:val="en-US" w:eastAsia="zh-CN"/>
              </w:rPr>
              <w:t>8</w:t>
            </w:r>
            <w:r>
              <w:rPr>
                <w:rFonts w:hint="default" w:ascii="Verdana" w:hAnsi="Verdana" w:cs="Verdana"/>
                <w:b w:val="0"/>
                <w:i w:val="0"/>
                <w:caps w:val="0"/>
                <w:color w:val="333333"/>
                <w:spacing w:val="0"/>
                <w:sz w:val="21"/>
                <w:szCs w:val="21"/>
              </w:rPr>
              <w:t>月2</w:t>
            </w:r>
            <w:r>
              <w:rPr>
                <w:rFonts w:hint="eastAsia" w:ascii="Verdana" w:hAnsi="Verdana" w:cs="Verdana"/>
                <w:b w:val="0"/>
                <w:i w:val="0"/>
                <w:caps w:val="0"/>
                <w:color w:val="333333"/>
                <w:spacing w:val="0"/>
                <w:sz w:val="21"/>
                <w:szCs w:val="21"/>
                <w:lang w:val="en-US" w:eastAsia="zh-CN"/>
              </w:rPr>
              <w:t>7</w:t>
            </w:r>
            <w:r>
              <w:rPr>
                <w:rFonts w:hint="default" w:ascii="Verdana" w:hAnsi="Verdana" w:cs="Verdana"/>
                <w:b w:val="0"/>
                <w:i w:val="0"/>
                <w:caps w:val="0"/>
                <w:color w:val="333333"/>
                <w:spacing w:val="0"/>
                <w:sz w:val="21"/>
                <w:szCs w:val="21"/>
              </w:rPr>
              <w:t>日,</w:t>
            </w:r>
            <w:r>
              <w:rPr>
                <w:rFonts w:hint="default" w:ascii="Verdana" w:hAnsi="Verdana" w:cs="Verdana"/>
                <w:b w:val="0"/>
                <w:i w:val="0"/>
                <w:caps w:val="0"/>
                <w:color w:val="07519A"/>
                <w:spacing w:val="0"/>
                <w:sz w:val="21"/>
                <w:szCs w:val="21"/>
                <w:u w:val="none"/>
              </w:rPr>
              <w:fldChar w:fldCharType="begin"/>
            </w:r>
            <w:r>
              <w:rPr>
                <w:rFonts w:hint="default" w:ascii="Verdana" w:hAnsi="Verdana" w:cs="Verdana"/>
                <w:b w:val="0"/>
                <w:i w:val="0"/>
                <w:caps w:val="0"/>
                <w:color w:val="07519A"/>
                <w:spacing w:val="0"/>
                <w:sz w:val="21"/>
                <w:szCs w:val="21"/>
                <w:u w:val="none"/>
              </w:rPr>
              <w:instrText xml:space="preserve"> HYPERLINK "http://www.miit.gov.cn/n1146295/n1652858/n1652930/n4509607/c6476222/content.html" \t "http://www.ccesda.com/bzjs/HYBZ/YWDT/2018-11-21/_blank" </w:instrText>
            </w:r>
            <w:r>
              <w:rPr>
                <w:rFonts w:hint="default" w:ascii="Verdana" w:hAnsi="Verdana" w:cs="Verdana"/>
                <w:b w:val="0"/>
                <w:i w:val="0"/>
                <w:caps w:val="0"/>
                <w:color w:val="07519A"/>
                <w:spacing w:val="0"/>
                <w:sz w:val="21"/>
                <w:szCs w:val="21"/>
                <w:u w:val="none"/>
              </w:rPr>
              <w:fldChar w:fldCharType="separate"/>
            </w:r>
            <w:r>
              <w:rPr>
                <w:rStyle w:val="6"/>
                <w:rFonts w:hint="default" w:ascii="Verdana" w:hAnsi="Verdana" w:cs="Verdana"/>
                <w:b w:val="0"/>
                <w:i w:val="0"/>
                <w:caps w:val="0"/>
                <w:color w:val="07519A"/>
                <w:spacing w:val="0"/>
                <w:sz w:val="21"/>
                <w:szCs w:val="21"/>
                <w:u w:val="none"/>
              </w:rPr>
              <w:t>工业和信息化部共批准了4</w:t>
            </w:r>
            <w:r>
              <w:rPr>
                <w:rStyle w:val="6"/>
                <w:rFonts w:hint="eastAsia" w:ascii="Verdana" w:hAnsi="Verdana" w:cs="Verdana"/>
                <w:b w:val="0"/>
                <w:i w:val="0"/>
                <w:caps w:val="0"/>
                <w:color w:val="07519A"/>
                <w:spacing w:val="0"/>
                <w:sz w:val="21"/>
                <w:szCs w:val="21"/>
                <w:u w:val="none"/>
                <w:lang w:val="en-US" w:eastAsia="zh-CN"/>
              </w:rPr>
              <w:t>36</w:t>
            </w:r>
            <w:r>
              <w:rPr>
                <w:rStyle w:val="6"/>
                <w:rFonts w:hint="default" w:ascii="Verdana" w:hAnsi="Verdana" w:cs="Verdana"/>
                <w:b w:val="0"/>
                <w:i w:val="0"/>
                <w:caps w:val="0"/>
                <w:color w:val="07519A"/>
                <w:spacing w:val="0"/>
                <w:sz w:val="21"/>
                <w:szCs w:val="21"/>
                <w:u w:val="none"/>
              </w:rPr>
              <w:t>项行业标准(见中华人民共和国工业和信息化部公告201</w:t>
            </w:r>
            <w:r>
              <w:rPr>
                <w:rStyle w:val="6"/>
                <w:rFonts w:hint="eastAsia" w:ascii="Verdana" w:hAnsi="Verdana" w:cs="Verdana"/>
                <w:b w:val="0"/>
                <w:i w:val="0"/>
                <w:caps w:val="0"/>
                <w:color w:val="07519A"/>
                <w:spacing w:val="0"/>
                <w:sz w:val="21"/>
                <w:szCs w:val="21"/>
                <w:u w:val="none"/>
                <w:lang w:val="en-US" w:eastAsia="zh-CN"/>
              </w:rPr>
              <w:t>9</w:t>
            </w:r>
            <w:r>
              <w:rPr>
                <w:rStyle w:val="6"/>
                <w:rFonts w:hint="default" w:ascii="Verdana" w:hAnsi="Verdana" w:cs="Verdana"/>
                <w:b w:val="0"/>
                <w:i w:val="0"/>
                <w:caps w:val="0"/>
                <w:color w:val="07519A"/>
                <w:spacing w:val="0"/>
                <w:sz w:val="21"/>
                <w:szCs w:val="21"/>
                <w:u w:val="none"/>
              </w:rPr>
              <w:t>年第</w:t>
            </w:r>
            <w:r>
              <w:rPr>
                <w:rStyle w:val="6"/>
                <w:rFonts w:hint="eastAsia" w:ascii="Verdana" w:hAnsi="Verdana" w:cs="Verdana"/>
                <w:b w:val="0"/>
                <w:i w:val="0"/>
                <w:caps w:val="0"/>
                <w:color w:val="07519A"/>
                <w:spacing w:val="0"/>
                <w:sz w:val="21"/>
                <w:szCs w:val="21"/>
                <w:u w:val="none"/>
                <w:lang w:val="en-US" w:eastAsia="zh-CN"/>
              </w:rPr>
              <w:t>29</w:t>
            </w:r>
            <w:r>
              <w:rPr>
                <w:rStyle w:val="6"/>
                <w:rFonts w:hint="default" w:ascii="Verdana" w:hAnsi="Verdana" w:cs="Verdana"/>
                <w:b w:val="0"/>
                <w:i w:val="0"/>
                <w:caps w:val="0"/>
                <w:color w:val="07519A"/>
                <w:spacing w:val="0"/>
                <w:sz w:val="21"/>
                <w:szCs w:val="21"/>
                <w:u w:val="none"/>
              </w:rPr>
              <w:t>号)</w:t>
            </w:r>
            <w:r>
              <w:rPr>
                <w:rFonts w:hint="default" w:ascii="Verdana" w:hAnsi="Verdana" w:cs="Verdana"/>
                <w:b w:val="0"/>
                <w:i w:val="0"/>
                <w:caps w:val="0"/>
                <w:color w:val="07519A"/>
                <w:spacing w:val="0"/>
                <w:sz w:val="21"/>
                <w:szCs w:val="21"/>
                <w:u w:val="none"/>
              </w:rPr>
              <w:fldChar w:fldCharType="end"/>
            </w:r>
            <w:r>
              <w:rPr>
                <w:rFonts w:hint="default" w:ascii="Verdana" w:hAnsi="Verdana" w:cs="Verdana"/>
                <w:b w:val="0"/>
                <w:i w:val="0"/>
                <w:caps w:val="0"/>
                <w:color w:val="333333"/>
                <w:spacing w:val="0"/>
                <w:sz w:val="21"/>
                <w:szCs w:val="21"/>
              </w:rPr>
              <w:t>，其中化工行业工程建设标准2项(标准编号、名称、主要内容及起始实施日期见一览表)，标准实施日期都是20</w:t>
            </w:r>
            <w:r>
              <w:rPr>
                <w:rFonts w:hint="eastAsia" w:ascii="Verdana" w:hAnsi="Verdana" w:cs="Verdana"/>
                <w:b w:val="0"/>
                <w:i w:val="0"/>
                <w:caps w:val="0"/>
                <w:color w:val="333333"/>
                <w:spacing w:val="0"/>
                <w:sz w:val="21"/>
                <w:szCs w:val="21"/>
                <w:lang w:val="en-US" w:eastAsia="zh-CN"/>
              </w:rPr>
              <w:t>20</w:t>
            </w:r>
            <w:r>
              <w:rPr>
                <w:rFonts w:hint="default" w:ascii="Verdana" w:hAnsi="Verdana" w:cs="Verdana"/>
                <w:b w:val="0"/>
                <w:i w:val="0"/>
                <w:caps w:val="0"/>
                <w:color w:val="333333"/>
                <w:spacing w:val="0"/>
                <w:sz w:val="21"/>
                <w:szCs w:val="21"/>
              </w:rPr>
              <w:t>年</w:t>
            </w:r>
            <w:r>
              <w:rPr>
                <w:rFonts w:hint="eastAsia" w:ascii="Verdana" w:hAnsi="Verdana" w:cs="Verdana"/>
                <w:b w:val="0"/>
                <w:i w:val="0"/>
                <w:caps w:val="0"/>
                <w:color w:val="333333"/>
                <w:spacing w:val="0"/>
                <w:sz w:val="21"/>
                <w:szCs w:val="21"/>
                <w:lang w:val="en-US" w:eastAsia="zh-CN"/>
              </w:rPr>
              <w:t>1</w:t>
            </w:r>
            <w:r>
              <w:rPr>
                <w:rFonts w:hint="default" w:ascii="Verdana" w:hAnsi="Verdana" w:cs="Verdana"/>
                <w:b w:val="0"/>
                <w:i w:val="0"/>
                <w:caps w:val="0"/>
                <w:color w:val="333333"/>
                <w:spacing w:val="0"/>
                <w:sz w:val="21"/>
                <w:szCs w:val="21"/>
              </w:rPr>
              <w:t>月1日。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27" w:lineRule="atLeast"/>
              <w:ind w:left="0" w:right="0"/>
              <w:jc w:val="center"/>
            </w:pPr>
            <w:r>
              <w:rPr>
                <w:rStyle w:val="5"/>
                <w:rFonts w:hint="default" w:ascii="Verdana" w:hAnsi="Verdana" w:cs="Verdana"/>
                <w:i w:val="0"/>
                <w:caps w:val="0"/>
                <w:color w:val="333333"/>
                <w:spacing w:val="0"/>
                <w:sz w:val="21"/>
                <w:szCs w:val="21"/>
              </w:rPr>
              <w:t>2项化工行业标准编号、名称、主要内容等一览表</w:t>
            </w:r>
          </w:p>
          <w:tbl>
            <w:tblPr>
              <w:tblStyle w:val="7"/>
              <w:tblW w:w="14655" w:type="dxa"/>
              <w:jc w:val="center"/>
              <w:tblCellSpacing w:w="0" w:type="dxa"/>
              <w:tblInd w:w="-348" w:type="dxa"/>
              <w:shd w:val="clear" w:color="auto" w:fill="auto"/>
              <w:tblLayout w:type="fixed"/>
              <w:tblCellMar>
                <w:top w:w="15" w:type="dxa"/>
                <w:left w:w="15" w:type="dxa"/>
                <w:bottom w:w="15" w:type="dxa"/>
                <w:right w:w="15" w:type="dxa"/>
              </w:tblCellMar>
            </w:tblPr>
            <w:tblGrid>
              <w:gridCol w:w="1183"/>
              <w:gridCol w:w="1437"/>
              <w:gridCol w:w="2477"/>
              <w:gridCol w:w="5082"/>
              <w:gridCol w:w="1645"/>
              <w:gridCol w:w="1313"/>
              <w:gridCol w:w="1518"/>
            </w:tblGrid>
            <w:tr>
              <w:tblPrEx>
                <w:shd w:val="clear" w:color="auto" w:fill="auto"/>
                <w:tblLayout w:type="fixed"/>
                <w:tblCellMar>
                  <w:top w:w="15" w:type="dxa"/>
                  <w:left w:w="15" w:type="dxa"/>
                  <w:bottom w:w="15" w:type="dxa"/>
                  <w:right w:w="15" w:type="dxa"/>
                </w:tblCellMar>
              </w:tblPrEx>
              <w:trPr>
                <w:tblCellSpacing w:w="0" w:type="dxa"/>
                <w:jc w:val="center"/>
              </w:trPr>
              <w:tc>
                <w:tcPr>
                  <w:tcW w:w="1183" w:type="dxa"/>
                  <w:shd w:val="clear" w:color="auto" w:fill="auto"/>
                  <w:vAlign w:val="center"/>
                </w:tcPr>
                <w:p>
                  <w:pPr>
                    <w:keepNext w:val="0"/>
                    <w:keepLines w:val="0"/>
                    <w:widowControl/>
                    <w:suppressLineNumbers w:val="0"/>
                    <w:spacing w:line="23" w:lineRule="atLeast"/>
                    <w:jc w:val="center"/>
                    <w:rPr>
                      <w:rFonts w:hint="default" w:ascii="Verdana" w:hAnsi="Verdana" w:cs="Verdana"/>
                      <w:b w:val="0"/>
                      <w:i w:val="0"/>
                      <w:color w:val="333333"/>
                      <w:sz w:val="18"/>
                      <w:szCs w:val="18"/>
                      <w:lang w:val="en-US"/>
                    </w:rPr>
                  </w:pPr>
                  <w:r>
                    <w:rPr>
                      <w:rStyle w:val="5"/>
                      <w:rFonts w:hint="eastAsia" w:ascii="Verdana" w:hAnsi="Verdana" w:eastAsia="宋体" w:cs="Verdana"/>
                      <w:i w:val="0"/>
                      <w:color w:val="333333"/>
                      <w:kern w:val="0"/>
                      <w:sz w:val="18"/>
                      <w:szCs w:val="18"/>
                      <w:lang w:val="en-US" w:eastAsia="zh-CN" w:bidi="ar"/>
                    </w:rPr>
                    <w:t>序号</w:t>
                  </w:r>
                </w:p>
              </w:tc>
              <w:tc>
                <w:tcPr>
                  <w:tcW w:w="1437" w:type="dxa"/>
                  <w:shd w:val="clear" w:color="auto" w:fill="auto"/>
                  <w:vAlign w:val="center"/>
                </w:tcPr>
                <w:p>
                  <w:pPr>
                    <w:keepNext w:val="0"/>
                    <w:keepLines w:val="0"/>
                    <w:widowControl/>
                    <w:suppressLineNumbers w:val="0"/>
                    <w:spacing w:line="23" w:lineRule="atLeast"/>
                    <w:jc w:val="center"/>
                    <w:rPr>
                      <w:rFonts w:hint="default" w:ascii="Verdana" w:hAnsi="Verdana" w:cs="Verdana"/>
                      <w:b w:val="0"/>
                      <w:i w:val="0"/>
                      <w:color w:val="333333"/>
                      <w:sz w:val="18"/>
                      <w:szCs w:val="18"/>
                    </w:rPr>
                  </w:pPr>
                  <w:r>
                    <w:rPr>
                      <w:rStyle w:val="5"/>
                      <w:rFonts w:hint="default" w:ascii="Verdana" w:hAnsi="Verdana" w:eastAsia="宋体" w:cs="Verdana"/>
                      <w:i w:val="0"/>
                      <w:color w:val="333333"/>
                      <w:kern w:val="0"/>
                      <w:sz w:val="18"/>
                      <w:szCs w:val="18"/>
                      <w:lang w:val="en-US" w:eastAsia="zh-CN" w:bidi="ar"/>
                    </w:rPr>
                    <w:t>标准编号</w:t>
                  </w:r>
                </w:p>
              </w:tc>
              <w:tc>
                <w:tcPr>
                  <w:tcW w:w="2477" w:type="dxa"/>
                  <w:shd w:val="clear" w:color="auto" w:fill="auto"/>
                  <w:vAlign w:val="center"/>
                </w:tcPr>
                <w:p>
                  <w:pPr>
                    <w:keepNext w:val="0"/>
                    <w:keepLines w:val="0"/>
                    <w:widowControl/>
                    <w:suppressLineNumbers w:val="0"/>
                    <w:spacing w:line="23" w:lineRule="atLeast"/>
                    <w:jc w:val="center"/>
                    <w:rPr>
                      <w:rFonts w:hint="default" w:ascii="Verdana" w:hAnsi="Verdana" w:cs="Verdana"/>
                      <w:b w:val="0"/>
                      <w:i w:val="0"/>
                      <w:color w:val="333333"/>
                      <w:sz w:val="18"/>
                      <w:szCs w:val="18"/>
                    </w:rPr>
                  </w:pPr>
                  <w:r>
                    <w:rPr>
                      <w:rStyle w:val="5"/>
                      <w:rFonts w:hint="default" w:ascii="Verdana" w:hAnsi="Verdana" w:eastAsia="宋体" w:cs="Verdana"/>
                      <w:i w:val="0"/>
                      <w:color w:val="333333"/>
                      <w:kern w:val="0"/>
                      <w:sz w:val="18"/>
                      <w:szCs w:val="18"/>
                      <w:lang w:val="en-US" w:eastAsia="zh-CN" w:bidi="ar"/>
                    </w:rPr>
                    <w:t>标准名称</w:t>
                  </w:r>
                </w:p>
              </w:tc>
              <w:tc>
                <w:tcPr>
                  <w:tcW w:w="5082" w:type="dxa"/>
                  <w:shd w:val="clear" w:color="auto" w:fill="auto"/>
                  <w:vAlign w:val="center"/>
                </w:tcPr>
                <w:p>
                  <w:pPr>
                    <w:keepNext w:val="0"/>
                    <w:keepLines w:val="0"/>
                    <w:widowControl/>
                    <w:suppressLineNumbers w:val="0"/>
                    <w:spacing w:line="23" w:lineRule="atLeast"/>
                    <w:jc w:val="center"/>
                    <w:rPr>
                      <w:rFonts w:hint="default" w:ascii="Verdana" w:hAnsi="Verdana" w:cs="Verdana"/>
                      <w:b w:val="0"/>
                      <w:i w:val="0"/>
                      <w:color w:val="333333"/>
                      <w:sz w:val="18"/>
                      <w:szCs w:val="18"/>
                    </w:rPr>
                  </w:pPr>
                  <w:r>
                    <w:rPr>
                      <w:rStyle w:val="5"/>
                      <w:rFonts w:hint="default" w:ascii="Verdana" w:hAnsi="Verdana" w:eastAsia="宋体" w:cs="Verdana"/>
                      <w:i w:val="0"/>
                      <w:color w:val="333333"/>
                      <w:kern w:val="0"/>
                      <w:sz w:val="18"/>
                      <w:szCs w:val="18"/>
                      <w:lang w:val="en-US" w:eastAsia="zh-CN" w:bidi="ar"/>
                    </w:rPr>
                    <w:t>标准主要内容</w:t>
                  </w:r>
                </w:p>
              </w:tc>
              <w:tc>
                <w:tcPr>
                  <w:tcW w:w="1645" w:type="dxa"/>
                  <w:shd w:val="clear" w:color="auto" w:fill="auto"/>
                  <w:vAlign w:val="center"/>
                </w:tcPr>
                <w:p>
                  <w:pPr>
                    <w:keepNext w:val="0"/>
                    <w:keepLines w:val="0"/>
                    <w:widowControl/>
                    <w:suppressLineNumbers w:val="0"/>
                    <w:spacing w:line="23" w:lineRule="atLeast"/>
                    <w:jc w:val="center"/>
                    <w:rPr>
                      <w:rFonts w:hint="default" w:ascii="Verdana" w:hAnsi="Verdana" w:cs="Verdana"/>
                      <w:b w:val="0"/>
                      <w:i w:val="0"/>
                      <w:color w:val="333333"/>
                      <w:sz w:val="18"/>
                      <w:szCs w:val="18"/>
                    </w:rPr>
                  </w:pPr>
                  <w:r>
                    <w:rPr>
                      <w:rStyle w:val="5"/>
                      <w:rFonts w:hint="default" w:ascii="Verdana" w:hAnsi="Verdana" w:eastAsia="宋体" w:cs="Verdana"/>
                      <w:i w:val="0"/>
                      <w:color w:val="333333"/>
                      <w:kern w:val="0"/>
                      <w:sz w:val="18"/>
                      <w:szCs w:val="18"/>
                      <w:lang w:val="en-US" w:eastAsia="zh-CN" w:bidi="ar"/>
                    </w:rPr>
                    <w:t>代替标准</w:t>
                  </w:r>
                </w:p>
              </w:tc>
              <w:tc>
                <w:tcPr>
                  <w:tcW w:w="1313" w:type="dxa"/>
                  <w:shd w:val="clear" w:color="auto" w:fill="auto"/>
                  <w:vAlign w:val="center"/>
                </w:tcPr>
                <w:p>
                  <w:pPr>
                    <w:keepNext w:val="0"/>
                    <w:keepLines w:val="0"/>
                    <w:widowControl/>
                    <w:suppressLineNumbers w:val="0"/>
                    <w:spacing w:line="23" w:lineRule="atLeast"/>
                    <w:jc w:val="center"/>
                    <w:rPr>
                      <w:rFonts w:hint="default" w:ascii="Verdana" w:hAnsi="Verdana" w:cs="Verdana"/>
                      <w:b w:val="0"/>
                      <w:i w:val="0"/>
                      <w:color w:val="333333"/>
                      <w:sz w:val="18"/>
                      <w:szCs w:val="18"/>
                    </w:rPr>
                  </w:pPr>
                  <w:r>
                    <w:rPr>
                      <w:rStyle w:val="5"/>
                      <w:rFonts w:hint="default" w:ascii="Verdana" w:hAnsi="Verdana" w:eastAsia="宋体" w:cs="Verdana"/>
                      <w:i w:val="0"/>
                      <w:color w:val="333333"/>
                      <w:kern w:val="0"/>
                      <w:sz w:val="18"/>
                      <w:szCs w:val="18"/>
                      <w:lang w:val="en-US" w:eastAsia="zh-CN" w:bidi="ar"/>
                    </w:rPr>
                    <w:t>采标情况</w:t>
                  </w:r>
                </w:p>
              </w:tc>
              <w:tc>
                <w:tcPr>
                  <w:tcW w:w="1518" w:type="dxa"/>
                  <w:shd w:val="clear" w:color="auto" w:fill="auto"/>
                  <w:vAlign w:val="center"/>
                </w:tcPr>
                <w:p>
                  <w:pPr>
                    <w:keepNext w:val="0"/>
                    <w:keepLines w:val="0"/>
                    <w:widowControl/>
                    <w:suppressLineNumbers w:val="0"/>
                    <w:spacing w:line="23" w:lineRule="atLeast"/>
                    <w:jc w:val="center"/>
                    <w:rPr>
                      <w:rFonts w:hint="default" w:ascii="Verdana" w:hAnsi="Verdana" w:cs="Verdana"/>
                      <w:b w:val="0"/>
                      <w:i w:val="0"/>
                      <w:color w:val="333333"/>
                      <w:sz w:val="18"/>
                      <w:szCs w:val="18"/>
                    </w:rPr>
                  </w:pPr>
                  <w:r>
                    <w:rPr>
                      <w:rStyle w:val="5"/>
                      <w:rFonts w:hint="default" w:ascii="Verdana" w:hAnsi="Verdana" w:eastAsia="宋体" w:cs="Verdana"/>
                      <w:i w:val="0"/>
                      <w:color w:val="333333"/>
                      <w:kern w:val="0"/>
                      <w:sz w:val="18"/>
                      <w:szCs w:val="18"/>
                      <w:lang w:val="en-US" w:eastAsia="zh-CN" w:bidi="ar"/>
                    </w:rPr>
                    <w:t>实施日期</w:t>
                  </w:r>
                </w:p>
              </w:tc>
            </w:tr>
            <w:tr>
              <w:tblPrEx>
                <w:shd w:val="clear" w:color="auto" w:fill="auto"/>
                <w:tblLayout w:type="fixed"/>
                <w:tblCellMar>
                  <w:top w:w="15" w:type="dxa"/>
                  <w:left w:w="15" w:type="dxa"/>
                  <w:bottom w:w="15" w:type="dxa"/>
                  <w:right w:w="15" w:type="dxa"/>
                </w:tblCellMar>
              </w:tblPrEx>
              <w:trPr>
                <w:tblCellSpacing w:w="0" w:type="dxa"/>
                <w:jc w:val="center"/>
              </w:trPr>
              <w:tc>
                <w:tcPr>
                  <w:tcW w:w="1183" w:type="dxa"/>
                  <w:shd w:val="clear" w:color="auto" w:fill="auto"/>
                  <w:vAlign w:val="center"/>
                </w:tcPr>
                <w:p>
                  <w:pPr>
                    <w:keepNext w:val="0"/>
                    <w:keepLines w:val="0"/>
                    <w:widowControl/>
                    <w:suppressLineNumbers w:val="0"/>
                    <w:spacing w:line="23" w:lineRule="atLeast"/>
                    <w:jc w:val="left"/>
                    <w:rPr>
                      <w:rFonts w:hint="default" w:ascii="Verdana" w:hAnsi="Verdana" w:cs="Verdana"/>
                      <w:b w:val="0"/>
                      <w:i w:val="0"/>
                      <w:color w:val="333333"/>
                      <w:sz w:val="18"/>
                      <w:szCs w:val="18"/>
                      <w:lang w:val="en-US"/>
                    </w:rPr>
                  </w:pPr>
                  <w:r>
                    <w:rPr>
                      <w:rFonts w:hint="default" w:ascii="Verdana" w:hAnsi="Verdana" w:eastAsia="宋体" w:cs="Verdana"/>
                      <w:b w:val="0"/>
                      <w:i w:val="0"/>
                      <w:color w:val="333333"/>
                      <w:kern w:val="0"/>
                      <w:sz w:val="18"/>
                      <w:szCs w:val="18"/>
                      <w:lang w:val="en-US" w:eastAsia="zh-CN" w:bidi="ar"/>
                    </w:rPr>
                    <w:br w:type="textWrapping"/>
                  </w:r>
                  <w:r>
                    <w:rPr>
                      <w:rFonts w:hint="default" w:ascii="Verdana" w:hAnsi="Verdana" w:eastAsia="宋体" w:cs="Verdana"/>
                      <w:b w:val="0"/>
                      <w:i w:val="0"/>
                      <w:color w:val="333333"/>
                      <w:kern w:val="0"/>
                      <w:sz w:val="18"/>
                      <w:szCs w:val="18"/>
                      <w:lang w:val="en-US" w:eastAsia="zh-CN" w:bidi="ar"/>
                    </w:rPr>
                    <w:t>224</w:t>
                  </w:r>
                  <w:r>
                    <w:rPr>
                      <w:rFonts w:hint="eastAsia" w:ascii="Verdana" w:hAnsi="Verdana" w:eastAsia="宋体" w:cs="Verdana"/>
                      <w:b w:val="0"/>
                      <w:i w:val="0"/>
                      <w:color w:val="333333"/>
                      <w:kern w:val="0"/>
                      <w:sz w:val="18"/>
                      <w:szCs w:val="18"/>
                      <w:lang w:val="en-US" w:eastAsia="zh-CN" w:bidi="ar"/>
                    </w:rPr>
                    <w:t>139</w:t>
                  </w:r>
                </w:p>
              </w:tc>
              <w:tc>
                <w:tcPr>
                  <w:tcW w:w="1437" w:type="dxa"/>
                  <w:shd w:val="clear" w:color="auto" w:fill="auto"/>
                  <w:vAlign w:val="top"/>
                </w:tcPr>
                <w:p>
                  <w:pPr>
                    <w:widowControl/>
                    <w:spacing w:line="360" w:lineRule="exact"/>
                    <w:rPr>
                      <w:rFonts w:hint="default" w:ascii="Verdana" w:hAnsi="Verdana" w:cs="Verdana"/>
                      <w:b w:val="0"/>
                      <w:i w:val="0"/>
                      <w:color w:val="000000" w:themeColor="text1"/>
                      <w:sz w:val="18"/>
                      <w:szCs w:val="18"/>
                      <w14:textFill>
                        <w14:solidFill>
                          <w14:schemeClr w14:val="tx1"/>
                        </w14:solidFill>
                      </w14:textFill>
                    </w:rPr>
                  </w:pPr>
                  <w:r>
                    <w:rPr>
                      <w:rFonts w:hint="eastAsia" w:ascii="仿宋_GB2312" w:hAnsi="宋体" w:eastAsia="仿宋_GB2312" w:cs="宋体"/>
                      <w:color w:val="000000" w:themeColor="text1"/>
                      <w:kern w:val="0"/>
                      <w:szCs w:val="21"/>
                      <w14:textFill>
                        <w14:solidFill>
                          <w14:schemeClr w14:val="tx1"/>
                        </w14:solidFill>
                      </w14:textFill>
                    </w:rPr>
                    <w:t>HG/T 20277-2019</w:t>
                  </w:r>
                </w:p>
              </w:tc>
              <w:tc>
                <w:tcPr>
                  <w:tcW w:w="2477" w:type="dxa"/>
                  <w:shd w:val="clear" w:color="auto" w:fill="auto"/>
                  <w:vAlign w:val="top"/>
                </w:tcPr>
                <w:p>
                  <w:pPr>
                    <w:widowControl/>
                    <w:spacing w:line="360" w:lineRule="exact"/>
                    <w:rPr>
                      <w:rFonts w:hint="default" w:ascii="Verdana" w:hAnsi="Verdana" w:cs="Verdana"/>
                      <w:b w:val="0"/>
                      <w:i w:val="0"/>
                      <w:color w:val="000000" w:themeColor="text1"/>
                      <w:sz w:val="18"/>
                      <w:szCs w:val="18"/>
                      <w14:textFill>
                        <w14:solidFill>
                          <w14:schemeClr w14:val="tx1"/>
                        </w14:solidFill>
                      </w14:textFill>
                    </w:rPr>
                  </w:pPr>
                  <w:r>
                    <w:rPr>
                      <w:rFonts w:hint="eastAsia" w:ascii="仿宋_GB2312" w:hAnsi="宋体" w:eastAsia="仿宋_GB2312" w:cs="宋体"/>
                      <w:color w:val="000000" w:themeColor="text1"/>
                      <w:kern w:val="0"/>
                      <w:szCs w:val="21"/>
                      <w14:textFill>
                        <w14:solidFill>
                          <w14:schemeClr w14:val="tx1"/>
                        </w14:solidFill>
                      </w14:textFill>
                    </w:rPr>
                    <w:t>化工储罐施工及验收规范</w:t>
                  </w:r>
                </w:p>
              </w:tc>
              <w:tc>
                <w:tcPr>
                  <w:tcW w:w="5082" w:type="dxa"/>
                  <w:shd w:val="clear" w:color="auto" w:fill="auto"/>
                  <w:vAlign w:val="top"/>
                </w:tcPr>
                <w:p>
                  <w:pPr>
                    <w:widowControl/>
                    <w:spacing w:line="360" w:lineRule="exact"/>
                    <w:ind w:firstLine="420" w:firstLineChars="200"/>
                    <w:rPr>
                      <w:rFonts w:hint="eastAsia"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color w:val="000000" w:themeColor="text1"/>
                      <w:kern w:val="0"/>
                      <w:szCs w:val="21"/>
                      <w14:textFill>
                        <w14:solidFill>
                          <w14:schemeClr w14:val="tx1"/>
                        </w14:solidFill>
                      </w14:textFill>
                    </w:rPr>
                    <w:t>本规范规定了化工储罐施工及验收过程中的术语、基本规定、材料、预制、组装、焊接、检验与试验、防腐蚀和绝热、工程验收及质量检验记录表格等要求。</w:t>
                  </w:r>
                </w:p>
                <w:p>
                  <w:pPr>
                    <w:widowControl/>
                    <w:spacing w:line="360" w:lineRule="exact"/>
                    <w:ind w:firstLine="420" w:firstLineChars="200"/>
                    <w:rPr>
                      <w:rFonts w:hint="default" w:ascii="Verdana" w:hAnsi="Verdana" w:cs="Verdana"/>
                      <w:b w:val="0"/>
                      <w:i w:val="0"/>
                      <w:color w:val="000000" w:themeColor="text1"/>
                      <w:sz w:val="18"/>
                      <w:szCs w:val="18"/>
                      <w14:textFill>
                        <w14:solidFill>
                          <w14:schemeClr w14:val="tx1"/>
                        </w14:solidFill>
                      </w14:textFill>
                    </w:rPr>
                  </w:pPr>
                  <w:r>
                    <w:rPr>
                      <w:rFonts w:hint="eastAsia" w:ascii="仿宋_GB2312" w:hAnsi="宋体" w:eastAsia="仿宋_GB2312" w:cs="宋体"/>
                      <w:color w:val="000000" w:themeColor="text1"/>
                      <w:kern w:val="0"/>
                      <w:szCs w:val="21"/>
                      <w14:textFill>
                        <w14:solidFill>
                          <w14:schemeClr w14:val="tx1"/>
                        </w14:solidFill>
                      </w14:textFill>
                    </w:rPr>
                    <w:t>本规范适用于储存石油、化工产品和其他类似液体的立式圆筒形钢制焊接储罐和低温储罐罐以及与储罐相焊接的附件的施工与验收。</w:t>
                  </w:r>
                </w:p>
              </w:tc>
              <w:tc>
                <w:tcPr>
                  <w:tcW w:w="1645" w:type="dxa"/>
                  <w:shd w:val="clear" w:color="auto" w:fill="auto"/>
                  <w:vAlign w:val="top"/>
                </w:tcPr>
                <w:p>
                  <w:pPr>
                    <w:widowControl/>
                    <w:spacing w:line="360" w:lineRule="exact"/>
                    <w:rPr>
                      <w:rFonts w:hint="default" w:ascii="Verdana" w:hAnsi="Verdana" w:cs="Verdana"/>
                      <w:b w:val="0"/>
                      <w:i w:val="0"/>
                      <w:color w:val="333333"/>
                      <w:sz w:val="18"/>
                      <w:szCs w:val="18"/>
                    </w:rPr>
                  </w:pPr>
                </w:p>
              </w:tc>
              <w:tc>
                <w:tcPr>
                  <w:tcW w:w="1313" w:type="dxa"/>
                  <w:shd w:val="clear" w:color="auto" w:fill="auto"/>
                  <w:vAlign w:val="top"/>
                </w:tcPr>
                <w:p>
                  <w:pPr>
                    <w:widowControl/>
                    <w:spacing w:line="360" w:lineRule="exact"/>
                    <w:rPr>
                      <w:rFonts w:hint="eastAsia" w:ascii="Verdana" w:hAnsi="Verdana" w:cs="Verdana" w:eastAsiaTheme="minorEastAsia"/>
                      <w:b w:val="0"/>
                      <w:i w:val="0"/>
                      <w:color w:val="333333"/>
                      <w:sz w:val="18"/>
                      <w:szCs w:val="18"/>
                      <w:lang w:eastAsia="zh-CN"/>
                    </w:rPr>
                  </w:pPr>
                  <w:r>
                    <w:rPr>
                      <w:rFonts w:hint="eastAsia" w:ascii="仿宋_GB2312" w:hAnsi="宋体" w:eastAsia="仿宋_GB2312" w:cs="宋体"/>
                      <w:color w:val="00B050"/>
                      <w:kern w:val="0"/>
                      <w:szCs w:val="21"/>
                      <w:lang w:val="en-US" w:eastAsia="zh-CN"/>
                    </w:rPr>
                    <w:t xml:space="preserve"> </w:t>
                  </w:r>
                </w:p>
              </w:tc>
              <w:tc>
                <w:tcPr>
                  <w:tcW w:w="1518" w:type="dxa"/>
                  <w:shd w:val="clear" w:color="auto" w:fill="auto"/>
                  <w:vAlign w:val="center"/>
                </w:tcPr>
                <w:p>
                  <w:pPr>
                    <w:keepNext w:val="0"/>
                    <w:keepLines w:val="0"/>
                    <w:widowControl/>
                    <w:suppressLineNumbers w:val="0"/>
                    <w:spacing w:line="23" w:lineRule="atLeast"/>
                    <w:jc w:val="left"/>
                    <w:rPr>
                      <w:rFonts w:hint="default" w:ascii="Verdana" w:hAnsi="Verdana" w:cs="Verdana"/>
                      <w:b w:val="0"/>
                      <w:i w:val="0"/>
                      <w:color w:val="333333"/>
                      <w:sz w:val="18"/>
                      <w:szCs w:val="18"/>
                    </w:rPr>
                  </w:pPr>
                  <w:r>
                    <w:rPr>
                      <w:rFonts w:hint="eastAsia" w:ascii="仿宋_GB2312" w:hAnsi="宋体" w:eastAsia="仿宋_GB2312" w:cs="宋体"/>
                      <w:color w:val="000000"/>
                      <w:kern w:val="0"/>
                      <w:szCs w:val="21"/>
                    </w:rPr>
                    <w:t>2020-01-01</w:t>
                  </w:r>
                </w:p>
              </w:tc>
            </w:tr>
            <w:tr>
              <w:tblPrEx>
                <w:shd w:val="clear" w:color="auto" w:fill="auto"/>
                <w:tblLayout w:type="fixed"/>
                <w:tblCellMar>
                  <w:top w:w="15" w:type="dxa"/>
                  <w:left w:w="15" w:type="dxa"/>
                  <w:bottom w:w="15" w:type="dxa"/>
                  <w:right w:w="15" w:type="dxa"/>
                </w:tblCellMar>
              </w:tblPrEx>
              <w:trPr>
                <w:tblCellSpacing w:w="0" w:type="dxa"/>
                <w:jc w:val="center"/>
              </w:trPr>
              <w:tc>
                <w:tcPr>
                  <w:tcW w:w="1183" w:type="dxa"/>
                  <w:shd w:val="clear" w:color="auto" w:fill="auto"/>
                  <w:vAlign w:val="center"/>
                </w:tcPr>
                <w:p>
                  <w:pPr>
                    <w:keepNext w:val="0"/>
                    <w:keepLines w:val="0"/>
                    <w:widowControl/>
                    <w:suppressLineNumbers w:val="0"/>
                    <w:spacing w:line="23" w:lineRule="atLeast"/>
                    <w:jc w:val="left"/>
                    <w:rPr>
                      <w:rFonts w:hint="default" w:ascii="Verdana" w:hAnsi="Verdana" w:cs="Verdana"/>
                      <w:b w:val="0"/>
                      <w:i w:val="0"/>
                      <w:color w:val="333333"/>
                      <w:sz w:val="18"/>
                      <w:szCs w:val="18"/>
                      <w:lang w:val="en-US"/>
                    </w:rPr>
                  </w:pPr>
                  <w:r>
                    <w:rPr>
                      <w:rFonts w:hint="default" w:ascii="Verdana" w:hAnsi="Verdana" w:eastAsia="宋体" w:cs="Verdana"/>
                      <w:b w:val="0"/>
                      <w:i w:val="0"/>
                      <w:color w:val="333333"/>
                      <w:kern w:val="0"/>
                      <w:sz w:val="18"/>
                      <w:szCs w:val="18"/>
                      <w:lang w:val="en-US" w:eastAsia="zh-CN" w:bidi="ar"/>
                    </w:rPr>
                    <w:t>225</w:t>
                  </w:r>
                  <w:r>
                    <w:rPr>
                      <w:rFonts w:hint="eastAsia" w:ascii="Verdana" w:hAnsi="Verdana" w:eastAsia="宋体" w:cs="Verdana"/>
                      <w:b w:val="0"/>
                      <w:i w:val="0"/>
                      <w:color w:val="333333"/>
                      <w:kern w:val="0"/>
                      <w:sz w:val="18"/>
                      <w:szCs w:val="18"/>
                      <w:lang w:val="en-US" w:eastAsia="zh-CN" w:bidi="ar"/>
                    </w:rPr>
                    <w:t>144</w:t>
                  </w:r>
                </w:p>
              </w:tc>
              <w:tc>
                <w:tcPr>
                  <w:tcW w:w="1437" w:type="dxa"/>
                  <w:shd w:val="clear" w:color="auto" w:fill="auto"/>
                  <w:vAlign w:val="top"/>
                </w:tcPr>
                <w:p>
                  <w:pPr>
                    <w:widowControl/>
                    <w:spacing w:line="360" w:lineRule="exact"/>
                    <w:rPr>
                      <w:rFonts w:hint="default" w:ascii="Verdana" w:hAnsi="Verdana" w:cs="Verdana"/>
                      <w:b w:val="0"/>
                      <w:i w:val="0"/>
                      <w:color w:val="000000" w:themeColor="text1"/>
                      <w:sz w:val="18"/>
                      <w:szCs w:val="18"/>
                      <w14:textFill>
                        <w14:solidFill>
                          <w14:schemeClr w14:val="tx1"/>
                        </w14:solidFill>
                      </w14:textFill>
                    </w:rPr>
                  </w:pPr>
                  <w:r>
                    <w:rPr>
                      <w:rFonts w:hint="eastAsia" w:ascii="仿宋_GB2312" w:hAnsi="仿宋" w:eastAsia="仿宋_GB2312" w:cs="宋体"/>
                      <w:color w:val="000000" w:themeColor="text1"/>
                      <w:kern w:val="0"/>
                      <w:szCs w:val="21"/>
                      <w14:textFill>
                        <w14:solidFill>
                          <w14:schemeClr w14:val="tx1"/>
                        </w14:solidFill>
                      </w14:textFill>
                    </w:rPr>
                    <w:t>HG/T 20711-2019</w:t>
                  </w:r>
                </w:p>
              </w:tc>
              <w:tc>
                <w:tcPr>
                  <w:tcW w:w="2477" w:type="dxa"/>
                  <w:shd w:val="clear" w:color="auto" w:fill="auto"/>
                  <w:vAlign w:val="top"/>
                </w:tcPr>
                <w:p>
                  <w:pPr>
                    <w:widowControl/>
                    <w:spacing w:line="360" w:lineRule="exact"/>
                    <w:rPr>
                      <w:rFonts w:hint="default" w:ascii="Verdana" w:hAnsi="Verdana" w:cs="Verdana"/>
                      <w:b w:val="0"/>
                      <w:i w:val="0"/>
                      <w:color w:val="000000" w:themeColor="text1"/>
                      <w:sz w:val="18"/>
                      <w:szCs w:val="18"/>
                      <w14:textFill>
                        <w14:solidFill>
                          <w14:schemeClr w14:val="tx1"/>
                        </w14:solidFill>
                      </w14:textFill>
                    </w:rPr>
                  </w:pPr>
                  <w:r>
                    <w:rPr>
                      <w:rFonts w:hint="eastAsia" w:ascii="仿宋_GB2312" w:hAnsi="仿宋" w:eastAsia="仿宋_GB2312" w:cs="宋体"/>
                      <w:color w:val="000000" w:themeColor="text1"/>
                      <w:kern w:val="0"/>
                      <w:szCs w:val="21"/>
                      <w14:textFill>
                        <w14:solidFill>
                          <w14:schemeClr w14:val="tx1"/>
                        </w14:solidFill>
                      </w14:textFill>
                    </w:rPr>
                    <w:t>化工实验室化验室供暖通风与空气调节设计规范</w:t>
                  </w:r>
                </w:p>
              </w:tc>
              <w:tc>
                <w:tcPr>
                  <w:tcW w:w="5082" w:type="dxa"/>
                  <w:shd w:val="clear" w:color="auto" w:fill="auto"/>
                  <w:vAlign w:val="top"/>
                </w:tcPr>
                <w:p>
                  <w:pPr>
                    <w:widowControl/>
                    <w:spacing w:line="360" w:lineRule="exact"/>
                    <w:rPr>
                      <w:rFonts w:hint="eastAsia" w:ascii="仿宋_GB2312" w:hAnsi="仿宋" w:eastAsia="仿宋_GB2312" w:cs="宋体"/>
                      <w:color w:val="000000" w:themeColor="text1"/>
                      <w:kern w:val="0"/>
                      <w:szCs w:val="21"/>
                      <w14:textFill>
                        <w14:solidFill>
                          <w14:schemeClr w14:val="tx1"/>
                        </w14:solidFill>
                      </w14:textFill>
                    </w:rPr>
                  </w:pPr>
                  <w:r>
                    <w:rPr>
                      <w:rFonts w:hint="eastAsia" w:ascii="仿宋_GB2312" w:hAnsi="仿宋" w:eastAsia="仿宋_GB2312" w:cs="宋体"/>
                      <w:color w:val="000000" w:themeColor="text1"/>
                      <w:kern w:val="0"/>
                      <w:szCs w:val="21"/>
                      <w14:textFill>
                        <w14:solidFill>
                          <w14:schemeClr w14:val="tx1"/>
                        </w14:solidFill>
                      </w14:textFill>
                    </w:rPr>
                    <w:t xml:space="preserve">    本标准规定了:对实验室及化验室的分类说明；对各类实验室及化验室的作出以下规定：1、室内外设计参数的选定；2、采暖、通风、空气调节设计要求及规定；3、安全性设计要求及规定，包括：防火，防爆，防腐，生物安全等；4、各类实验室及化验室的监测与控制。</w:t>
                  </w:r>
                </w:p>
                <w:p>
                  <w:pPr>
                    <w:widowControl/>
                    <w:spacing w:line="360" w:lineRule="exact"/>
                    <w:rPr>
                      <w:rFonts w:hint="default" w:ascii="Verdana" w:hAnsi="Verdana" w:cs="Verdana"/>
                      <w:b w:val="0"/>
                      <w:i w:val="0"/>
                      <w:color w:val="000000" w:themeColor="text1"/>
                      <w:sz w:val="18"/>
                      <w:szCs w:val="18"/>
                      <w14:textFill>
                        <w14:solidFill>
                          <w14:schemeClr w14:val="tx1"/>
                        </w14:solidFill>
                      </w14:textFill>
                    </w:rPr>
                  </w:pPr>
                  <w:r>
                    <w:rPr>
                      <w:rFonts w:hint="eastAsia" w:ascii="仿宋_GB2312" w:hAnsi="仿宋" w:eastAsia="仿宋_GB2312" w:cs="宋体"/>
                      <w:color w:val="000000" w:themeColor="text1"/>
                      <w:kern w:val="0"/>
                      <w:szCs w:val="21"/>
                      <w14:textFill>
                        <w14:solidFill>
                          <w14:schemeClr w14:val="tx1"/>
                        </w14:solidFill>
                      </w14:textFill>
                    </w:rPr>
                    <w:t xml:space="preserve">    本标准适用于新建、扩建、改建的化工实验室、化验室的供暖、通风与空气调节设计。也可适用于相关的科研院所、高等院校、中等职业学校的实验室、化验室的供暖、通风与空气调节设计。</w:t>
                  </w:r>
                </w:p>
              </w:tc>
              <w:tc>
                <w:tcPr>
                  <w:tcW w:w="1645" w:type="dxa"/>
                  <w:shd w:val="clear" w:color="auto" w:fill="auto"/>
                  <w:vAlign w:val="top"/>
                </w:tcPr>
                <w:p>
                  <w:pPr>
                    <w:widowControl/>
                    <w:spacing w:line="360" w:lineRule="exact"/>
                    <w:rPr>
                      <w:rFonts w:hint="default" w:ascii="Verdana" w:hAnsi="Verdana" w:cs="Verdana"/>
                      <w:b w:val="0"/>
                      <w:i w:val="0"/>
                      <w:color w:val="333333"/>
                      <w:sz w:val="18"/>
                      <w:szCs w:val="18"/>
                    </w:rPr>
                  </w:pPr>
                </w:p>
              </w:tc>
              <w:tc>
                <w:tcPr>
                  <w:tcW w:w="1313" w:type="dxa"/>
                  <w:shd w:val="clear" w:color="auto" w:fill="auto"/>
                  <w:vAlign w:val="top"/>
                </w:tcPr>
                <w:p>
                  <w:pPr>
                    <w:widowControl/>
                    <w:spacing w:line="360" w:lineRule="exact"/>
                    <w:rPr>
                      <w:rFonts w:hint="default" w:ascii="Verdana" w:hAnsi="Verdana" w:cs="Verdana"/>
                      <w:b w:val="0"/>
                      <w:i w:val="0"/>
                      <w:color w:val="333333"/>
                      <w:sz w:val="18"/>
                      <w:szCs w:val="18"/>
                    </w:rPr>
                  </w:pPr>
                </w:p>
              </w:tc>
              <w:tc>
                <w:tcPr>
                  <w:tcW w:w="1518" w:type="dxa"/>
                  <w:shd w:val="clear" w:color="auto" w:fill="auto"/>
                  <w:vAlign w:val="top"/>
                </w:tcPr>
                <w:p>
                  <w:pPr>
                    <w:jc w:val="both"/>
                    <w:rPr>
                      <w:rFonts w:hint="default" w:ascii="Verdana" w:hAnsi="Verdana" w:cs="Verdana"/>
                      <w:b w:val="0"/>
                      <w:i w:val="0"/>
                      <w:color w:val="333333"/>
                      <w:sz w:val="18"/>
                      <w:szCs w:val="18"/>
                    </w:rPr>
                  </w:pPr>
                  <w:r>
                    <w:rPr>
                      <w:rFonts w:hint="eastAsia" w:ascii="仿宋_GB2312" w:hAnsi="宋体" w:eastAsia="仿宋_GB2312" w:cs="宋体"/>
                      <w:color w:val="000000"/>
                      <w:kern w:val="0"/>
                      <w:szCs w:val="21"/>
                    </w:rPr>
                    <w:t>2020-01-01</w:t>
                  </w:r>
                  <w:bookmarkStart w:id="0" w:name="_GoBack"/>
                  <w:bookmarkEnd w:id="0"/>
                </w:p>
              </w:tc>
            </w:tr>
          </w:tbl>
          <w:p>
            <w:pPr>
              <w:jc w:val="left"/>
              <w:rPr>
                <w:rFonts w:hint="default" w:ascii="Verdana" w:hAnsi="Verdana" w:cs="Verdana"/>
                <w:b w:val="0"/>
                <w:i w:val="0"/>
                <w:caps w:val="0"/>
                <w:color w:val="333333"/>
                <w:spacing w:val="0"/>
                <w:sz w:val="21"/>
                <w:szCs w:val="21"/>
              </w:rPr>
            </w:pPr>
          </w:p>
        </w:tc>
      </w:tr>
    </w:tbl>
    <w:p>
      <w:pPr>
        <w:rPr>
          <w:rFonts w:hint="eastAsia"/>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auto"/>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F834A1"/>
    <w:rsid w:val="1FD0303F"/>
    <w:rsid w:val="2DF834A1"/>
    <w:rsid w:val="6C277856"/>
    <w:rsid w:val="77D03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云南省工业和信息化委员会</Company>
  <Pages>1</Pages>
  <Words>0</Words>
  <Characters>0</Characters>
  <Lines>0</Lines>
  <Paragraphs>0</Paragraphs>
  <TotalTime>2</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2019-12-24T03:54:00Z</dcterms:created>
  <dc:creator>NB72</dc:creator>
  <cp:lastModifiedBy>NB72</cp:lastModifiedBy>
  <dcterms:modified xsi:type="dcterms:W3CDTF">2019-12-24T04:06:47Z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