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951" w:type="dxa"/>
        <w:tblCellSpacing w:w="0" w:type="dxa"/>
        <w:tblInd w:w="7" w:type="dxa"/>
        <w:shd w:val="clear" w:color="auto" w:fill="F7FD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51" w:type="dxa"/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i w:val="0"/>
                <w:caps w:val="0"/>
                <w:color w:val="333333"/>
                <w:spacing w:val="0"/>
                <w:sz w:val="36"/>
                <w:szCs w:val="36"/>
                <w:lang w:val="en-US" w:eastAsia="zh-CN"/>
              </w:rPr>
              <w:t>1</w:t>
            </w:r>
            <w:r>
              <w:rPr>
                <w:i w:val="0"/>
                <w:caps w:val="0"/>
                <w:color w:val="333333"/>
                <w:spacing w:val="0"/>
                <w:sz w:val="36"/>
                <w:szCs w:val="36"/>
              </w:rPr>
              <w:t>项化工工程建设行业标准获批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51" w:type="dxa"/>
            <w:tcBorders>
              <w:bottom w:val="dashed" w:color="CCCCCC" w:sz="6" w:space="0"/>
            </w:tcBorders>
            <w:shd w:val="clear" w:color="auto" w:fill="F7FDFF"/>
            <w:tcMar>
              <w:bottom w:w="9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" w:lineRule="atLeast"/>
              <w:ind w:left="0" w:firstLine="0"/>
              <w:jc w:val="center"/>
              <w:rPr>
                <w:rFonts w:hint="eastAsia" w:ascii="Verdana" w:hAnsi="Verdana" w:cs="Verdana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  <w:r>
              <w:rPr>
                <w:rFonts w:hint="eastAsia" w:ascii="Verdana" w:hAnsi="Verdana" w:eastAsia="宋体" w:cs="Verdana"/>
                <w:b w:val="0"/>
                <w:i w:val="0"/>
                <w:caps w:val="0"/>
                <w:color w:val="666666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7"/>
        <w:tblW w:w="13958" w:type="dxa"/>
        <w:tblCellSpacing w:w="0" w:type="dxa"/>
        <w:tblInd w:w="0" w:type="dxa"/>
        <w:shd w:val="clear" w:color="auto" w:fill="F7FD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8"/>
      </w:tblGrid>
      <w:tr>
        <w:tblPrEx>
          <w:shd w:val="clear" w:color="auto" w:fill="F7FD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6" w:hRule="atLeast"/>
          <w:tblCellSpacing w:w="0" w:type="dxa"/>
        </w:trPr>
        <w:tc>
          <w:tcPr>
            <w:tcW w:w="13958" w:type="dxa"/>
            <w:shd w:val="clear" w:color="auto" w:fill="F7FD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7" w:lineRule="atLeast"/>
              <w:ind w:left="0" w:right="0"/>
              <w:jc w:val="left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　　201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年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月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日,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instrText xml:space="preserve"> HYPERLINK "http://www.miit.gov.cn/n1146295/n1652858/n1652930/n4509607/c6476222/content.html" \t "http://www.ccesda.com/bzjs/HYBZ/YWDT/2018-11-21/_blank" </w:instrTex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fldChar w:fldCharType="separate"/>
            </w:r>
            <w:r>
              <w:rPr>
                <w:rStyle w:val="6"/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t>工业和信息化部共批准了</w:t>
            </w:r>
            <w:r>
              <w:rPr>
                <w:rStyle w:val="6"/>
                <w:rFonts w:hint="eastAsia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  <w:lang w:val="en-US" w:eastAsia="zh-CN"/>
              </w:rPr>
              <w:t>311</w:t>
            </w:r>
            <w:r>
              <w:rPr>
                <w:rStyle w:val="6"/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t>项行业标准(见中华人民共和国工业和信息化部公告201</w:t>
            </w:r>
            <w:r>
              <w:rPr>
                <w:rStyle w:val="6"/>
                <w:rFonts w:hint="eastAsia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  <w:lang w:val="en-US" w:eastAsia="zh-CN"/>
              </w:rPr>
              <w:t>9</w:t>
            </w:r>
            <w:r>
              <w:rPr>
                <w:rStyle w:val="6"/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t>年第</w:t>
            </w:r>
            <w:r>
              <w:rPr>
                <w:rStyle w:val="6"/>
                <w:rFonts w:hint="eastAsia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  <w:lang w:val="en-US" w:eastAsia="zh-CN"/>
              </w:rPr>
              <w:t>48</w:t>
            </w:r>
            <w:r>
              <w:rPr>
                <w:rStyle w:val="6"/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t>号)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7519A"/>
                <w:spacing w:val="0"/>
                <w:sz w:val="21"/>
                <w:szCs w:val="21"/>
                <w:u w:val="none"/>
              </w:rPr>
              <w:fldChar w:fldCharType="end"/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，其中化工行业工程建设标准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项(标准编号、名称、主要内容及起始实施日期见一览表)，标准实施日期是20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年</w:t>
            </w:r>
            <w:r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月1日。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Verdana" w:hAnsi="Verdana" w:cs="Verdana"/>
                <w:i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>1</w:t>
            </w: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1"/>
                <w:szCs w:val="21"/>
              </w:rPr>
              <w:t>项化工行业标准编号、名称、主要内容等一览表</w:t>
            </w:r>
          </w:p>
          <w:tbl>
            <w:tblPr>
              <w:tblStyle w:val="7"/>
              <w:tblW w:w="14655" w:type="dxa"/>
              <w:jc w:val="center"/>
              <w:tblCellSpacing w:w="0" w:type="dxa"/>
              <w:tblInd w:w="-348" w:type="dxa"/>
              <w:shd w:val="clear" w:color="auto" w:fill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183"/>
              <w:gridCol w:w="1437"/>
              <w:gridCol w:w="2477"/>
              <w:gridCol w:w="5082"/>
              <w:gridCol w:w="1645"/>
              <w:gridCol w:w="1313"/>
              <w:gridCol w:w="1518"/>
            </w:tblGrid>
            <w:tr>
              <w:tblPrEx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183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  <w:lang w:val="en-US"/>
                    </w:rPr>
                  </w:pPr>
                  <w:r>
                    <w:rPr>
                      <w:rStyle w:val="5"/>
                      <w:rFonts w:hint="eastAsia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4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标准编号</w:t>
                  </w:r>
                </w:p>
              </w:tc>
              <w:tc>
                <w:tcPr>
                  <w:tcW w:w="24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标准名称</w:t>
                  </w:r>
                </w:p>
              </w:tc>
              <w:tc>
                <w:tcPr>
                  <w:tcW w:w="5082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标准主要内容</w:t>
                  </w:r>
                </w:p>
              </w:tc>
              <w:tc>
                <w:tcPr>
                  <w:tcW w:w="164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代替标准</w:t>
                  </w:r>
                </w:p>
              </w:tc>
              <w:tc>
                <w:tcPr>
                  <w:tcW w:w="1313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采标情况</w:t>
                  </w:r>
                </w:p>
              </w:tc>
              <w:tc>
                <w:tcPr>
                  <w:tcW w:w="1518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23" w:lineRule="atLeast"/>
                    <w:jc w:val="center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Style w:val="5"/>
                      <w:rFonts w:hint="default" w:ascii="Verdana" w:hAnsi="Verdana" w:eastAsia="宋体" w:cs="Verdana"/>
                      <w:i w:val="0"/>
                      <w:color w:val="333333"/>
                      <w:kern w:val="0"/>
                      <w:sz w:val="18"/>
                      <w:szCs w:val="18"/>
                      <w:lang w:val="en-US" w:eastAsia="zh-CN" w:bidi="ar"/>
                    </w:rPr>
                    <w:t>实施日期</w:t>
                  </w:r>
                </w:p>
              </w:tc>
            </w:tr>
            <w:tr>
              <w:tblPrEx>
                <w:shd w:val="clear" w:color="auto" w:fill="auto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2033" w:hRule="atLeast"/>
                <w:tblCellSpacing w:w="0" w:type="dxa"/>
                <w:jc w:val="center"/>
              </w:trPr>
              <w:tc>
                <w:tcPr>
                  <w:tcW w:w="1183" w:type="dxa"/>
                  <w:shd w:val="clear" w:color="auto" w:fill="auto"/>
                  <w:vAlign w:val="top"/>
                </w:tcPr>
                <w:p>
                  <w:pPr>
                    <w:widowControl/>
                    <w:numPr>
                      <w:ilvl w:val="0"/>
                      <w:numId w:val="1"/>
                    </w:numPr>
                    <w:spacing w:line="360" w:lineRule="exact"/>
                    <w:ind w:left="113" w:leftChars="0" w:firstLine="0" w:firstLineChars="0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  <w:lang w:val="en-US" w:eastAsia="zh-CN"/>
                    </w:rPr>
                    <w:t>11</w:t>
                  </w:r>
                </w:p>
              </w:tc>
              <w:tc>
                <w:tcPr>
                  <w:tcW w:w="1437" w:type="dxa"/>
                  <w:shd w:val="clear" w:color="auto" w:fill="auto"/>
                  <w:vAlign w:val="top"/>
                </w:tcPr>
                <w:p>
                  <w:pPr>
                    <w:spacing w:line="360" w:lineRule="exact"/>
                    <w:rPr>
                      <w:rFonts w:hint="default" w:ascii="Verdana" w:hAnsi="Verdana" w:cs="Verdana"/>
                      <w:b w:val="0"/>
                      <w:i w:val="0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>HG/T 22817-2019</w:t>
                  </w:r>
                </w:p>
              </w:tc>
              <w:tc>
                <w:tcPr>
                  <w:tcW w:w="2477" w:type="dxa"/>
                  <w:shd w:val="clear" w:color="auto" w:fill="auto"/>
                  <w:vAlign w:val="top"/>
                </w:tcPr>
                <w:p>
                  <w:pPr>
                    <w:spacing w:line="360" w:lineRule="exact"/>
                    <w:rPr>
                      <w:rFonts w:hint="default" w:ascii="Verdana" w:hAnsi="Verdana" w:cs="Verdana"/>
                      <w:b w:val="0"/>
                      <w:i w:val="0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>化工矿山项目可行性研究报告编制规定</w:t>
                  </w:r>
                </w:p>
              </w:tc>
              <w:tc>
                <w:tcPr>
                  <w:tcW w:w="5082" w:type="dxa"/>
                  <w:shd w:val="clear" w:color="auto" w:fill="auto"/>
                  <w:vAlign w:val="top"/>
                </w:tcPr>
                <w:p>
                  <w:pPr>
                    <w:spacing w:line="360" w:lineRule="exact"/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 xml:space="preserve">    本规范规定了化工矿山项目可行性研究报告编制的主要内容和深度。</w:t>
                  </w:r>
                </w:p>
                <w:p>
                  <w:pPr>
                    <w:spacing w:line="360" w:lineRule="exact"/>
                    <w:rPr>
                      <w:rFonts w:hint="default" w:ascii="Verdana" w:hAnsi="Verdana" w:cs="Verdana"/>
                      <w:b w:val="0"/>
                      <w:i w:val="0"/>
                      <w:color w:val="000000" w:themeColor="text1"/>
                      <w:sz w:val="18"/>
                      <w:szCs w:val="1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 xml:space="preserve">    本规范适用于新建、改建、扩建、设备更新的化工矿山项目可行性研究报告的编制。</w:t>
                  </w:r>
                </w:p>
              </w:tc>
              <w:tc>
                <w:tcPr>
                  <w:tcW w:w="1645" w:type="dxa"/>
                  <w:shd w:val="clear" w:color="auto" w:fill="auto"/>
                  <w:vAlign w:val="top"/>
                </w:tcPr>
                <w:p>
                  <w:pPr>
                    <w:spacing w:line="360" w:lineRule="exact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>　</w:t>
                  </w:r>
                </w:p>
              </w:tc>
              <w:tc>
                <w:tcPr>
                  <w:tcW w:w="1313" w:type="dxa"/>
                  <w:shd w:val="clear" w:color="auto" w:fill="auto"/>
                  <w:vAlign w:val="top"/>
                </w:tcPr>
                <w:p>
                  <w:pPr>
                    <w:spacing w:line="360" w:lineRule="exact"/>
                    <w:rPr>
                      <w:rFonts w:hint="eastAsia" w:ascii="Verdana" w:hAnsi="Verdana" w:cs="Verdana" w:eastAsiaTheme="minorEastAsia"/>
                      <w:b w:val="0"/>
                      <w:i w:val="0"/>
                      <w:color w:val="333333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000000"/>
                      <w:szCs w:val="21"/>
                      <w:highlight w:val="none"/>
                    </w:rPr>
                    <w:t>　</w:t>
                  </w:r>
                </w:p>
              </w:tc>
              <w:tc>
                <w:tcPr>
                  <w:tcW w:w="1518" w:type="dxa"/>
                  <w:shd w:val="clear" w:color="auto" w:fill="auto"/>
                  <w:vAlign w:val="top"/>
                </w:tcPr>
                <w:p>
                  <w:pPr>
                    <w:widowControl/>
                    <w:spacing w:line="360" w:lineRule="exact"/>
                    <w:rPr>
                      <w:rFonts w:hint="default" w:ascii="Verdana" w:hAnsi="Verdana" w:cs="Verdana"/>
                      <w:b w:val="0"/>
                      <w:i w:val="0"/>
                      <w:color w:val="333333"/>
                      <w:sz w:val="18"/>
                      <w:szCs w:val="18"/>
                    </w:rPr>
                  </w:pPr>
                  <w:r>
                    <w:rPr>
                      <w:rFonts w:hint="eastAsia" w:ascii="仿宋_GB2312" w:eastAsia="仿宋_GB2312"/>
                      <w:szCs w:val="21"/>
                      <w:highlight w:val="none"/>
                    </w:rPr>
                    <w:t>2020-04-01</w:t>
                  </w:r>
                </w:p>
              </w:tc>
            </w:tr>
          </w:tbl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3C99"/>
    <w:multiLevelType w:val="multilevel"/>
    <w:tmpl w:val="09593C99"/>
    <w:lvl w:ilvl="0" w:tentative="0">
      <w:start w:val="1"/>
      <w:numFmt w:val="decimal"/>
      <w:lvlText w:val="%1"/>
      <w:lvlJc w:val="center"/>
      <w:pPr>
        <w:tabs>
          <w:tab w:val="left" w:pos="113"/>
        </w:tabs>
        <w:ind w:left="113" w:firstLine="0"/>
      </w:pPr>
      <w:rPr>
        <w:rFonts w:hint="eastAsia" w:eastAsia="宋体" w:cs="Times New Roman"/>
        <w:b w:val="0"/>
        <w:i w:val="0"/>
        <w:sz w:val="21"/>
        <w:szCs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834A1"/>
    <w:rsid w:val="13157EF0"/>
    <w:rsid w:val="1FD0303F"/>
    <w:rsid w:val="2DF834A1"/>
    <w:rsid w:val="3DC54726"/>
    <w:rsid w:val="57A81B88"/>
    <w:rsid w:val="6C277856"/>
    <w:rsid w:val="77D0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云南省工业和信息化委员会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2019-12-24T03:54:00Z</dcterms:created>
  <dc:creator>NB72</dc:creator>
  <cp:lastModifiedBy>NB72</cp:lastModifiedBy>
  <dcterms:modified xsi:type="dcterms:W3CDTF">2019-12-24T04:23:32Z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